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69" w:rsidRPr="00EE1A1A" w:rsidRDefault="00204F69">
      <w:pPr>
        <w:pStyle w:val="c2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 w:rsidRPr="00EE1A1A">
            <w:rPr>
              <w:b/>
              <w:bCs/>
            </w:rPr>
            <w:t>PENNSYLVANIA</w:t>
          </w:r>
        </w:smartTag>
      </w:smartTag>
      <w:r w:rsidRPr="00EE1A1A">
        <w:rPr>
          <w:b/>
          <w:bCs/>
        </w:rPr>
        <w:t xml:space="preserve"> PUBLIC UTILITY COMMISSION</w:t>
      </w:r>
    </w:p>
    <w:p w:rsidR="00204F69" w:rsidRPr="00EE1A1A" w:rsidRDefault="00204F69">
      <w:pPr>
        <w:pStyle w:val="c2"/>
        <w:rPr>
          <w:b/>
          <w:bCs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EE1A1A">
              <w:rPr>
                <w:b/>
                <w:bCs/>
              </w:rPr>
              <w:t>HARRISBURG</w:t>
            </w:r>
          </w:smartTag>
          <w:r w:rsidRPr="00EE1A1A">
            <w:rPr>
              <w:b/>
              <w:bCs/>
            </w:rPr>
            <w:t xml:space="preserve">, </w:t>
          </w:r>
          <w:smartTag w:uri="urn:schemas-microsoft-com:office:smarttags" w:element="State">
            <w:r w:rsidRPr="00EE1A1A">
              <w:rPr>
                <w:b/>
                <w:bCs/>
              </w:rPr>
              <w:t>PENNSYLVANIA</w:t>
            </w:r>
          </w:smartTag>
          <w:r w:rsidRPr="00EE1A1A">
            <w:rPr>
              <w:b/>
              <w:bCs/>
            </w:rPr>
            <w:t xml:space="preserve"> </w:t>
          </w:r>
          <w:smartTag w:uri="urn:schemas-microsoft-com:office:smarttags" w:element="PostalCode">
            <w:r w:rsidRPr="00EE1A1A">
              <w:rPr>
                <w:b/>
                <w:bCs/>
              </w:rPr>
              <w:t>17105</w:t>
            </w:r>
          </w:smartTag>
        </w:smartTag>
      </w:smartTag>
    </w:p>
    <w:p w:rsidR="003C3496" w:rsidRPr="00EE1A1A" w:rsidRDefault="003C3496">
      <w:pPr>
        <w:pStyle w:val="c2"/>
        <w:rPr>
          <w:b/>
          <w:bCs/>
        </w:rPr>
      </w:pPr>
    </w:p>
    <w:p w:rsidR="00204F69" w:rsidRPr="00EE1A1A" w:rsidRDefault="0065050C">
      <w:pPr>
        <w:pStyle w:val="t1"/>
        <w:tabs>
          <w:tab w:val="left" w:pos="4371"/>
        </w:tabs>
        <w:rPr>
          <w:b/>
          <w:bCs/>
        </w:rPr>
      </w:pPr>
      <w:r w:rsidRPr="00EE1A1A">
        <w:rPr>
          <w:b/>
          <w:bCs/>
        </w:rPr>
        <w:t>RULEMAKING TO AMEND THE</w:t>
      </w:r>
      <w:r w:rsidR="00204F69" w:rsidRPr="00EE1A1A">
        <w:rPr>
          <w:b/>
          <w:bCs/>
        </w:rPr>
        <w:tab/>
        <w:t xml:space="preserve">Public Meeting </w:t>
      </w:r>
      <w:r w:rsidR="003C3496" w:rsidRPr="00EE1A1A">
        <w:rPr>
          <w:b/>
          <w:bCs/>
        </w:rPr>
        <w:t xml:space="preserve">February </w:t>
      </w:r>
      <w:r w:rsidRPr="00EE1A1A">
        <w:rPr>
          <w:b/>
          <w:bCs/>
        </w:rPr>
        <w:t>24, 2011</w:t>
      </w:r>
    </w:p>
    <w:p w:rsidR="00204F69" w:rsidRPr="00EE1A1A" w:rsidRDefault="0065050C">
      <w:pPr>
        <w:pStyle w:val="t1"/>
        <w:tabs>
          <w:tab w:val="left" w:pos="4371"/>
        </w:tabs>
        <w:rPr>
          <w:b/>
          <w:bCs/>
        </w:rPr>
      </w:pPr>
      <w:r w:rsidRPr="00EE1A1A">
        <w:rPr>
          <w:b/>
          <w:bCs/>
        </w:rPr>
        <w:t>PROVISIONS OF 52 P</w:t>
      </w:r>
      <w:r w:rsidR="00A021C3" w:rsidRPr="00EE1A1A">
        <w:rPr>
          <w:b/>
          <w:bCs/>
        </w:rPr>
        <w:t>a</w:t>
      </w:r>
      <w:r w:rsidRPr="00EE1A1A">
        <w:rPr>
          <w:b/>
          <w:bCs/>
        </w:rPr>
        <w:t>. CODE,</w:t>
      </w:r>
      <w:r w:rsidRPr="00EE1A1A">
        <w:rPr>
          <w:b/>
          <w:bCs/>
        </w:rPr>
        <w:tab/>
      </w:r>
      <w:r w:rsidR="00B14415">
        <w:rPr>
          <w:b/>
          <w:bCs/>
        </w:rPr>
        <w:t>1202907</w:t>
      </w:r>
      <w:r w:rsidRPr="00EE1A1A">
        <w:rPr>
          <w:b/>
          <w:bCs/>
        </w:rPr>
        <w:t>-BCS</w:t>
      </w:r>
    </w:p>
    <w:p w:rsidR="00204F69" w:rsidRPr="00EE1A1A" w:rsidRDefault="0065050C">
      <w:pPr>
        <w:pStyle w:val="t1"/>
        <w:tabs>
          <w:tab w:val="left" w:pos="4371"/>
        </w:tabs>
        <w:rPr>
          <w:b/>
          <w:bCs/>
        </w:rPr>
      </w:pPr>
      <w:proofErr w:type="gramStart"/>
      <w:r w:rsidRPr="00EE1A1A">
        <w:rPr>
          <w:b/>
          <w:bCs/>
        </w:rPr>
        <w:t>CHAPTER 56 TO COMPLY WITH</w:t>
      </w:r>
      <w:r w:rsidR="00204F69" w:rsidRPr="00EE1A1A">
        <w:rPr>
          <w:b/>
          <w:bCs/>
        </w:rPr>
        <w:tab/>
      </w:r>
      <w:r w:rsidR="003C3496" w:rsidRPr="00EE1A1A">
        <w:rPr>
          <w:b/>
          <w:bCs/>
        </w:rPr>
        <w:t>Docket No.</w:t>
      </w:r>
      <w:proofErr w:type="gramEnd"/>
      <w:r w:rsidR="003C3496" w:rsidRPr="00EE1A1A">
        <w:rPr>
          <w:b/>
          <w:bCs/>
        </w:rPr>
        <w:t xml:space="preserve"> </w:t>
      </w:r>
      <w:r w:rsidRPr="00EE1A1A">
        <w:rPr>
          <w:b/>
          <w:bCs/>
        </w:rPr>
        <w:t>L-00060182</w:t>
      </w:r>
    </w:p>
    <w:p w:rsidR="00204F69" w:rsidRPr="00EE1A1A" w:rsidRDefault="0065050C">
      <w:pPr>
        <w:pStyle w:val="t1"/>
        <w:tabs>
          <w:tab w:val="left" w:pos="4371"/>
        </w:tabs>
        <w:rPr>
          <w:b/>
          <w:bCs/>
        </w:rPr>
      </w:pPr>
      <w:proofErr w:type="gramStart"/>
      <w:r w:rsidRPr="00EE1A1A">
        <w:rPr>
          <w:b/>
          <w:bCs/>
        </w:rPr>
        <w:t>THE PROVISIONS OF 66 P</w:t>
      </w:r>
      <w:r w:rsidR="00A021C3" w:rsidRPr="00EE1A1A">
        <w:rPr>
          <w:b/>
          <w:bCs/>
        </w:rPr>
        <w:t>a</w:t>
      </w:r>
      <w:r w:rsidRPr="00EE1A1A">
        <w:rPr>
          <w:b/>
          <w:bCs/>
        </w:rPr>
        <w:t>.</w:t>
      </w:r>
      <w:proofErr w:type="gramEnd"/>
      <w:r w:rsidRPr="00EE1A1A">
        <w:rPr>
          <w:b/>
          <w:bCs/>
        </w:rPr>
        <w:t xml:space="preserve"> </w:t>
      </w:r>
    </w:p>
    <w:p w:rsidR="0065050C" w:rsidRPr="00EE1A1A" w:rsidRDefault="0065050C">
      <w:pPr>
        <w:pStyle w:val="t1"/>
        <w:tabs>
          <w:tab w:val="left" w:pos="4371"/>
        </w:tabs>
        <w:rPr>
          <w:b/>
          <w:bCs/>
        </w:rPr>
      </w:pPr>
      <w:r w:rsidRPr="00EE1A1A">
        <w:rPr>
          <w:b/>
          <w:bCs/>
        </w:rPr>
        <w:t>C.S., CHAPTER 14; GENERAL</w:t>
      </w:r>
    </w:p>
    <w:p w:rsidR="00204F69" w:rsidRPr="00EE1A1A" w:rsidRDefault="0065050C" w:rsidP="0065050C">
      <w:pPr>
        <w:pStyle w:val="t1"/>
        <w:tabs>
          <w:tab w:val="left" w:pos="4371"/>
        </w:tabs>
        <w:rPr>
          <w:b/>
          <w:bCs/>
        </w:rPr>
      </w:pPr>
      <w:r w:rsidRPr="00EE1A1A">
        <w:rPr>
          <w:b/>
          <w:bCs/>
        </w:rPr>
        <w:t>REVIEW OF REGULATIONS</w:t>
      </w:r>
    </w:p>
    <w:p w:rsidR="0065050C" w:rsidRPr="00EE1A1A" w:rsidRDefault="0065050C" w:rsidP="0065050C">
      <w:pPr>
        <w:pStyle w:val="t1"/>
        <w:tabs>
          <w:tab w:val="left" w:pos="4371"/>
        </w:tabs>
        <w:rPr>
          <w:b/>
          <w:bCs/>
        </w:rPr>
      </w:pPr>
    </w:p>
    <w:p w:rsidR="00204F69" w:rsidRPr="00EE1A1A" w:rsidRDefault="00204F69">
      <w:pPr>
        <w:pStyle w:val="c2"/>
        <w:tabs>
          <w:tab w:val="left" w:pos="204"/>
        </w:tabs>
        <w:rPr>
          <w:b/>
          <w:bCs/>
        </w:rPr>
      </w:pPr>
      <w:r w:rsidRPr="00EE1A1A">
        <w:rPr>
          <w:b/>
          <w:bCs/>
        </w:rPr>
        <w:t>MOTION OF</w:t>
      </w:r>
    </w:p>
    <w:p w:rsidR="00204F69" w:rsidRPr="00EE1A1A" w:rsidRDefault="00204F69">
      <w:pPr>
        <w:pStyle w:val="c2"/>
        <w:tabs>
          <w:tab w:val="left" w:pos="204"/>
        </w:tabs>
        <w:rPr>
          <w:b/>
          <w:bCs/>
          <w:sz w:val="26"/>
          <w:szCs w:val="26"/>
        </w:rPr>
      </w:pPr>
      <w:r w:rsidRPr="00EE1A1A">
        <w:rPr>
          <w:b/>
          <w:bCs/>
          <w:u w:val="single"/>
        </w:rPr>
        <w:t>COMMISSIONER</w:t>
      </w:r>
      <w:r w:rsidR="003C3496" w:rsidRPr="00EE1A1A">
        <w:rPr>
          <w:b/>
          <w:bCs/>
          <w:u w:val="single"/>
        </w:rPr>
        <w:t xml:space="preserve"> ROBERT F. POWELSON</w:t>
      </w:r>
    </w:p>
    <w:p w:rsidR="00204F69" w:rsidRPr="00EE1A1A" w:rsidRDefault="00204F69">
      <w:pPr>
        <w:tabs>
          <w:tab w:val="left" w:pos="204"/>
        </w:tabs>
        <w:rPr>
          <w:b/>
          <w:bCs/>
        </w:rPr>
      </w:pPr>
    </w:p>
    <w:p w:rsidR="004945F9" w:rsidRDefault="00204F69" w:rsidP="0065050C">
      <w:pPr>
        <w:pStyle w:val="p4"/>
      </w:pPr>
      <w:r w:rsidRPr="00EE1A1A">
        <w:t xml:space="preserve">Before </w:t>
      </w:r>
      <w:r w:rsidR="00EE1A1A" w:rsidRPr="00EE1A1A">
        <w:t xml:space="preserve">the Commission today for consideration is the Final Rulemaking Order amending the Commission’s </w:t>
      </w:r>
      <w:r w:rsidR="00DB1375">
        <w:t>R</w:t>
      </w:r>
      <w:r w:rsidR="00EE1A1A" w:rsidRPr="00EE1A1A">
        <w:t>egulations found at Chapter 56 of the Pennsylvania Code</w:t>
      </w:r>
      <w:r w:rsidR="004945F9">
        <w:t xml:space="preserve"> </w:t>
      </w:r>
      <w:r w:rsidR="001B56AA">
        <w:t>to make them</w:t>
      </w:r>
      <w:r w:rsidR="004945F9">
        <w:t xml:space="preserve"> consistent with Chapter 14 of the Public Utility Code</w:t>
      </w:r>
      <w:r w:rsidR="00EE1A1A">
        <w:t>.  This Rulemaking has been years in the making and I would like to thank the Commission staff</w:t>
      </w:r>
      <w:r w:rsidR="004945F9">
        <w:t>,</w:t>
      </w:r>
      <w:r w:rsidR="00EE1A1A">
        <w:t xml:space="preserve"> who have devoted many hours to this massive undertaking</w:t>
      </w:r>
      <w:r w:rsidR="004945F9">
        <w:t xml:space="preserve"> and whose efforts have made these updated Regulations as clear and </w:t>
      </w:r>
      <w:r w:rsidR="00CF1BA5">
        <w:t>consistent</w:t>
      </w:r>
      <w:r w:rsidR="004945F9">
        <w:t xml:space="preserve"> as possible.  </w:t>
      </w:r>
    </w:p>
    <w:p w:rsidR="004945F9" w:rsidRDefault="004945F9" w:rsidP="0065050C">
      <w:pPr>
        <w:pStyle w:val="p4"/>
      </w:pPr>
    </w:p>
    <w:p w:rsidR="00C05AF1" w:rsidRDefault="004945F9" w:rsidP="0065050C">
      <w:pPr>
        <w:pStyle w:val="p4"/>
      </w:pPr>
      <w:r>
        <w:t>One of the more contentious items in this update was Chapter 14’s changes</w:t>
      </w:r>
      <w:r w:rsidR="00D55B19">
        <w:t xml:space="preserve"> to the </w:t>
      </w:r>
      <w:r w:rsidR="001B56AA">
        <w:t>medical certificate procedure</w:t>
      </w:r>
      <w:r w:rsidR="00CB1694">
        <w:t>, found at Sections 1406 and 1407</w:t>
      </w:r>
      <w:r w:rsidR="001B56AA">
        <w:t>.</w:t>
      </w:r>
      <w:r w:rsidR="00CB1694">
        <w:rPr>
          <w:rStyle w:val="FootnoteReference"/>
        </w:rPr>
        <w:footnoteReference w:id="1"/>
      </w:r>
      <w:r w:rsidR="00CB1694">
        <w:t xml:space="preserve">  </w:t>
      </w:r>
      <w:r w:rsidR="002F3D31">
        <w:t xml:space="preserve">Prior to the enactment of Chapter 14, the Commission’s Regulations </w:t>
      </w:r>
      <w:r w:rsidR="00CB1694">
        <w:t>stated</w:t>
      </w:r>
      <w:r w:rsidR="002F3D31">
        <w:t xml:space="preserve"> that </w:t>
      </w:r>
      <w:r w:rsidR="00AA2BEC">
        <w:t>utilities could not terminate or refuse to restore service to premises where a physician certified that an occupant was seriously ill or affected by a condition that would be aggravated by the termination of service.</w:t>
      </w:r>
      <w:r w:rsidR="00AA2BEC">
        <w:rPr>
          <w:rStyle w:val="FootnoteReference"/>
        </w:rPr>
        <w:footnoteReference w:id="2"/>
      </w:r>
      <w:r w:rsidR="00AA2BEC">
        <w:t xml:space="preserve">  </w:t>
      </w:r>
      <w:r w:rsidR="00F26F71">
        <w:t>In the Commission’s Proposed Rulemaking</w:t>
      </w:r>
      <w:r w:rsidR="00806FBB">
        <w:t xml:space="preserve"> amending Chapter 56</w:t>
      </w:r>
      <w:r w:rsidR="00F26F71">
        <w:t>, this language was limited to more closely track th</w:t>
      </w:r>
      <w:r w:rsidR="00CF1BA5">
        <w:t xml:space="preserve">e language </w:t>
      </w:r>
      <w:r w:rsidR="00F26F71">
        <w:t>of Chapter 14.  In my view, however, the language of Section</w:t>
      </w:r>
      <w:r w:rsidR="0008281C">
        <w:t>s</w:t>
      </w:r>
      <w:r w:rsidR="00F26F71">
        <w:t xml:space="preserve"> 56.111 </w:t>
      </w:r>
      <w:r w:rsidR="0008281C">
        <w:t xml:space="preserve">and 56.191 </w:t>
      </w:r>
      <w:r w:rsidR="00806FBB">
        <w:t xml:space="preserve">should </w:t>
      </w:r>
      <w:r w:rsidR="001F4F5C">
        <w:t xml:space="preserve">be further </w:t>
      </w:r>
      <w:r w:rsidR="0066453B">
        <w:t>revised</w:t>
      </w:r>
      <w:r w:rsidR="003F5766">
        <w:t xml:space="preserve"> </w:t>
      </w:r>
      <w:r w:rsidR="001F4F5C">
        <w:t>to correctly implement the standards for medical certificates set forth in Sections 1406 and 1407</w:t>
      </w:r>
      <w:r w:rsidR="0066453B">
        <w:t xml:space="preserve"> of the Public Utility Code</w:t>
      </w:r>
      <w:r w:rsidR="001F4F5C">
        <w:t xml:space="preserve">.  </w:t>
      </w:r>
    </w:p>
    <w:p w:rsidR="001F4F5C" w:rsidRDefault="001F4F5C" w:rsidP="0065050C">
      <w:pPr>
        <w:pStyle w:val="p4"/>
      </w:pPr>
    </w:p>
    <w:p w:rsidR="001F4F5C" w:rsidRDefault="001F4F5C" w:rsidP="0065050C">
      <w:pPr>
        <w:pStyle w:val="p4"/>
      </w:pPr>
      <w:r>
        <w:t xml:space="preserve">Specifically, Section 56.111 </w:t>
      </w:r>
      <w:r w:rsidR="00882811">
        <w:t>should</w:t>
      </w:r>
      <w:r>
        <w:t xml:space="preserve"> be changed to reflect the requirement that once a licensed physician or nurse practitioner has certified to the utility that the </w:t>
      </w:r>
      <w:r w:rsidR="00781DF3">
        <w:t>“</w:t>
      </w:r>
      <w:r>
        <w:t xml:space="preserve">customer or member of the customer’s household is seriously ill or afflicted with a medical condition that will be aggravated by the cessation of </w:t>
      </w:r>
      <w:proofErr w:type="gramStart"/>
      <w:r>
        <w:t>service</w:t>
      </w:r>
      <w:r w:rsidR="00781DF3">
        <w:t>[</w:t>
      </w:r>
      <w:proofErr w:type="gramEnd"/>
      <w:r w:rsidR="00781DF3">
        <w:t xml:space="preserve">,]” the customer must provide </w:t>
      </w:r>
      <w:r w:rsidR="00D55B19">
        <w:t>the</w:t>
      </w:r>
      <w:r w:rsidR="00781DF3">
        <w:t xml:space="preserve"> utility with a letter from a licensed physician verifying the condition that was the basis for the medical certificate.</w:t>
      </w:r>
      <w:r w:rsidR="00957263">
        <w:rPr>
          <w:rStyle w:val="FootnoteReference"/>
        </w:rPr>
        <w:footnoteReference w:id="3"/>
      </w:r>
      <w:r w:rsidR="00957263">
        <w:t xml:space="preserve"> </w:t>
      </w:r>
      <w:r w:rsidR="00781DF3">
        <w:t xml:space="preserve"> </w:t>
      </w:r>
    </w:p>
    <w:p w:rsidR="00781DF3" w:rsidRDefault="00781DF3" w:rsidP="0065050C">
      <w:pPr>
        <w:pStyle w:val="p4"/>
      </w:pPr>
    </w:p>
    <w:p w:rsidR="0051323F" w:rsidRDefault="00781DF3" w:rsidP="0065050C">
      <w:pPr>
        <w:pStyle w:val="p4"/>
      </w:pPr>
      <w:r>
        <w:t>Further, Section</w:t>
      </w:r>
      <w:r w:rsidR="00092F2A">
        <w:t>s</w:t>
      </w:r>
      <w:r>
        <w:t xml:space="preserve"> 56.111 </w:t>
      </w:r>
      <w:r w:rsidR="00092F2A">
        <w:t xml:space="preserve">and 56.191 </w:t>
      </w:r>
      <w:r w:rsidR="003F5766">
        <w:t>should</w:t>
      </w:r>
      <w:r>
        <w:t xml:space="preserve"> be amended to specify that medical certificates, by themselves, are not enough to </w:t>
      </w:r>
      <w:r w:rsidR="00CB1694">
        <w:t>require</w:t>
      </w:r>
      <w:r>
        <w:t xml:space="preserve"> a utility to restore service.  </w:t>
      </w:r>
      <w:r w:rsidR="007332E3">
        <w:t xml:space="preserve">Section 1407 sets forth the rules for reconnection of service.  </w:t>
      </w:r>
      <w:r w:rsidR="000F6214">
        <w:t>A plain reading of this Section reveals that</w:t>
      </w:r>
      <w:r w:rsidR="0051323F">
        <w:t xml:space="preserve"> medical certificates are only mentioned in 1407(b), the subsection that specifies the rules utilities must follow regarding the timing of reconnection of service.  </w:t>
      </w:r>
      <w:r w:rsidR="00C659E6">
        <w:t>Nothing</w:t>
      </w:r>
      <w:r w:rsidR="00137754">
        <w:t xml:space="preserve"> in 1407(b) </w:t>
      </w:r>
      <w:r w:rsidR="00C659E6">
        <w:t>erodes</w:t>
      </w:r>
      <w:r w:rsidR="00137754">
        <w:t xml:space="preserve"> a utility’s rights under 1407(a)</w:t>
      </w:r>
      <w:r w:rsidR="00C659E6">
        <w:t xml:space="preserve">, </w:t>
      </w:r>
      <w:r w:rsidR="000F6214">
        <w:t>which</w:t>
      </w:r>
      <w:r w:rsidR="009A3082">
        <w:t xml:space="preserve"> </w:t>
      </w:r>
      <w:r w:rsidR="0069435E">
        <w:t>permit</w:t>
      </w:r>
      <w:r w:rsidR="00C659E6">
        <w:t>s utilities to charge</w:t>
      </w:r>
      <w:r w:rsidR="00137754">
        <w:t xml:space="preserve"> reconnection fees</w:t>
      </w:r>
      <w:r w:rsidR="00C659E6">
        <w:t xml:space="preserve">, or 1407(b), </w:t>
      </w:r>
      <w:r w:rsidR="009A3082">
        <w:t xml:space="preserve">which </w:t>
      </w:r>
      <w:r w:rsidR="007332E3">
        <w:t>allow</w:t>
      </w:r>
      <w:r w:rsidR="00C659E6">
        <w:t>s</w:t>
      </w:r>
      <w:r w:rsidR="007332E3">
        <w:t xml:space="preserve"> </w:t>
      </w:r>
      <w:r w:rsidR="00C659E6">
        <w:t>utilities</w:t>
      </w:r>
      <w:r w:rsidR="007332E3">
        <w:t xml:space="preserve"> to </w:t>
      </w:r>
      <w:r w:rsidR="0069435E">
        <w:t>require</w:t>
      </w:r>
      <w:r w:rsidR="00137754">
        <w:t xml:space="preserve"> payment of all or a portion of an applicant’s outstanding balance</w:t>
      </w:r>
      <w:r w:rsidR="00C659E6">
        <w:t xml:space="preserve"> </w:t>
      </w:r>
      <w:r w:rsidR="00C659E6">
        <w:lastRenderedPageBreak/>
        <w:t xml:space="preserve">before </w:t>
      </w:r>
      <w:r w:rsidR="009A3082">
        <w:t>reconnection</w:t>
      </w:r>
      <w:r w:rsidR="00137754">
        <w:t xml:space="preserve">.  Further, 1407(b) </w:t>
      </w:r>
      <w:r w:rsidR="00966272">
        <w:t>clearly states that utilities are only required to abide by the timing provisions “provided the applicant has met all applicable conditions.”</w:t>
      </w:r>
      <w:r w:rsidR="000F6214">
        <w:t xml:space="preserve">  Thus, it is only after an applicant for service has complied with “all applicable conditions” that medical certificates play a role in the restoration of service, and that role is only to accelerate the timeframe the utility has to restore the applicant’s service.</w:t>
      </w:r>
      <w:r w:rsidR="000F6214">
        <w:rPr>
          <w:rStyle w:val="FootnoteReference"/>
        </w:rPr>
        <w:footnoteReference w:id="4"/>
      </w:r>
    </w:p>
    <w:p w:rsidR="000F6214" w:rsidRDefault="000F6214" w:rsidP="0065050C">
      <w:pPr>
        <w:pStyle w:val="p4"/>
      </w:pPr>
    </w:p>
    <w:p w:rsidR="00997DE6" w:rsidRPr="00EE1A1A" w:rsidRDefault="00420A58" w:rsidP="0065050C">
      <w:pPr>
        <w:pStyle w:val="p4"/>
      </w:pPr>
      <w:r>
        <w:t>I believe these changes are not only necessary to comply</w:t>
      </w:r>
      <w:r w:rsidR="003F5766">
        <w:t xml:space="preserve"> with</w:t>
      </w:r>
      <w:r w:rsidR="00997DE6">
        <w:t xml:space="preserve"> Chapter 14, </w:t>
      </w:r>
      <w:r>
        <w:t xml:space="preserve">but </w:t>
      </w:r>
      <w:r w:rsidR="00D1323C">
        <w:t xml:space="preserve">are </w:t>
      </w:r>
      <w:r>
        <w:t>also</w:t>
      </w:r>
      <w:r w:rsidR="00997DE6">
        <w:t xml:space="preserve"> sound public policy.  Duquesne Light Company</w:t>
      </w:r>
      <w:r w:rsidR="00F30C77">
        <w:t xml:space="preserve">, the smallest of the large electric distribution companies, estimated </w:t>
      </w:r>
      <w:r w:rsidR="003F5766">
        <w:t xml:space="preserve">that </w:t>
      </w:r>
      <w:r w:rsidR="00F30C77">
        <w:t xml:space="preserve">the costs of complying with </w:t>
      </w:r>
      <w:r w:rsidR="003F5766">
        <w:t>the existing medical certificate procedures in Chapter 56</w:t>
      </w:r>
      <w:r w:rsidR="00F30C77">
        <w:t xml:space="preserve"> are $860,000 annually.  These are costs that must be borne by all </w:t>
      </w:r>
      <w:r>
        <w:t xml:space="preserve">utility </w:t>
      </w:r>
      <w:r w:rsidR="00F30C77">
        <w:t xml:space="preserve">ratepayers, just as </w:t>
      </w:r>
      <w:r w:rsidR="007A738E">
        <w:t xml:space="preserve">those same ratepayers </w:t>
      </w:r>
      <w:r w:rsidR="00D1323C">
        <w:t xml:space="preserve">will </w:t>
      </w:r>
      <w:r w:rsidR="0000384D">
        <w:t>ultimately</w:t>
      </w:r>
      <w:r w:rsidR="007A738E">
        <w:t xml:space="preserve"> pay</w:t>
      </w:r>
      <w:r>
        <w:t xml:space="preserve"> for the </w:t>
      </w:r>
      <w:r w:rsidR="00F30C77">
        <w:t>bad debt expense</w:t>
      </w:r>
      <w:r w:rsidR="007A738E">
        <w:t xml:space="preserve"> utilities </w:t>
      </w:r>
      <w:r w:rsidR="00092F2A">
        <w:t>accrue because</w:t>
      </w:r>
      <w:r w:rsidR="0000384D">
        <w:t xml:space="preserve"> </w:t>
      </w:r>
      <w:r w:rsidR="00F30C77">
        <w:t xml:space="preserve">of </w:t>
      </w:r>
      <w:r w:rsidR="007A738E">
        <w:t>customer</w:t>
      </w:r>
      <w:r w:rsidR="00CF3B87">
        <w:t>s</w:t>
      </w:r>
      <w:r w:rsidR="007A738E">
        <w:t xml:space="preserve"> who </w:t>
      </w:r>
      <w:r w:rsidR="00FC49DC">
        <w:t>abuse</w:t>
      </w:r>
      <w:r w:rsidR="00F30C77">
        <w:t xml:space="preserve"> </w:t>
      </w:r>
      <w:r w:rsidR="00CF3B87">
        <w:t xml:space="preserve">the </w:t>
      </w:r>
      <w:r w:rsidR="00F30C77">
        <w:t>termination and restor</w:t>
      </w:r>
      <w:r w:rsidR="00CF3B87">
        <w:t>ation</w:t>
      </w:r>
      <w:r w:rsidR="0000384D">
        <w:t xml:space="preserve"> process</w:t>
      </w:r>
      <w:r w:rsidR="004B48FB">
        <w:t>.  I believe that the Commission has an obligation to take every action within its authority to limit the ability of bad</w:t>
      </w:r>
      <w:r w:rsidR="00CF3B87">
        <w:t xml:space="preserve"> actors</w:t>
      </w:r>
      <w:r w:rsidR="004B48FB">
        <w:t xml:space="preserve"> to “game” these rules.  </w:t>
      </w:r>
      <w:r w:rsidR="00DB33A7">
        <w:t>C</w:t>
      </w:r>
      <w:r w:rsidR="004B48FB">
        <w:t xml:space="preserve">ustomers with legitimate medical conditions have ample time to provide </w:t>
      </w:r>
      <w:r w:rsidR="0000384D">
        <w:t xml:space="preserve">utilities with </w:t>
      </w:r>
      <w:r w:rsidR="004B48FB">
        <w:t xml:space="preserve">the necessary information to ensure the continuation of service.  It is only after the customer relationship is severed, </w:t>
      </w:r>
      <w:r w:rsidR="00DB33A7">
        <w:t>following</w:t>
      </w:r>
      <w:r w:rsidR="004B48FB">
        <w:t xml:space="preserve"> numerous notices </w:t>
      </w:r>
      <w:r w:rsidR="00D1323C">
        <w:t xml:space="preserve">from the utility </w:t>
      </w:r>
      <w:r w:rsidR="004B48FB">
        <w:t xml:space="preserve">outlining </w:t>
      </w:r>
      <w:r w:rsidR="00D1323C">
        <w:t xml:space="preserve">the </w:t>
      </w:r>
      <w:r w:rsidR="004B48FB">
        <w:t>steps to avoid termination</w:t>
      </w:r>
      <w:r w:rsidR="00E21F94">
        <w:t xml:space="preserve">, that the right </w:t>
      </w:r>
      <w:r w:rsidR="00205C63">
        <w:t xml:space="preserve">to </w:t>
      </w:r>
      <w:r w:rsidR="00092F2A">
        <w:t>use a medical certificate as a tool to guarantee the continuation of service ceases</w:t>
      </w:r>
      <w:r w:rsidR="00E21F94">
        <w:t xml:space="preserve">.  </w:t>
      </w:r>
    </w:p>
    <w:p w:rsidR="00760234" w:rsidRPr="00EE1A1A" w:rsidRDefault="00760234">
      <w:pPr>
        <w:pStyle w:val="p4"/>
      </w:pPr>
    </w:p>
    <w:p w:rsidR="00A021C3" w:rsidRPr="00EE1A1A" w:rsidRDefault="00A021C3">
      <w:pPr>
        <w:pStyle w:val="p4"/>
      </w:pPr>
    </w:p>
    <w:p w:rsidR="00204F69" w:rsidRPr="00EE1A1A" w:rsidRDefault="00204F69">
      <w:pPr>
        <w:pStyle w:val="p3"/>
        <w:rPr>
          <w:b/>
          <w:bCs/>
        </w:rPr>
      </w:pPr>
      <w:r w:rsidRPr="00EE1A1A">
        <w:rPr>
          <w:b/>
          <w:bCs/>
        </w:rPr>
        <w:t>THEREFORE, IT IS ORDERED</w:t>
      </w:r>
      <w:r w:rsidR="00FC49DC">
        <w:rPr>
          <w:b/>
          <w:bCs/>
        </w:rPr>
        <w:t xml:space="preserve"> THAT</w:t>
      </w:r>
      <w:r w:rsidRPr="00EE1A1A">
        <w:rPr>
          <w:b/>
          <w:bCs/>
        </w:rPr>
        <w:t>:</w:t>
      </w:r>
    </w:p>
    <w:p w:rsidR="00204F69" w:rsidRDefault="00204F69">
      <w:pPr>
        <w:tabs>
          <w:tab w:val="left" w:pos="204"/>
        </w:tabs>
        <w:rPr>
          <w:b/>
          <w:bCs/>
        </w:rPr>
      </w:pPr>
    </w:p>
    <w:p w:rsidR="00E21F94" w:rsidRDefault="00092F2A" w:rsidP="00E21F94">
      <w:pPr>
        <w:numPr>
          <w:ilvl w:val="0"/>
          <w:numId w:val="3"/>
        </w:numPr>
        <w:tabs>
          <w:tab w:val="left" w:pos="204"/>
        </w:tabs>
        <w:rPr>
          <w:bCs/>
        </w:rPr>
      </w:pPr>
      <w:r>
        <w:rPr>
          <w:bCs/>
        </w:rPr>
        <w:t>The Final Rulemaking Order is adopted, as modified by this Motion</w:t>
      </w:r>
      <w:r w:rsidR="00FC49DC">
        <w:rPr>
          <w:bCs/>
        </w:rPr>
        <w:t>.</w:t>
      </w:r>
    </w:p>
    <w:p w:rsidR="00FC49DC" w:rsidRDefault="00FC49DC" w:rsidP="00FC49DC">
      <w:pPr>
        <w:tabs>
          <w:tab w:val="left" w:pos="204"/>
        </w:tabs>
        <w:ind w:left="1080"/>
        <w:rPr>
          <w:bCs/>
        </w:rPr>
      </w:pPr>
    </w:p>
    <w:p w:rsidR="00E21F94" w:rsidRPr="00E21F94" w:rsidRDefault="00E21F94" w:rsidP="00E21F94">
      <w:pPr>
        <w:numPr>
          <w:ilvl w:val="0"/>
          <w:numId w:val="3"/>
        </w:numPr>
        <w:tabs>
          <w:tab w:val="left" w:pos="204"/>
        </w:tabs>
        <w:rPr>
          <w:bCs/>
        </w:rPr>
      </w:pPr>
      <w:r>
        <w:rPr>
          <w:bCs/>
        </w:rPr>
        <w:t xml:space="preserve">Law Bureau, in consultation with the Bureau of Consumer Services, </w:t>
      </w:r>
      <w:proofErr w:type="gramStart"/>
      <w:r>
        <w:rPr>
          <w:bCs/>
        </w:rPr>
        <w:t>prepare</w:t>
      </w:r>
      <w:proofErr w:type="gramEnd"/>
      <w:r>
        <w:rPr>
          <w:bCs/>
        </w:rPr>
        <w:t xml:space="preserve"> the appropriate Opinion and Order.  </w:t>
      </w:r>
    </w:p>
    <w:p w:rsidR="00644DB8" w:rsidRPr="00EE1A1A" w:rsidRDefault="00644DB8" w:rsidP="00644DB8">
      <w:pPr>
        <w:pStyle w:val="p5"/>
        <w:ind w:hanging="715"/>
      </w:pPr>
    </w:p>
    <w:p w:rsidR="00644DB8" w:rsidRPr="00EE1A1A" w:rsidRDefault="00644DB8" w:rsidP="00644DB8">
      <w:pPr>
        <w:pStyle w:val="p5"/>
        <w:ind w:hanging="715"/>
      </w:pPr>
    </w:p>
    <w:p w:rsidR="00644DB8" w:rsidRPr="00EE1A1A" w:rsidRDefault="00644DB8" w:rsidP="00644DB8">
      <w:pPr>
        <w:pStyle w:val="p5"/>
        <w:ind w:hanging="715"/>
      </w:pPr>
    </w:p>
    <w:p w:rsidR="00204F69" w:rsidRPr="00EE1A1A" w:rsidRDefault="00204F69">
      <w:pPr>
        <w:pStyle w:val="t1"/>
        <w:tabs>
          <w:tab w:val="left" w:pos="4371"/>
        </w:tabs>
      </w:pPr>
      <w:r w:rsidRPr="00EE1A1A">
        <w:rPr>
          <w:b/>
          <w:bCs/>
        </w:rPr>
        <w:t xml:space="preserve">DATED: </w:t>
      </w:r>
      <w:r w:rsidR="0065050C" w:rsidRPr="00EE1A1A">
        <w:rPr>
          <w:b/>
          <w:bCs/>
          <w:u w:val="single"/>
        </w:rPr>
        <w:t>February 24, 2011</w:t>
      </w:r>
      <w:r w:rsidRPr="00EE1A1A">
        <w:rPr>
          <w:b/>
          <w:bCs/>
        </w:rPr>
        <w:tab/>
      </w:r>
      <w:r w:rsidR="00E21F94">
        <w:rPr>
          <w:b/>
          <w:bCs/>
        </w:rPr>
        <w:tab/>
      </w:r>
      <w:r w:rsidR="00644DB8" w:rsidRPr="00EE1A1A">
        <w:rPr>
          <w:b/>
          <w:bCs/>
        </w:rPr>
        <w:tab/>
      </w:r>
      <w:r w:rsidRPr="00EE1A1A">
        <w:t>______________</w:t>
      </w:r>
      <w:r w:rsidR="00E21F94">
        <w:t>__________</w:t>
      </w:r>
      <w:r w:rsidRPr="00EE1A1A">
        <w:t>_____</w:t>
      </w:r>
    </w:p>
    <w:p w:rsidR="00204F69" w:rsidRPr="00EE1A1A" w:rsidRDefault="00204F69">
      <w:pPr>
        <w:pStyle w:val="t1"/>
        <w:tabs>
          <w:tab w:val="left" w:pos="4371"/>
        </w:tabs>
        <w:rPr>
          <w:b/>
          <w:bCs/>
        </w:rPr>
      </w:pPr>
      <w:r w:rsidRPr="00EE1A1A">
        <w:tab/>
      </w:r>
      <w:r w:rsidR="00644DB8" w:rsidRPr="00EE1A1A">
        <w:tab/>
      </w:r>
      <w:r w:rsidR="00E21F94">
        <w:tab/>
      </w:r>
      <w:r w:rsidR="00644DB8" w:rsidRPr="00EE1A1A">
        <w:rPr>
          <w:b/>
        </w:rPr>
        <w:t>Robert F. Powelson</w:t>
      </w:r>
    </w:p>
    <w:p w:rsidR="00204F69" w:rsidRPr="00EE1A1A" w:rsidRDefault="00204F69">
      <w:pPr>
        <w:pStyle w:val="t1"/>
        <w:tabs>
          <w:tab w:val="left" w:pos="4371"/>
        </w:tabs>
        <w:rPr>
          <w:b/>
          <w:bCs/>
        </w:rPr>
      </w:pPr>
      <w:r w:rsidRPr="00EE1A1A">
        <w:rPr>
          <w:b/>
          <w:bCs/>
        </w:rPr>
        <w:tab/>
      </w:r>
      <w:r w:rsidR="00644DB8" w:rsidRPr="00EE1A1A">
        <w:rPr>
          <w:b/>
          <w:bCs/>
        </w:rPr>
        <w:tab/>
      </w:r>
      <w:r w:rsidR="00E21F94">
        <w:rPr>
          <w:b/>
          <w:bCs/>
        </w:rPr>
        <w:tab/>
      </w:r>
      <w:r w:rsidRPr="00EE1A1A">
        <w:rPr>
          <w:b/>
          <w:bCs/>
        </w:rPr>
        <w:t>Commissioner</w:t>
      </w: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p w:rsidR="00204F69" w:rsidRPr="00EE1A1A" w:rsidRDefault="00204F69">
      <w:pPr>
        <w:tabs>
          <w:tab w:val="left" w:pos="4371"/>
        </w:tabs>
        <w:rPr>
          <w:b/>
          <w:bCs/>
        </w:rPr>
      </w:pPr>
    </w:p>
    <w:sectPr w:rsidR="00204F69" w:rsidRPr="00EE1A1A" w:rsidSect="00D05157"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0AD" w:rsidRDefault="00B000AD" w:rsidP="002F3D31">
      <w:r>
        <w:separator/>
      </w:r>
    </w:p>
  </w:endnote>
  <w:endnote w:type="continuationSeparator" w:id="0">
    <w:p w:rsidR="00B000AD" w:rsidRDefault="00B000AD" w:rsidP="002F3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0AD" w:rsidRDefault="00B000AD" w:rsidP="002F3D31">
      <w:r>
        <w:separator/>
      </w:r>
    </w:p>
  </w:footnote>
  <w:footnote w:type="continuationSeparator" w:id="0">
    <w:p w:rsidR="00B000AD" w:rsidRDefault="00B000AD" w:rsidP="002F3D31">
      <w:r>
        <w:continuationSeparator/>
      </w:r>
    </w:p>
  </w:footnote>
  <w:footnote w:id="1">
    <w:p w:rsidR="00CB1694" w:rsidRDefault="00CB1694" w:rsidP="00CB16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66 Pa. C.S. §§ 1406, 1407.</w:t>
      </w:r>
      <w:proofErr w:type="gramEnd"/>
    </w:p>
  </w:footnote>
  <w:footnote w:id="2">
    <w:p w:rsidR="00AA2BEC" w:rsidRDefault="00AA2B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52 Pa. Code § 56.111.</w:t>
      </w:r>
      <w:proofErr w:type="gramEnd"/>
    </w:p>
  </w:footnote>
  <w:footnote w:id="3">
    <w:p w:rsidR="00957263" w:rsidRDefault="00957263" w:rsidP="009572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66 Pa. C.S. § 1406(f).</w:t>
      </w:r>
      <w:proofErr w:type="gramEnd"/>
    </w:p>
  </w:footnote>
  <w:footnote w:id="4">
    <w:p w:rsidR="000F6214" w:rsidRDefault="000F6214" w:rsidP="000F62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66 Pa. C.S. § 1407(b).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3013"/>
    <w:multiLevelType w:val="hybridMultilevel"/>
    <w:tmpl w:val="102CBD46"/>
    <w:lvl w:ilvl="0" w:tplc="31E6C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484DAF"/>
    <w:multiLevelType w:val="hybridMultilevel"/>
    <w:tmpl w:val="A9F6F816"/>
    <w:lvl w:ilvl="0" w:tplc="BF2819E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D14768"/>
    <w:multiLevelType w:val="hybridMultilevel"/>
    <w:tmpl w:val="88EEA74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276E"/>
    <w:rsid w:val="0000384D"/>
    <w:rsid w:val="00046CC5"/>
    <w:rsid w:val="000774D7"/>
    <w:rsid w:val="0008281C"/>
    <w:rsid w:val="00092F2A"/>
    <w:rsid w:val="000F276E"/>
    <w:rsid w:val="000F6214"/>
    <w:rsid w:val="00137754"/>
    <w:rsid w:val="00144B89"/>
    <w:rsid w:val="001742A1"/>
    <w:rsid w:val="001B1367"/>
    <w:rsid w:val="001B56AA"/>
    <w:rsid w:val="001F4F5C"/>
    <w:rsid w:val="00204F69"/>
    <w:rsid w:val="00205C63"/>
    <w:rsid w:val="0022132F"/>
    <w:rsid w:val="00272833"/>
    <w:rsid w:val="002800CE"/>
    <w:rsid w:val="002808C4"/>
    <w:rsid w:val="002F3D31"/>
    <w:rsid w:val="00317287"/>
    <w:rsid w:val="003A043C"/>
    <w:rsid w:val="003A28B0"/>
    <w:rsid w:val="003C3496"/>
    <w:rsid w:val="003F5766"/>
    <w:rsid w:val="0041573E"/>
    <w:rsid w:val="00420A58"/>
    <w:rsid w:val="0043335A"/>
    <w:rsid w:val="0048041C"/>
    <w:rsid w:val="0048374F"/>
    <w:rsid w:val="004945F9"/>
    <w:rsid w:val="004B48FB"/>
    <w:rsid w:val="005003E9"/>
    <w:rsid w:val="0051323F"/>
    <w:rsid w:val="005B2DC3"/>
    <w:rsid w:val="0061779D"/>
    <w:rsid w:val="00644DB8"/>
    <w:rsid w:val="00647BAC"/>
    <w:rsid w:val="0065050C"/>
    <w:rsid w:val="0066453B"/>
    <w:rsid w:val="0069435E"/>
    <w:rsid w:val="006B4F0E"/>
    <w:rsid w:val="006C618F"/>
    <w:rsid w:val="00732786"/>
    <w:rsid w:val="007332E3"/>
    <w:rsid w:val="00734705"/>
    <w:rsid w:val="00760234"/>
    <w:rsid w:val="00762717"/>
    <w:rsid w:val="00781DF3"/>
    <w:rsid w:val="007A738E"/>
    <w:rsid w:val="007B2F22"/>
    <w:rsid w:val="007D1BD4"/>
    <w:rsid w:val="007D5690"/>
    <w:rsid w:val="00806FBB"/>
    <w:rsid w:val="00841690"/>
    <w:rsid w:val="00882811"/>
    <w:rsid w:val="008A66BD"/>
    <w:rsid w:val="008D7A9A"/>
    <w:rsid w:val="00920675"/>
    <w:rsid w:val="0093551A"/>
    <w:rsid w:val="00957263"/>
    <w:rsid w:val="009648B4"/>
    <w:rsid w:val="00966272"/>
    <w:rsid w:val="00995540"/>
    <w:rsid w:val="00997DE6"/>
    <w:rsid w:val="009A3082"/>
    <w:rsid w:val="009A5CFC"/>
    <w:rsid w:val="009E2997"/>
    <w:rsid w:val="00A021C3"/>
    <w:rsid w:val="00A030D6"/>
    <w:rsid w:val="00A932E8"/>
    <w:rsid w:val="00AA2BEC"/>
    <w:rsid w:val="00AC3D3F"/>
    <w:rsid w:val="00AC5DAC"/>
    <w:rsid w:val="00B000AD"/>
    <w:rsid w:val="00B14415"/>
    <w:rsid w:val="00B4407B"/>
    <w:rsid w:val="00BA7CE2"/>
    <w:rsid w:val="00BC00CB"/>
    <w:rsid w:val="00C05AF1"/>
    <w:rsid w:val="00C659E6"/>
    <w:rsid w:val="00C90381"/>
    <w:rsid w:val="00C92FDA"/>
    <w:rsid w:val="00CA7622"/>
    <w:rsid w:val="00CB1694"/>
    <w:rsid w:val="00CF1BA5"/>
    <w:rsid w:val="00CF3B87"/>
    <w:rsid w:val="00D032CB"/>
    <w:rsid w:val="00D05157"/>
    <w:rsid w:val="00D1323C"/>
    <w:rsid w:val="00D55B19"/>
    <w:rsid w:val="00DB1375"/>
    <w:rsid w:val="00DB33A7"/>
    <w:rsid w:val="00DB6FBE"/>
    <w:rsid w:val="00DB7DB0"/>
    <w:rsid w:val="00DD58DC"/>
    <w:rsid w:val="00E21F94"/>
    <w:rsid w:val="00EE1A1A"/>
    <w:rsid w:val="00F26F71"/>
    <w:rsid w:val="00F30C77"/>
    <w:rsid w:val="00F330B3"/>
    <w:rsid w:val="00F64936"/>
    <w:rsid w:val="00F65EC0"/>
    <w:rsid w:val="00FC49DC"/>
    <w:rsid w:val="00FD620C"/>
    <w:rsid w:val="00FF6753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5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D05157"/>
  </w:style>
  <w:style w:type="paragraph" w:customStyle="1" w:styleId="c2">
    <w:name w:val="c2"/>
    <w:basedOn w:val="Normal"/>
    <w:uiPriority w:val="99"/>
    <w:rsid w:val="00D05157"/>
    <w:pPr>
      <w:jc w:val="center"/>
    </w:pPr>
  </w:style>
  <w:style w:type="paragraph" w:customStyle="1" w:styleId="p3">
    <w:name w:val="p3"/>
    <w:basedOn w:val="Normal"/>
    <w:uiPriority w:val="99"/>
    <w:rsid w:val="00D05157"/>
    <w:pPr>
      <w:tabs>
        <w:tab w:val="left" w:pos="204"/>
      </w:tabs>
    </w:pPr>
  </w:style>
  <w:style w:type="paragraph" w:customStyle="1" w:styleId="p4">
    <w:name w:val="p4"/>
    <w:basedOn w:val="Normal"/>
    <w:uiPriority w:val="99"/>
    <w:rsid w:val="00D05157"/>
    <w:pPr>
      <w:tabs>
        <w:tab w:val="left" w:pos="725"/>
      </w:tabs>
      <w:ind w:firstLine="725"/>
    </w:pPr>
  </w:style>
  <w:style w:type="paragraph" w:customStyle="1" w:styleId="p5">
    <w:name w:val="p5"/>
    <w:basedOn w:val="Normal"/>
    <w:uiPriority w:val="99"/>
    <w:rsid w:val="00D05157"/>
    <w:pPr>
      <w:tabs>
        <w:tab w:val="left" w:pos="725"/>
      </w:tabs>
      <w:ind w:left="715" w:hanging="725"/>
    </w:pPr>
  </w:style>
  <w:style w:type="paragraph" w:customStyle="1" w:styleId="c6">
    <w:name w:val="c6"/>
    <w:basedOn w:val="Normal"/>
    <w:uiPriority w:val="99"/>
    <w:rsid w:val="00D05157"/>
    <w:pPr>
      <w:jc w:val="center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3D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D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3D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7E68-8C71-492F-BEC5-B16C1B5B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MIS</dc:creator>
  <cp:keywords/>
  <dc:description/>
  <cp:lastModifiedBy>rmalinak</cp:lastModifiedBy>
  <cp:revision>2</cp:revision>
  <cp:lastPrinted>2011-02-24T14:41:00Z</cp:lastPrinted>
  <dcterms:created xsi:type="dcterms:W3CDTF">2011-02-24T16:53:00Z</dcterms:created>
  <dcterms:modified xsi:type="dcterms:W3CDTF">2011-02-24T16:53:00Z</dcterms:modified>
</cp:coreProperties>
</file>