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5A0C0F" w:rsidRDefault="00DD3605" w:rsidP="005A0C0F">
      <w:pPr>
        <w:jc w:val="center"/>
        <w:rPr>
          <w:b/>
          <w:sz w:val="24"/>
          <w:szCs w:val="24"/>
        </w:rPr>
      </w:pPr>
      <w:r w:rsidRPr="005A0C0F">
        <w:rPr>
          <w:b/>
          <w:sz w:val="24"/>
          <w:szCs w:val="24"/>
        </w:rPr>
        <w:t>BEFORE THE</w:t>
      </w:r>
    </w:p>
    <w:p w:rsidR="00DD3605" w:rsidRPr="005A0C0F" w:rsidRDefault="00DD3605" w:rsidP="005A0C0F">
      <w:pPr>
        <w:jc w:val="center"/>
        <w:rPr>
          <w:b/>
          <w:sz w:val="24"/>
          <w:szCs w:val="24"/>
        </w:rPr>
      </w:pPr>
      <w:r w:rsidRPr="005A0C0F">
        <w:rPr>
          <w:b/>
          <w:sz w:val="24"/>
          <w:szCs w:val="24"/>
        </w:rPr>
        <w:t>PENNSYLVANIA PUBLIC UTILITY COMMISSION</w:t>
      </w:r>
    </w:p>
    <w:p w:rsidR="00DD3605" w:rsidRPr="005A0C0F" w:rsidRDefault="00DD3605" w:rsidP="005A0C0F">
      <w:pPr>
        <w:jc w:val="center"/>
        <w:rPr>
          <w:b/>
          <w:sz w:val="24"/>
          <w:szCs w:val="24"/>
        </w:rPr>
      </w:pPr>
    </w:p>
    <w:p w:rsidR="00DD3605" w:rsidRPr="005A0C0F" w:rsidRDefault="00DD3605" w:rsidP="005A0C0F">
      <w:pPr>
        <w:jc w:val="center"/>
        <w:rPr>
          <w:b/>
          <w:sz w:val="24"/>
          <w:szCs w:val="24"/>
        </w:rPr>
      </w:pPr>
    </w:p>
    <w:p w:rsidR="00DD3605" w:rsidRPr="005A0C0F" w:rsidRDefault="00DD3605" w:rsidP="005A0C0F">
      <w:pPr>
        <w:jc w:val="center"/>
        <w:rPr>
          <w:b/>
          <w:sz w:val="24"/>
          <w:szCs w:val="24"/>
        </w:rPr>
      </w:pPr>
    </w:p>
    <w:p w:rsidR="00DD3605" w:rsidRPr="005A0C0F" w:rsidRDefault="0091344C" w:rsidP="005A0C0F">
      <w:pPr>
        <w:rPr>
          <w:sz w:val="24"/>
          <w:szCs w:val="24"/>
        </w:rPr>
      </w:pPr>
      <w:r>
        <w:rPr>
          <w:sz w:val="24"/>
          <w:szCs w:val="24"/>
        </w:rPr>
        <w:t>Pamela Newman</w:t>
      </w:r>
      <w:r>
        <w:rPr>
          <w:sz w:val="24"/>
          <w:szCs w:val="24"/>
        </w:rPr>
        <w:tab/>
      </w:r>
      <w:r>
        <w:rPr>
          <w:sz w:val="24"/>
          <w:szCs w:val="24"/>
        </w:rPr>
        <w:tab/>
      </w:r>
      <w:r w:rsidR="00DD3605" w:rsidRPr="005A0C0F">
        <w:rPr>
          <w:sz w:val="24"/>
          <w:szCs w:val="24"/>
        </w:rPr>
        <w:tab/>
      </w:r>
      <w:r w:rsidR="00DD3605" w:rsidRPr="005A0C0F">
        <w:rPr>
          <w:sz w:val="24"/>
          <w:szCs w:val="24"/>
        </w:rPr>
        <w:tab/>
      </w:r>
      <w:r w:rsidR="00DD3605" w:rsidRPr="005A0C0F">
        <w:rPr>
          <w:sz w:val="24"/>
          <w:szCs w:val="24"/>
        </w:rPr>
        <w:tab/>
        <w:t>:</w:t>
      </w:r>
    </w:p>
    <w:p w:rsidR="00DD3605" w:rsidRPr="005A0C0F" w:rsidRDefault="00DD3605" w:rsidP="005A0C0F">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DD3605" w:rsidRPr="005A0C0F" w:rsidRDefault="00DD3605" w:rsidP="005A0C0F">
      <w:pPr>
        <w:rPr>
          <w:sz w:val="24"/>
          <w:szCs w:val="24"/>
        </w:rPr>
      </w:pPr>
      <w:r w:rsidRPr="005A0C0F">
        <w:rPr>
          <w:sz w:val="24"/>
          <w:szCs w:val="24"/>
        </w:rPr>
        <w:tab/>
        <w:t>v.</w:t>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r w:rsidRPr="005A0C0F">
        <w:rPr>
          <w:sz w:val="24"/>
          <w:szCs w:val="24"/>
        </w:rPr>
        <w:tab/>
        <w:t>Docket No. C-2009-2134366</w:t>
      </w:r>
    </w:p>
    <w:p w:rsidR="00DD3605" w:rsidRPr="005A0C0F" w:rsidRDefault="00DD3605" w:rsidP="005A0C0F">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DD3605" w:rsidRPr="005A0C0F" w:rsidRDefault="00DD3605" w:rsidP="005A0C0F">
      <w:pPr>
        <w:rPr>
          <w:sz w:val="24"/>
          <w:szCs w:val="24"/>
        </w:rPr>
      </w:pPr>
      <w:r w:rsidRPr="005A0C0F">
        <w:rPr>
          <w:sz w:val="24"/>
          <w:szCs w:val="24"/>
        </w:rPr>
        <w:t>Philadelphia Gas Works</w:t>
      </w:r>
      <w:r w:rsidR="0091344C">
        <w:rPr>
          <w:sz w:val="24"/>
          <w:szCs w:val="24"/>
        </w:rPr>
        <w:tab/>
      </w:r>
      <w:r w:rsidRPr="005A0C0F">
        <w:rPr>
          <w:sz w:val="24"/>
          <w:szCs w:val="24"/>
        </w:rPr>
        <w:tab/>
      </w:r>
      <w:r w:rsidRPr="005A0C0F">
        <w:rPr>
          <w:sz w:val="24"/>
          <w:szCs w:val="24"/>
        </w:rPr>
        <w:tab/>
      </w:r>
      <w:r w:rsidRPr="005A0C0F">
        <w:rPr>
          <w:sz w:val="24"/>
          <w:szCs w:val="24"/>
        </w:rPr>
        <w:tab/>
        <w:t>:</w:t>
      </w:r>
    </w:p>
    <w:p w:rsidR="00DD3605" w:rsidRPr="005A0C0F" w:rsidRDefault="00DD3605" w:rsidP="005A0C0F">
      <w:pPr>
        <w:rPr>
          <w:sz w:val="24"/>
          <w:szCs w:val="24"/>
        </w:rPr>
      </w:pPr>
    </w:p>
    <w:p w:rsidR="00DD3605" w:rsidRPr="005A0C0F" w:rsidRDefault="00DD3605" w:rsidP="005A0C0F">
      <w:pPr>
        <w:rPr>
          <w:sz w:val="24"/>
          <w:szCs w:val="24"/>
        </w:rPr>
      </w:pPr>
    </w:p>
    <w:p w:rsidR="00E122C5" w:rsidRPr="005A0C0F" w:rsidRDefault="00E122C5" w:rsidP="005A0C0F">
      <w:pPr>
        <w:rPr>
          <w:sz w:val="24"/>
          <w:szCs w:val="24"/>
        </w:rPr>
      </w:pPr>
    </w:p>
    <w:p w:rsidR="00DD3605" w:rsidRPr="005A0C0F" w:rsidRDefault="00DD3605" w:rsidP="005A0C0F">
      <w:pPr>
        <w:pStyle w:val="Heading1"/>
        <w:rPr>
          <w:rFonts w:ascii="Times New Roman" w:hAnsi="Times New Roman"/>
          <w:szCs w:val="24"/>
        </w:rPr>
      </w:pPr>
      <w:r w:rsidRPr="005A0C0F">
        <w:rPr>
          <w:rFonts w:ascii="Times New Roman" w:hAnsi="Times New Roman"/>
          <w:szCs w:val="24"/>
        </w:rPr>
        <w:t>INITIAL DECISION</w:t>
      </w:r>
    </w:p>
    <w:p w:rsidR="00DD3605" w:rsidRPr="005A0C0F" w:rsidRDefault="00DD3605" w:rsidP="005A0C0F">
      <w:pPr>
        <w:jc w:val="center"/>
        <w:rPr>
          <w:b/>
          <w:sz w:val="24"/>
          <w:szCs w:val="24"/>
        </w:rPr>
      </w:pPr>
    </w:p>
    <w:p w:rsidR="00DD3605" w:rsidRPr="005A0C0F" w:rsidRDefault="00DD3605" w:rsidP="005A0C0F">
      <w:pPr>
        <w:jc w:val="center"/>
        <w:rPr>
          <w:b/>
          <w:sz w:val="24"/>
          <w:szCs w:val="24"/>
        </w:rPr>
      </w:pPr>
    </w:p>
    <w:p w:rsidR="00DD3605" w:rsidRPr="005A0C0F" w:rsidRDefault="00DD3605" w:rsidP="005A0C0F">
      <w:pPr>
        <w:pStyle w:val="Heading2"/>
        <w:rPr>
          <w:rFonts w:ascii="Times New Roman" w:hAnsi="Times New Roman"/>
          <w:b w:val="0"/>
          <w:szCs w:val="24"/>
        </w:rPr>
      </w:pPr>
      <w:r w:rsidRPr="005A0C0F">
        <w:rPr>
          <w:rFonts w:ascii="Times New Roman" w:hAnsi="Times New Roman"/>
          <w:b w:val="0"/>
          <w:szCs w:val="24"/>
        </w:rPr>
        <w:t>Before</w:t>
      </w:r>
    </w:p>
    <w:p w:rsidR="00DD3605" w:rsidRPr="005A0C0F" w:rsidRDefault="00DD3605" w:rsidP="005A0C0F">
      <w:pPr>
        <w:jc w:val="center"/>
        <w:rPr>
          <w:sz w:val="24"/>
          <w:szCs w:val="24"/>
        </w:rPr>
      </w:pPr>
      <w:r w:rsidRPr="005A0C0F">
        <w:rPr>
          <w:sz w:val="24"/>
          <w:szCs w:val="24"/>
        </w:rPr>
        <w:t>Dennis J. Buckley</w:t>
      </w:r>
    </w:p>
    <w:p w:rsidR="00DD3605" w:rsidRPr="005A0C0F" w:rsidRDefault="00DD3605" w:rsidP="005A0C0F">
      <w:pPr>
        <w:jc w:val="center"/>
        <w:rPr>
          <w:sz w:val="24"/>
          <w:szCs w:val="24"/>
        </w:rPr>
      </w:pPr>
      <w:r w:rsidRPr="005A0C0F">
        <w:rPr>
          <w:sz w:val="24"/>
          <w:szCs w:val="24"/>
        </w:rPr>
        <w:t>Administrative Law Judge</w:t>
      </w:r>
    </w:p>
    <w:p w:rsidR="00DD3605" w:rsidRPr="005A0C0F" w:rsidRDefault="00DD3605" w:rsidP="005A0C0F">
      <w:pPr>
        <w:jc w:val="center"/>
        <w:rPr>
          <w:b/>
          <w:sz w:val="24"/>
          <w:szCs w:val="24"/>
        </w:rPr>
      </w:pPr>
    </w:p>
    <w:p w:rsidR="008F604A" w:rsidRPr="005A0C0F" w:rsidRDefault="008F604A" w:rsidP="005A0C0F">
      <w:pPr>
        <w:rPr>
          <w:b/>
          <w:sz w:val="24"/>
          <w:szCs w:val="24"/>
        </w:rPr>
      </w:pPr>
    </w:p>
    <w:p w:rsidR="00DD3605" w:rsidRPr="005A0C0F" w:rsidRDefault="00DD3605" w:rsidP="005A0C0F">
      <w:pPr>
        <w:pStyle w:val="Heading1"/>
        <w:tabs>
          <w:tab w:val="left" w:pos="1980"/>
        </w:tabs>
        <w:rPr>
          <w:rFonts w:ascii="Times New Roman" w:hAnsi="Times New Roman"/>
          <w:b w:val="0"/>
          <w:szCs w:val="24"/>
        </w:rPr>
      </w:pPr>
      <w:r w:rsidRPr="005A0C0F">
        <w:rPr>
          <w:rFonts w:ascii="Times New Roman" w:hAnsi="Times New Roman"/>
          <w:b w:val="0"/>
          <w:szCs w:val="24"/>
        </w:rPr>
        <w:t>HISTORY OF THE PROCEEDING</w:t>
      </w:r>
    </w:p>
    <w:p w:rsidR="00DD3605" w:rsidRPr="005A0C0F" w:rsidRDefault="00DD3605" w:rsidP="005A0C0F">
      <w:pPr>
        <w:rPr>
          <w:sz w:val="24"/>
          <w:szCs w:val="24"/>
        </w:rPr>
      </w:pPr>
    </w:p>
    <w:p w:rsidR="008F604A" w:rsidRPr="005A0C0F" w:rsidRDefault="008F604A" w:rsidP="005A0C0F">
      <w:pPr>
        <w:rPr>
          <w:sz w:val="24"/>
          <w:szCs w:val="24"/>
        </w:rPr>
      </w:pPr>
    </w:p>
    <w:p w:rsidR="00DD3605" w:rsidRPr="005A0C0F" w:rsidRDefault="00DD3605" w:rsidP="005A0C0F">
      <w:pPr>
        <w:spacing w:line="360" w:lineRule="auto"/>
        <w:rPr>
          <w:sz w:val="24"/>
          <w:szCs w:val="24"/>
        </w:rPr>
      </w:pPr>
      <w:r w:rsidRPr="005A0C0F">
        <w:rPr>
          <w:sz w:val="24"/>
          <w:szCs w:val="24"/>
        </w:rPr>
        <w:tab/>
      </w:r>
      <w:r w:rsidRPr="005A0C0F">
        <w:rPr>
          <w:sz w:val="24"/>
          <w:szCs w:val="24"/>
        </w:rPr>
        <w:tab/>
        <w:t xml:space="preserve">On September 24, 2009, Pamela Newman (Complainant) filed a Complaint against </w:t>
      </w:r>
      <w:r w:rsidRPr="005A0C0F">
        <w:rPr>
          <w:bCs/>
          <w:sz w:val="24"/>
          <w:szCs w:val="24"/>
        </w:rPr>
        <w:t>Philadelphia</w:t>
      </w:r>
      <w:r w:rsidRPr="005A0C0F">
        <w:rPr>
          <w:sz w:val="24"/>
          <w:szCs w:val="24"/>
        </w:rPr>
        <w:t xml:space="preserve"> Gas </w:t>
      </w:r>
      <w:r w:rsidRPr="005A0C0F">
        <w:rPr>
          <w:bCs/>
          <w:sz w:val="24"/>
          <w:szCs w:val="24"/>
        </w:rPr>
        <w:t>Works</w:t>
      </w:r>
      <w:r w:rsidRPr="005A0C0F">
        <w:rPr>
          <w:sz w:val="24"/>
          <w:szCs w:val="24"/>
        </w:rPr>
        <w:t xml:space="preserve"> (Respondent or PGW) alleging that she was improperly </w:t>
      </w:r>
      <w:r w:rsidR="003E60C1" w:rsidRPr="005A0C0F">
        <w:rPr>
          <w:sz w:val="24"/>
          <w:szCs w:val="24"/>
        </w:rPr>
        <w:t xml:space="preserve">billed </w:t>
      </w:r>
      <w:r w:rsidRPr="005A0C0F">
        <w:rPr>
          <w:sz w:val="24"/>
          <w:szCs w:val="24"/>
        </w:rPr>
        <w:t xml:space="preserve">by PGW </w:t>
      </w:r>
      <w:r w:rsidR="00B6796D" w:rsidRPr="005A0C0F">
        <w:rPr>
          <w:sz w:val="24"/>
          <w:szCs w:val="24"/>
        </w:rPr>
        <w:t xml:space="preserve">in 2002 </w:t>
      </w:r>
      <w:r w:rsidR="005F6D34" w:rsidRPr="005A0C0F">
        <w:rPr>
          <w:sz w:val="24"/>
          <w:szCs w:val="24"/>
        </w:rPr>
        <w:t>for gas service at her residence, and that t</w:t>
      </w:r>
      <w:r w:rsidRPr="005A0C0F">
        <w:rPr>
          <w:sz w:val="24"/>
          <w:szCs w:val="24"/>
        </w:rPr>
        <w:t xml:space="preserve">he outstanding amount of the Complainant’s bill was </w:t>
      </w:r>
      <w:r w:rsidR="003E60C1" w:rsidRPr="005A0C0F">
        <w:rPr>
          <w:sz w:val="24"/>
          <w:szCs w:val="24"/>
        </w:rPr>
        <w:t xml:space="preserve">improperly collected by PGW </w:t>
      </w:r>
      <w:r w:rsidRPr="005A0C0F">
        <w:rPr>
          <w:sz w:val="24"/>
          <w:szCs w:val="24"/>
        </w:rPr>
        <w:t xml:space="preserve">in 2009 when Complainant’s </w:t>
      </w:r>
      <w:r w:rsidR="003E60C1" w:rsidRPr="005A0C0F">
        <w:rPr>
          <w:sz w:val="24"/>
          <w:szCs w:val="24"/>
        </w:rPr>
        <w:t xml:space="preserve">residential </w:t>
      </w:r>
      <w:r w:rsidRPr="005A0C0F">
        <w:rPr>
          <w:sz w:val="24"/>
          <w:szCs w:val="24"/>
        </w:rPr>
        <w:t>property was sold and PGW recovered $8,933.66 from the proceeds of that sale</w:t>
      </w:r>
      <w:r w:rsidR="003E60C1" w:rsidRPr="005A0C0F">
        <w:rPr>
          <w:sz w:val="24"/>
          <w:szCs w:val="24"/>
        </w:rPr>
        <w:t xml:space="preserve">.  </w:t>
      </w:r>
      <w:r w:rsidRPr="005A0C0F">
        <w:rPr>
          <w:sz w:val="24"/>
          <w:szCs w:val="24"/>
        </w:rPr>
        <w:t>Complainant is now demanding that PGW re</w:t>
      </w:r>
      <w:r w:rsidR="005F6D34" w:rsidRPr="005A0C0F">
        <w:rPr>
          <w:sz w:val="24"/>
          <w:szCs w:val="24"/>
        </w:rPr>
        <w:t>fund</w:t>
      </w:r>
      <w:r w:rsidRPr="005A0C0F">
        <w:rPr>
          <w:sz w:val="24"/>
          <w:szCs w:val="24"/>
        </w:rPr>
        <w:t xml:space="preserve"> the $8,933.66 to her.</w:t>
      </w:r>
      <w:r w:rsidRPr="005A0C0F">
        <w:rPr>
          <w:sz w:val="24"/>
          <w:szCs w:val="24"/>
        </w:rPr>
        <w:br/>
      </w:r>
      <w:r w:rsidRPr="005A0C0F">
        <w:rPr>
          <w:sz w:val="24"/>
          <w:szCs w:val="24"/>
        </w:rPr>
        <w:br/>
      </w:r>
      <w:r w:rsidRPr="005A0C0F">
        <w:rPr>
          <w:sz w:val="24"/>
          <w:szCs w:val="24"/>
        </w:rPr>
        <w:tab/>
      </w:r>
      <w:r w:rsidRPr="005A0C0F">
        <w:rPr>
          <w:sz w:val="24"/>
          <w:szCs w:val="24"/>
        </w:rPr>
        <w:tab/>
        <w:t>On October 26, 2009, PGW filed an Answer and New Matter denying the averments in the Complaint and cit</w:t>
      </w:r>
      <w:r w:rsidR="00C27227" w:rsidRPr="005A0C0F">
        <w:rPr>
          <w:sz w:val="24"/>
          <w:szCs w:val="24"/>
        </w:rPr>
        <w:t>ing</w:t>
      </w:r>
      <w:r w:rsidRPr="005A0C0F">
        <w:rPr>
          <w:sz w:val="24"/>
          <w:szCs w:val="24"/>
        </w:rPr>
        <w:t xml:space="preserve"> a letter dated September 15, 2009, from the Commission’s Bureau of Consumer Services (BCS) to the Complainant advising the Complainant that the BCS has no authority with respect to this billing dispute </w:t>
      </w:r>
      <w:r w:rsidR="00B6796D" w:rsidRPr="005A0C0F">
        <w:rPr>
          <w:sz w:val="24"/>
          <w:szCs w:val="24"/>
        </w:rPr>
        <w:t xml:space="preserve">under </w:t>
      </w:r>
      <w:r w:rsidRPr="005A0C0F">
        <w:rPr>
          <w:sz w:val="24"/>
          <w:szCs w:val="24"/>
        </w:rPr>
        <w:t>66 Pa. C.S. § 1312(a).  PGW concluded by moving that the Complaint be dismissed.</w:t>
      </w:r>
    </w:p>
    <w:p w:rsidR="00DD3605" w:rsidRPr="005A0C0F" w:rsidRDefault="00DD3605" w:rsidP="005A0C0F">
      <w:pPr>
        <w:spacing w:line="360" w:lineRule="auto"/>
        <w:rPr>
          <w:sz w:val="24"/>
          <w:szCs w:val="24"/>
        </w:rPr>
      </w:pPr>
    </w:p>
    <w:p w:rsidR="00DD3605" w:rsidRPr="005A0C0F" w:rsidRDefault="00DD3605" w:rsidP="005A0C0F">
      <w:pPr>
        <w:spacing w:line="360" w:lineRule="auto"/>
        <w:rPr>
          <w:sz w:val="24"/>
          <w:szCs w:val="24"/>
        </w:rPr>
      </w:pPr>
      <w:r w:rsidRPr="005A0C0F">
        <w:rPr>
          <w:sz w:val="24"/>
          <w:szCs w:val="24"/>
        </w:rPr>
        <w:lastRenderedPageBreak/>
        <w:tab/>
      </w:r>
      <w:r w:rsidRPr="005A0C0F">
        <w:rPr>
          <w:sz w:val="24"/>
          <w:szCs w:val="24"/>
        </w:rPr>
        <w:tab/>
        <w:t>On November 3, 2009, Complainant filed a Response to PGW’s Answer and New Matter</w:t>
      </w:r>
      <w:r w:rsidR="003E60C1" w:rsidRPr="005A0C0F">
        <w:rPr>
          <w:sz w:val="24"/>
          <w:szCs w:val="24"/>
        </w:rPr>
        <w:t xml:space="preserve">, again </w:t>
      </w:r>
      <w:r w:rsidRPr="005A0C0F">
        <w:rPr>
          <w:sz w:val="24"/>
          <w:szCs w:val="24"/>
        </w:rPr>
        <w:t xml:space="preserve">questioning the accuracy of PGW’s record keeping and renewing </w:t>
      </w:r>
      <w:r w:rsidR="003E60C1" w:rsidRPr="005A0C0F">
        <w:rPr>
          <w:sz w:val="24"/>
          <w:szCs w:val="24"/>
        </w:rPr>
        <w:t>her</w:t>
      </w:r>
      <w:r w:rsidRPr="005A0C0F">
        <w:rPr>
          <w:sz w:val="24"/>
          <w:szCs w:val="24"/>
        </w:rPr>
        <w:t xml:space="preserve"> demand for the return of $8,933.66.</w:t>
      </w:r>
    </w:p>
    <w:p w:rsidR="00DD3605" w:rsidRPr="005A0C0F" w:rsidRDefault="00DD3605" w:rsidP="005A0C0F">
      <w:pPr>
        <w:spacing w:line="360" w:lineRule="auto"/>
        <w:rPr>
          <w:sz w:val="24"/>
          <w:szCs w:val="24"/>
        </w:rPr>
      </w:pPr>
    </w:p>
    <w:p w:rsidR="00DD3605" w:rsidRPr="005A0C0F" w:rsidRDefault="00DD3605" w:rsidP="005A0C0F">
      <w:pPr>
        <w:spacing w:line="360" w:lineRule="auto"/>
        <w:rPr>
          <w:sz w:val="24"/>
          <w:szCs w:val="24"/>
        </w:rPr>
      </w:pPr>
      <w:r w:rsidRPr="005A0C0F">
        <w:rPr>
          <w:sz w:val="24"/>
          <w:szCs w:val="24"/>
        </w:rPr>
        <w:tab/>
      </w:r>
      <w:r w:rsidRPr="005A0C0F">
        <w:rPr>
          <w:sz w:val="24"/>
          <w:szCs w:val="24"/>
        </w:rPr>
        <w:tab/>
        <w:t>On September 24, 2010, this case was assigned to me as presiding officer, and a hearing notice was issued setting this case for a telephonic hearing on December 13, 2010.</w:t>
      </w:r>
    </w:p>
    <w:p w:rsidR="00DD3605" w:rsidRPr="005A0C0F" w:rsidRDefault="00DD3605" w:rsidP="005A0C0F">
      <w:pPr>
        <w:spacing w:line="360" w:lineRule="auto"/>
        <w:rPr>
          <w:sz w:val="24"/>
          <w:szCs w:val="24"/>
        </w:rPr>
      </w:pPr>
    </w:p>
    <w:p w:rsidR="00DD3605" w:rsidRPr="005A0C0F" w:rsidRDefault="00DD3605" w:rsidP="005A0C0F">
      <w:pPr>
        <w:spacing w:line="360" w:lineRule="auto"/>
        <w:rPr>
          <w:sz w:val="24"/>
          <w:szCs w:val="24"/>
        </w:rPr>
      </w:pPr>
      <w:r w:rsidRPr="005A0C0F">
        <w:rPr>
          <w:sz w:val="24"/>
          <w:szCs w:val="24"/>
        </w:rPr>
        <w:tab/>
      </w:r>
      <w:r w:rsidRPr="005A0C0F">
        <w:rPr>
          <w:sz w:val="24"/>
          <w:szCs w:val="24"/>
        </w:rPr>
        <w:tab/>
        <w:t>On November 16, 2010, I issued a standard Prehearing Order in this case.</w:t>
      </w:r>
    </w:p>
    <w:p w:rsidR="00DD3605" w:rsidRPr="005A0C0F" w:rsidRDefault="00DD3605" w:rsidP="005A0C0F">
      <w:pPr>
        <w:spacing w:line="360" w:lineRule="auto"/>
        <w:rPr>
          <w:sz w:val="24"/>
          <w:szCs w:val="24"/>
        </w:rPr>
      </w:pPr>
    </w:p>
    <w:p w:rsidR="00DD3605" w:rsidRPr="005A0C0F" w:rsidRDefault="00DD3605" w:rsidP="005A0C0F">
      <w:pPr>
        <w:spacing w:line="360" w:lineRule="auto"/>
        <w:rPr>
          <w:sz w:val="24"/>
          <w:szCs w:val="24"/>
        </w:rPr>
      </w:pPr>
      <w:r w:rsidRPr="005A0C0F">
        <w:rPr>
          <w:sz w:val="24"/>
          <w:szCs w:val="24"/>
        </w:rPr>
        <w:tab/>
      </w:r>
      <w:r w:rsidRPr="005A0C0F">
        <w:rPr>
          <w:sz w:val="24"/>
          <w:szCs w:val="24"/>
        </w:rPr>
        <w:tab/>
        <w:t xml:space="preserve">A telephonic hearing was held on December 13, 2010. Complainant appeared </w:t>
      </w:r>
      <w:r w:rsidRPr="005A0C0F">
        <w:rPr>
          <w:i/>
          <w:iCs/>
          <w:sz w:val="24"/>
          <w:szCs w:val="24"/>
        </w:rPr>
        <w:t>pro se,</w:t>
      </w:r>
      <w:r w:rsidRPr="005A0C0F">
        <w:rPr>
          <w:sz w:val="24"/>
          <w:szCs w:val="24"/>
        </w:rPr>
        <w:t xml:space="preserve"> testified on her own behalf and introduced no exhibits.  Respondent was represented by counsel who presented no witness and introduced no exhibits.  Instead, counsel for PGW renewed </w:t>
      </w:r>
      <w:r w:rsidR="008D3A8B" w:rsidRPr="005A0C0F">
        <w:rPr>
          <w:sz w:val="24"/>
          <w:szCs w:val="24"/>
        </w:rPr>
        <w:t>the</w:t>
      </w:r>
      <w:r w:rsidRPr="005A0C0F">
        <w:rPr>
          <w:sz w:val="24"/>
          <w:szCs w:val="24"/>
        </w:rPr>
        <w:t xml:space="preserve"> Motion for Dismissal.  That </w:t>
      </w:r>
      <w:r w:rsidR="00D51800" w:rsidRPr="005A0C0F">
        <w:rPr>
          <w:sz w:val="24"/>
          <w:szCs w:val="24"/>
        </w:rPr>
        <w:t>Motion</w:t>
      </w:r>
      <w:r w:rsidRPr="005A0C0F">
        <w:rPr>
          <w:sz w:val="24"/>
          <w:szCs w:val="24"/>
        </w:rPr>
        <w:t xml:space="preserve"> was granted, </w:t>
      </w:r>
      <w:r w:rsidR="008D3A8B" w:rsidRPr="005A0C0F">
        <w:rPr>
          <w:sz w:val="24"/>
          <w:szCs w:val="24"/>
        </w:rPr>
        <w:t xml:space="preserve">pending the issuance of this Initial Decision, </w:t>
      </w:r>
      <w:r w:rsidRPr="005A0C0F">
        <w:rPr>
          <w:sz w:val="24"/>
          <w:szCs w:val="24"/>
        </w:rPr>
        <w:t>and the record in this matter was closed.</w:t>
      </w:r>
    </w:p>
    <w:p w:rsidR="00DD3605" w:rsidRPr="005A0C0F" w:rsidRDefault="00DD3605" w:rsidP="005A0C0F">
      <w:pPr>
        <w:spacing w:line="360" w:lineRule="auto"/>
        <w:rPr>
          <w:sz w:val="24"/>
          <w:szCs w:val="24"/>
        </w:rPr>
      </w:pPr>
    </w:p>
    <w:p w:rsidR="00DD3605" w:rsidRPr="005A0C0F" w:rsidRDefault="00DD3605" w:rsidP="005A0C0F">
      <w:pPr>
        <w:spacing w:line="360" w:lineRule="auto"/>
        <w:rPr>
          <w:sz w:val="24"/>
          <w:szCs w:val="24"/>
        </w:rPr>
      </w:pPr>
      <w:r w:rsidRPr="005A0C0F">
        <w:rPr>
          <w:sz w:val="24"/>
          <w:szCs w:val="24"/>
        </w:rPr>
        <w:tab/>
      </w:r>
      <w:r w:rsidRPr="005A0C0F">
        <w:rPr>
          <w:sz w:val="24"/>
          <w:szCs w:val="24"/>
        </w:rPr>
        <w:tab/>
        <w:t>On January 3, 2011, a hearing transcript of twenty pages was filed with the Office of the Secretary of the Commission.</w:t>
      </w:r>
    </w:p>
    <w:p w:rsidR="00DD3605" w:rsidRPr="005A0C0F" w:rsidRDefault="00DD3605" w:rsidP="005A0C0F">
      <w:pPr>
        <w:spacing w:line="360" w:lineRule="auto"/>
        <w:jc w:val="center"/>
        <w:rPr>
          <w:sz w:val="24"/>
          <w:szCs w:val="24"/>
          <w:u w:val="single"/>
        </w:rPr>
      </w:pPr>
      <w:r w:rsidRPr="005A0C0F">
        <w:rPr>
          <w:sz w:val="24"/>
          <w:szCs w:val="24"/>
        </w:rPr>
        <w:br/>
      </w:r>
      <w:r w:rsidRPr="005A0C0F">
        <w:rPr>
          <w:sz w:val="24"/>
          <w:szCs w:val="24"/>
          <w:u w:val="single"/>
        </w:rPr>
        <w:t>FINDINGS OF FACT</w:t>
      </w:r>
    </w:p>
    <w:p w:rsidR="00DD3605" w:rsidRPr="005A0C0F" w:rsidRDefault="00DD3605" w:rsidP="005A0C0F">
      <w:pPr>
        <w:spacing w:line="360" w:lineRule="auto"/>
        <w:rPr>
          <w:sz w:val="24"/>
          <w:szCs w:val="24"/>
        </w:rPr>
      </w:pPr>
      <w:r w:rsidRPr="005A0C0F">
        <w:rPr>
          <w:sz w:val="24"/>
          <w:szCs w:val="24"/>
        </w:rPr>
        <w:br/>
      </w:r>
      <w:r w:rsidRPr="005A0C0F">
        <w:rPr>
          <w:sz w:val="24"/>
          <w:szCs w:val="24"/>
        </w:rPr>
        <w:tab/>
      </w:r>
      <w:r w:rsidRPr="005A0C0F">
        <w:rPr>
          <w:sz w:val="24"/>
          <w:szCs w:val="24"/>
        </w:rPr>
        <w:tab/>
        <w:t xml:space="preserve">1.  Complainant owned the premises 5930 Arch Street, </w:t>
      </w:r>
      <w:r w:rsidRPr="005A0C0F">
        <w:rPr>
          <w:bCs/>
          <w:sz w:val="24"/>
          <w:szCs w:val="24"/>
        </w:rPr>
        <w:t>Philadelphia,</w:t>
      </w:r>
      <w:r w:rsidR="00D51800" w:rsidRPr="005A0C0F">
        <w:rPr>
          <w:bCs/>
          <w:sz w:val="24"/>
          <w:szCs w:val="24"/>
        </w:rPr>
        <w:t xml:space="preserve"> </w:t>
      </w:r>
      <w:r w:rsidRPr="005A0C0F">
        <w:rPr>
          <w:sz w:val="24"/>
          <w:szCs w:val="24"/>
        </w:rPr>
        <w:t>Pennsylvania</w:t>
      </w:r>
      <w:r w:rsidR="00D51800" w:rsidRPr="005A0C0F">
        <w:rPr>
          <w:sz w:val="24"/>
          <w:szCs w:val="24"/>
        </w:rPr>
        <w:t xml:space="preserve"> from circa 1998 until July 20, 2009</w:t>
      </w:r>
      <w:r w:rsidRPr="005A0C0F">
        <w:rPr>
          <w:sz w:val="24"/>
          <w:szCs w:val="24"/>
        </w:rPr>
        <w:t>.  (Complaint at 5</w:t>
      </w:r>
      <w:r w:rsidR="00D51800" w:rsidRPr="005A0C0F">
        <w:rPr>
          <w:sz w:val="24"/>
          <w:szCs w:val="24"/>
        </w:rPr>
        <w:t>-6</w:t>
      </w:r>
      <w:r w:rsidRPr="005A0C0F">
        <w:rPr>
          <w:sz w:val="24"/>
          <w:szCs w:val="24"/>
        </w:rPr>
        <w:t>).</w:t>
      </w:r>
      <w:r w:rsidRPr="005A0C0F">
        <w:rPr>
          <w:sz w:val="24"/>
          <w:szCs w:val="24"/>
        </w:rPr>
        <w:br/>
      </w:r>
      <w:r w:rsidRPr="005A0C0F">
        <w:rPr>
          <w:sz w:val="24"/>
          <w:szCs w:val="24"/>
        </w:rPr>
        <w:br/>
      </w:r>
      <w:r w:rsidRPr="005A0C0F">
        <w:rPr>
          <w:sz w:val="24"/>
          <w:szCs w:val="24"/>
        </w:rPr>
        <w:tab/>
      </w:r>
      <w:r w:rsidRPr="005A0C0F">
        <w:rPr>
          <w:sz w:val="24"/>
          <w:szCs w:val="24"/>
        </w:rPr>
        <w:tab/>
        <w:t xml:space="preserve">2.  During the period from 1998 until April 25, 2002, Complainant incurred an </w:t>
      </w:r>
      <w:r w:rsidR="00D51800" w:rsidRPr="005A0C0F">
        <w:rPr>
          <w:sz w:val="24"/>
          <w:szCs w:val="24"/>
        </w:rPr>
        <w:t xml:space="preserve">unpaid </w:t>
      </w:r>
      <w:r w:rsidRPr="005A0C0F">
        <w:rPr>
          <w:sz w:val="24"/>
          <w:szCs w:val="24"/>
        </w:rPr>
        <w:t xml:space="preserve">account balance </w:t>
      </w:r>
      <w:r w:rsidR="008D3A8B" w:rsidRPr="005A0C0F">
        <w:rPr>
          <w:sz w:val="24"/>
          <w:szCs w:val="24"/>
        </w:rPr>
        <w:t xml:space="preserve">for natural gas service from PGW </w:t>
      </w:r>
      <w:r w:rsidRPr="005A0C0F">
        <w:rPr>
          <w:sz w:val="24"/>
          <w:szCs w:val="24"/>
        </w:rPr>
        <w:t xml:space="preserve">of $8,933.66.  </w:t>
      </w:r>
      <w:proofErr w:type="gramStart"/>
      <w:r w:rsidRPr="005A0C0F">
        <w:rPr>
          <w:sz w:val="24"/>
          <w:szCs w:val="24"/>
        </w:rPr>
        <w:t>(Complaint at 6; PGW Answer at 3, ¶ 4).</w:t>
      </w:r>
      <w:proofErr w:type="gramEnd"/>
      <w:r w:rsidRPr="005A0C0F">
        <w:rPr>
          <w:sz w:val="24"/>
          <w:szCs w:val="24"/>
        </w:rPr>
        <w:br/>
      </w:r>
      <w:r w:rsidRPr="005A0C0F">
        <w:rPr>
          <w:sz w:val="24"/>
          <w:szCs w:val="24"/>
        </w:rPr>
        <w:br/>
      </w:r>
      <w:r w:rsidRPr="005A0C0F">
        <w:rPr>
          <w:sz w:val="24"/>
          <w:szCs w:val="24"/>
        </w:rPr>
        <w:tab/>
      </w:r>
      <w:r w:rsidRPr="005A0C0F">
        <w:rPr>
          <w:sz w:val="24"/>
          <w:szCs w:val="24"/>
        </w:rPr>
        <w:tab/>
        <w:t>3.  There is no dispute</w:t>
      </w:r>
      <w:r w:rsidR="00F45224" w:rsidRPr="005A0C0F">
        <w:rPr>
          <w:sz w:val="24"/>
          <w:szCs w:val="24"/>
        </w:rPr>
        <w:t xml:space="preserve"> that</w:t>
      </w:r>
      <w:r w:rsidRPr="005A0C0F">
        <w:rPr>
          <w:sz w:val="24"/>
          <w:szCs w:val="24"/>
        </w:rPr>
        <w:t xml:space="preserve"> $8,933.66 </w:t>
      </w:r>
      <w:r w:rsidR="00F45224" w:rsidRPr="005A0C0F">
        <w:rPr>
          <w:sz w:val="24"/>
          <w:szCs w:val="24"/>
        </w:rPr>
        <w:t>is the amount</w:t>
      </w:r>
      <w:r w:rsidRPr="005A0C0F">
        <w:rPr>
          <w:sz w:val="24"/>
          <w:szCs w:val="24"/>
        </w:rPr>
        <w:t xml:space="preserve"> that is the subject of this Complaint.</w:t>
      </w:r>
    </w:p>
    <w:p w:rsidR="00DD3605" w:rsidRPr="005A0C0F" w:rsidRDefault="00DD3605" w:rsidP="005A0C0F">
      <w:pPr>
        <w:spacing w:line="360" w:lineRule="auto"/>
        <w:rPr>
          <w:sz w:val="24"/>
          <w:szCs w:val="24"/>
        </w:rPr>
      </w:pPr>
    </w:p>
    <w:p w:rsidR="00DD3605" w:rsidRPr="005A0C0F" w:rsidRDefault="00DD3605" w:rsidP="005A0C0F">
      <w:pPr>
        <w:spacing w:line="360" w:lineRule="auto"/>
        <w:rPr>
          <w:sz w:val="24"/>
          <w:szCs w:val="24"/>
        </w:rPr>
      </w:pPr>
      <w:r w:rsidRPr="005A0C0F">
        <w:rPr>
          <w:sz w:val="24"/>
          <w:szCs w:val="24"/>
        </w:rPr>
        <w:lastRenderedPageBreak/>
        <w:tab/>
      </w:r>
      <w:r w:rsidRPr="005A0C0F">
        <w:rPr>
          <w:sz w:val="24"/>
          <w:szCs w:val="24"/>
        </w:rPr>
        <w:tab/>
        <w:t xml:space="preserve">4.  On April 25, 2002, PGW shut off Complainant’s gas service.  </w:t>
      </w:r>
      <w:proofErr w:type="gramStart"/>
      <w:r w:rsidRPr="005A0C0F">
        <w:rPr>
          <w:sz w:val="24"/>
          <w:szCs w:val="24"/>
        </w:rPr>
        <w:t>(PGW Answer at 3, ¶ 4).</w:t>
      </w:r>
      <w:proofErr w:type="gramEnd"/>
    </w:p>
    <w:p w:rsidR="00CF2739" w:rsidRPr="005A0C0F" w:rsidRDefault="00CF2739" w:rsidP="005A0C0F">
      <w:pPr>
        <w:spacing w:line="360" w:lineRule="auto"/>
        <w:rPr>
          <w:sz w:val="24"/>
          <w:szCs w:val="24"/>
        </w:rPr>
      </w:pPr>
    </w:p>
    <w:p w:rsidR="00DD3605" w:rsidRPr="005A0C0F" w:rsidRDefault="00CF2739" w:rsidP="005A0C0F">
      <w:pPr>
        <w:spacing w:line="360" w:lineRule="auto"/>
        <w:rPr>
          <w:sz w:val="24"/>
          <w:szCs w:val="24"/>
        </w:rPr>
      </w:pPr>
      <w:r w:rsidRPr="005A0C0F">
        <w:rPr>
          <w:sz w:val="24"/>
          <w:szCs w:val="24"/>
        </w:rPr>
        <w:tab/>
      </w:r>
      <w:r w:rsidRPr="005A0C0F">
        <w:rPr>
          <w:sz w:val="24"/>
          <w:szCs w:val="24"/>
        </w:rPr>
        <w:tab/>
      </w:r>
      <w:r w:rsidR="00DD3605" w:rsidRPr="005A0C0F">
        <w:rPr>
          <w:sz w:val="24"/>
          <w:szCs w:val="24"/>
        </w:rPr>
        <w:t xml:space="preserve">5.  On August 10, 2004, Complainant’s account balance of $8,933.66 went into write-off status.  </w:t>
      </w:r>
      <w:proofErr w:type="gramStart"/>
      <w:r w:rsidR="00DD3605" w:rsidRPr="005A0C0F">
        <w:rPr>
          <w:sz w:val="24"/>
          <w:szCs w:val="24"/>
        </w:rPr>
        <w:t>(PGW Answer at 3, ¶ 4).</w:t>
      </w:r>
      <w:proofErr w:type="gramEnd"/>
    </w:p>
    <w:p w:rsidR="00DD3605" w:rsidRPr="005A0C0F" w:rsidRDefault="00DD3605" w:rsidP="005A0C0F">
      <w:pPr>
        <w:spacing w:line="360" w:lineRule="auto"/>
        <w:rPr>
          <w:sz w:val="24"/>
          <w:szCs w:val="24"/>
        </w:rPr>
      </w:pPr>
    </w:p>
    <w:p w:rsidR="00267C75" w:rsidRPr="005A0C0F" w:rsidRDefault="00B43E9A" w:rsidP="005A0C0F">
      <w:pPr>
        <w:spacing w:line="360" w:lineRule="auto"/>
        <w:rPr>
          <w:sz w:val="24"/>
          <w:szCs w:val="24"/>
        </w:rPr>
      </w:pPr>
      <w:r w:rsidRPr="005A0C0F">
        <w:rPr>
          <w:sz w:val="24"/>
          <w:szCs w:val="24"/>
        </w:rPr>
        <w:tab/>
      </w:r>
      <w:r w:rsidRPr="005A0C0F">
        <w:rPr>
          <w:sz w:val="24"/>
          <w:szCs w:val="24"/>
        </w:rPr>
        <w:tab/>
      </w:r>
      <w:r w:rsidR="00DD3605" w:rsidRPr="005A0C0F">
        <w:rPr>
          <w:sz w:val="24"/>
          <w:szCs w:val="24"/>
        </w:rPr>
        <w:t xml:space="preserve">6.  </w:t>
      </w:r>
      <w:r w:rsidR="00D51800" w:rsidRPr="005A0C0F">
        <w:rPr>
          <w:sz w:val="24"/>
          <w:szCs w:val="24"/>
        </w:rPr>
        <w:t>O</w:t>
      </w:r>
      <w:r w:rsidR="00DD3605" w:rsidRPr="005A0C0F">
        <w:rPr>
          <w:sz w:val="24"/>
          <w:szCs w:val="24"/>
        </w:rPr>
        <w:t>n July</w:t>
      </w:r>
      <w:r w:rsidR="00D51800" w:rsidRPr="005A0C0F">
        <w:rPr>
          <w:sz w:val="24"/>
          <w:szCs w:val="24"/>
        </w:rPr>
        <w:t xml:space="preserve"> 20</w:t>
      </w:r>
      <w:r w:rsidR="00DD3605" w:rsidRPr="005A0C0F">
        <w:rPr>
          <w:sz w:val="24"/>
          <w:szCs w:val="24"/>
        </w:rPr>
        <w:t xml:space="preserve">, 2009, Complainant sold her property at 5930 Arch Street, Philadelphia, Pennsylvania, and was apprised that the outstanding amount of her bill to PGW </w:t>
      </w:r>
      <w:r w:rsidR="00F45224" w:rsidRPr="005A0C0F">
        <w:rPr>
          <w:sz w:val="24"/>
          <w:szCs w:val="24"/>
        </w:rPr>
        <w:t xml:space="preserve">(i.e. $8,933.66) </w:t>
      </w:r>
      <w:r w:rsidR="00DD3605" w:rsidRPr="005A0C0F">
        <w:rPr>
          <w:sz w:val="24"/>
          <w:szCs w:val="24"/>
        </w:rPr>
        <w:t xml:space="preserve">had been deducted from the proceeds of that sale and remitted to PGW pursuant to the Municipal Liens </w:t>
      </w:r>
      <w:r w:rsidR="002A7FA1" w:rsidRPr="005A0C0F">
        <w:rPr>
          <w:sz w:val="24"/>
          <w:szCs w:val="24"/>
        </w:rPr>
        <w:t>Law</w:t>
      </w:r>
      <w:r w:rsidR="00F108E7" w:rsidRPr="005A0C0F">
        <w:rPr>
          <w:sz w:val="24"/>
          <w:szCs w:val="24"/>
        </w:rPr>
        <w:t xml:space="preserve">, Act 153 of May 16, 1923, P.L. 207; 53 P.S. §7101 </w:t>
      </w:r>
      <w:r w:rsidR="00F108E7" w:rsidRPr="005A0C0F">
        <w:rPr>
          <w:i/>
          <w:sz w:val="24"/>
          <w:szCs w:val="24"/>
        </w:rPr>
        <w:t>et seq</w:t>
      </w:r>
      <w:r w:rsidR="00F108E7" w:rsidRPr="005A0C0F">
        <w:rPr>
          <w:sz w:val="24"/>
          <w:szCs w:val="24"/>
        </w:rPr>
        <w:t>.</w:t>
      </w:r>
      <w:r w:rsidR="00DD3605" w:rsidRPr="005A0C0F">
        <w:rPr>
          <w:sz w:val="24"/>
          <w:szCs w:val="24"/>
        </w:rPr>
        <w:t xml:space="preserve"> (Complaint at </w:t>
      </w:r>
      <w:r w:rsidR="008D3A8B" w:rsidRPr="005A0C0F">
        <w:rPr>
          <w:sz w:val="24"/>
          <w:szCs w:val="24"/>
        </w:rPr>
        <w:t>6</w:t>
      </w:r>
      <w:r w:rsidR="00DD3605" w:rsidRPr="005A0C0F">
        <w:rPr>
          <w:sz w:val="24"/>
          <w:szCs w:val="24"/>
        </w:rPr>
        <w:t>, N.T. 7).</w:t>
      </w:r>
    </w:p>
    <w:p w:rsidR="00267C75" w:rsidRPr="005A0C0F" w:rsidRDefault="00267C75" w:rsidP="005A0C0F">
      <w:pPr>
        <w:spacing w:line="360" w:lineRule="auto"/>
        <w:rPr>
          <w:sz w:val="24"/>
          <w:szCs w:val="24"/>
        </w:rPr>
      </w:pPr>
    </w:p>
    <w:p w:rsidR="00DD3605" w:rsidRPr="005A0C0F" w:rsidRDefault="00DD3605" w:rsidP="005A0C0F">
      <w:pPr>
        <w:spacing w:line="360" w:lineRule="auto"/>
        <w:jc w:val="center"/>
        <w:rPr>
          <w:sz w:val="24"/>
          <w:szCs w:val="24"/>
          <w:u w:val="single"/>
        </w:rPr>
      </w:pPr>
      <w:r w:rsidRPr="005A0C0F">
        <w:rPr>
          <w:sz w:val="24"/>
          <w:szCs w:val="24"/>
          <w:u w:val="single"/>
        </w:rPr>
        <w:t>DISCUSSION</w:t>
      </w:r>
      <w:r w:rsidRPr="005A0C0F">
        <w:rPr>
          <w:sz w:val="24"/>
          <w:szCs w:val="24"/>
          <w:u w:val="single"/>
        </w:rPr>
        <w:br/>
      </w:r>
    </w:p>
    <w:p w:rsidR="005B2D8D" w:rsidRPr="005A0C0F" w:rsidRDefault="00DD3605" w:rsidP="005A0C0F">
      <w:pPr>
        <w:suppressAutoHyphens/>
        <w:spacing w:line="360" w:lineRule="auto"/>
        <w:rPr>
          <w:spacing w:val="-3"/>
          <w:sz w:val="24"/>
          <w:szCs w:val="24"/>
        </w:rPr>
      </w:pPr>
      <w:r w:rsidRPr="005A0C0F">
        <w:rPr>
          <w:sz w:val="24"/>
          <w:szCs w:val="24"/>
        </w:rPr>
        <w:tab/>
      </w:r>
      <w:r w:rsidRPr="005A0C0F">
        <w:rPr>
          <w:sz w:val="24"/>
          <w:szCs w:val="24"/>
        </w:rPr>
        <w:tab/>
      </w:r>
      <w:r w:rsidR="005B2D8D" w:rsidRPr="005A0C0F">
        <w:rPr>
          <w:sz w:val="24"/>
          <w:szCs w:val="24"/>
        </w:rPr>
        <w:t xml:space="preserve">PGW requested in its New Matter and again at hearing that the Complaint in this case be dismissed.  That </w:t>
      </w:r>
      <w:r w:rsidR="005B2D8D" w:rsidRPr="005A0C0F">
        <w:rPr>
          <w:spacing w:val="-3"/>
          <w:sz w:val="24"/>
          <w:szCs w:val="24"/>
        </w:rPr>
        <w:t xml:space="preserve">Motion stands as a preliminary objection.  The Commission's Rules of Administrative Practice and Procedure permit the filing of preliminary objections.  </w:t>
      </w:r>
      <w:proofErr w:type="gramStart"/>
      <w:r w:rsidR="005B2D8D" w:rsidRPr="005A0C0F">
        <w:rPr>
          <w:spacing w:val="-3"/>
          <w:sz w:val="24"/>
          <w:szCs w:val="24"/>
        </w:rPr>
        <w:t>52 Pa. Code § 5.101.</w:t>
      </w:r>
      <w:proofErr w:type="gramEnd"/>
      <w:r w:rsidR="005B2D8D" w:rsidRPr="005A0C0F">
        <w:rPr>
          <w:spacing w:val="-3"/>
          <w:sz w:val="24"/>
          <w:szCs w:val="24"/>
        </w:rPr>
        <w:t xml:space="preserve">  Commission procedure regarding the disposition of preliminary objections is similar to that utilized in Pennsylvania civil practice.  </w:t>
      </w:r>
      <w:r w:rsidR="005B2D8D" w:rsidRPr="005A0C0F">
        <w:rPr>
          <w:i/>
          <w:spacing w:val="-3"/>
          <w:sz w:val="24"/>
          <w:szCs w:val="24"/>
        </w:rPr>
        <w:t>Equitable Small Transportation Interveners v. Equitable Gas Company</w:t>
      </w:r>
      <w:r w:rsidR="005B2D8D" w:rsidRPr="005A0C0F">
        <w:rPr>
          <w:spacing w:val="-3"/>
          <w:sz w:val="24"/>
          <w:szCs w:val="24"/>
        </w:rPr>
        <w:t xml:space="preserve">, Docket No. </w:t>
      </w:r>
      <w:proofErr w:type="gramStart"/>
      <w:r w:rsidR="005B2D8D" w:rsidRPr="005A0C0F">
        <w:rPr>
          <w:spacing w:val="-3"/>
          <w:sz w:val="24"/>
          <w:szCs w:val="24"/>
        </w:rPr>
        <w:t>C-00935435 (Order entered July 18, 1994).</w:t>
      </w:r>
      <w:proofErr w:type="gramEnd"/>
    </w:p>
    <w:p w:rsidR="005B2D8D" w:rsidRPr="005A0C0F" w:rsidRDefault="005B2D8D" w:rsidP="005A0C0F">
      <w:pPr>
        <w:spacing w:line="360" w:lineRule="auto"/>
        <w:rPr>
          <w:spacing w:val="-3"/>
          <w:sz w:val="24"/>
          <w:szCs w:val="24"/>
        </w:rPr>
      </w:pPr>
      <w:r w:rsidRPr="005A0C0F">
        <w:rPr>
          <w:spacing w:val="-3"/>
          <w:sz w:val="24"/>
          <w:szCs w:val="24"/>
        </w:rPr>
        <w:br/>
      </w:r>
      <w:r w:rsidRPr="005A0C0F">
        <w:rPr>
          <w:spacing w:val="-3"/>
          <w:sz w:val="24"/>
          <w:szCs w:val="24"/>
        </w:rPr>
        <w:tab/>
      </w:r>
      <w:r w:rsidRPr="005A0C0F">
        <w:rPr>
          <w:spacing w:val="-3"/>
          <w:sz w:val="24"/>
          <w:szCs w:val="24"/>
        </w:rPr>
        <w:tab/>
        <w:t>A preliminary objection in civil practice seeking dismissal of a pleading will be granted only where relief is clearly warranted and free from doubt</w:t>
      </w:r>
      <w:r w:rsidRPr="005A0C0F">
        <w:rPr>
          <w:i/>
          <w:spacing w:val="-3"/>
          <w:sz w:val="24"/>
          <w:szCs w:val="24"/>
        </w:rPr>
        <w:t xml:space="preserve">.  Interstate </w:t>
      </w:r>
      <w:proofErr w:type="spellStart"/>
      <w:r w:rsidRPr="005A0C0F">
        <w:rPr>
          <w:i/>
          <w:spacing w:val="-3"/>
          <w:sz w:val="24"/>
          <w:szCs w:val="24"/>
        </w:rPr>
        <w:t>Traveller</w:t>
      </w:r>
      <w:proofErr w:type="spellEnd"/>
      <w:r w:rsidRPr="005A0C0F">
        <w:rPr>
          <w:i/>
          <w:spacing w:val="-3"/>
          <w:sz w:val="24"/>
          <w:szCs w:val="24"/>
        </w:rPr>
        <w:t xml:space="preserve"> Services, Inc. v. Pa. Dept. of Environmental Resources</w:t>
      </w:r>
      <w:r w:rsidRPr="005A0C0F">
        <w:rPr>
          <w:spacing w:val="-3"/>
          <w:sz w:val="24"/>
          <w:szCs w:val="24"/>
        </w:rPr>
        <w:t>, 406 A.2d 1020 (Pa. 1979)</w:t>
      </w:r>
      <w:proofErr w:type="gramStart"/>
      <w:r w:rsidRPr="005A0C0F">
        <w:rPr>
          <w:spacing w:val="-3"/>
          <w:sz w:val="24"/>
          <w:szCs w:val="24"/>
        </w:rPr>
        <w:t xml:space="preserve">;  </w:t>
      </w:r>
      <w:r w:rsidRPr="005A0C0F">
        <w:rPr>
          <w:i/>
          <w:spacing w:val="-3"/>
          <w:sz w:val="24"/>
          <w:szCs w:val="24"/>
        </w:rPr>
        <w:t>Rivera</w:t>
      </w:r>
      <w:proofErr w:type="gramEnd"/>
      <w:r w:rsidRPr="005A0C0F">
        <w:rPr>
          <w:i/>
          <w:spacing w:val="-3"/>
          <w:sz w:val="24"/>
          <w:szCs w:val="24"/>
        </w:rPr>
        <w:t xml:space="preserve"> v. Philadelphia Theological Seminary of St. Charles </w:t>
      </w:r>
      <w:proofErr w:type="spellStart"/>
      <w:r w:rsidRPr="005A0C0F">
        <w:rPr>
          <w:i/>
          <w:spacing w:val="-3"/>
          <w:sz w:val="24"/>
          <w:szCs w:val="24"/>
        </w:rPr>
        <w:t>Borromeo</w:t>
      </w:r>
      <w:proofErr w:type="spellEnd"/>
      <w:r w:rsidRPr="005A0C0F">
        <w:rPr>
          <w:i/>
          <w:spacing w:val="-3"/>
          <w:sz w:val="24"/>
          <w:szCs w:val="24"/>
        </w:rPr>
        <w:t>, Inc.</w:t>
      </w:r>
      <w:r w:rsidRPr="005A0C0F">
        <w:rPr>
          <w:spacing w:val="-3"/>
          <w:sz w:val="24"/>
          <w:szCs w:val="24"/>
        </w:rPr>
        <w:t xml:space="preserve">, 595 A.2d 172 (Pa. Super. 1991).  The Commission has adopted this standard.  </w:t>
      </w:r>
      <w:proofErr w:type="gramStart"/>
      <w:r w:rsidRPr="005A0C0F">
        <w:rPr>
          <w:i/>
          <w:spacing w:val="-3"/>
          <w:sz w:val="24"/>
          <w:szCs w:val="24"/>
        </w:rPr>
        <w:t>Montague v. Philadelphia Electric Company</w:t>
      </w:r>
      <w:r w:rsidRPr="005A0C0F">
        <w:rPr>
          <w:spacing w:val="-3"/>
          <w:sz w:val="24"/>
          <w:szCs w:val="24"/>
        </w:rPr>
        <w:t>, 66 Pa. PUC 24 (1988).</w:t>
      </w:r>
      <w:proofErr w:type="gramEnd"/>
    </w:p>
    <w:p w:rsidR="007237C5" w:rsidRPr="005A0C0F" w:rsidRDefault="005B2D8D" w:rsidP="005A0C0F">
      <w:pPr>
        <w:spacing w:line="360" w:lineRule="auto"/>
        <w:rPr>
          <w:sz w:val="24"/>
          <w:szCs w:val="24"/>
        </w:rPr>
      </w:pPr>
      <w:r w:rsidRPr="005A0C0F">
        <w:rPr>
          <w:spacing w:val="-3"/>
          <w:sz w:val="24"/>
          <w:szCs w:val="24"/>
        </w:rPr>
        <w:br/>
      </w:r>
      <w:r w:rsidRPr="005A0C0F">
        <w:rPr>
          <w:sz w:val="24"/>
          <w:szCs w:val="24"/>
        </w:rPr>
        <w:tab/>
      </w:r>
      <w:r w:rsidRPr="005A0C0F">
        <w:rPr>
          <w:sz w:val="24"/>
          <w:szCs w:val="24"/>
        </w:rPr>
        <w:tab/>
      </w:r>
      <w:r w:rsidR="00DD3605" w:rsidRPr="005A0C0F">
        <w:rPr>
          <w:sz w:val="24"/>
          <w:szCs w:val="24"/>
        </w:rPr>
        <w:t xml:space="preserve">This </w:t>
      </w:r>
      <w:r w:rsidRPr="005A0C0F">
        <w:rPr>
          <w:sz w:val="24"/>
          <w:szCs w:val="24"/>
        </w:rPr>
        <w:t xml:space="preserve">case </w:t>
      </w:r>
      <w:r w:rsidR="00DD3605" w:rsidRPr="005A0C0F">
        <w:rPr>
          <w:sz w:val="24"/>
          <w:szCs w:val="24"/>
        </w:rPr>
        <w:t xml:space="preserve">involves </w:t>
      </w:r>
      <w:r w:rsidR="00267C75" w:rsidRPr="005A0C0F">
        <w:rPr>
          <w:sz w:val="24"/>
          <w:szCs w:val="24"/>
        </w:rPr>
        <w:t xml:space="preserve">a </w:t>
      </w:r>
      <w:r w:rsidRPr="005A0C0F">
        <w:rPr>
          <w:sz w:val="24"/>
          <w:szCs w:val="24"/>
        </w:rPr>
        <w:t xml:space="preserve">dispute between the Complainant and PGW with respect to a </w:t>
      </w:r>
      <w:r w:rsidR="00267C75" w:rsidRPr="005A0C0F">
        <w:rPr>
          <w:sz w:val="24"/>
          <w:szCs w:val="24"/>
        </w:rPr>
        <w:t xml:space="preserve">delinquent account for natural gas service </w:t>
      </w:r>
      <w:r w:rsidRPr="005A0C0F">
        <w:rPr>
          <w:sz w:val="24"/>
          <w:szCs w:val="24"/>
        </w:rPr>
        <w:t xml:space="preserve">provided </w:t>
      </w:r>
      <w:r w:rsidR="00F108E7" w:rsidRPr="005A0C0F">
        <w:rPr>
          <w:sz w:val="24"/>
          <w:szCs w:val="24"/>
        </w:rPr>
        <w:t xml:space="preserve">to the Complainant from </w:t>
      </w:r>
      <w:r w:rsidR="00267C75" w:rsidRPr="005A0C0F">
        <w:rPr>
          <w:sz w:val="24"/>
          <w:szCs w:val="24"/>
        </w:rPr>
        <w:t>1998 until April 25, 2002</w:t>
      </w:r>
      <w:r w:rsidRPr="005A0C0F">
        <w:rPr>
          <w:sz w:val="24"/>
          <w:szCs w:val="24"/>
        </w:rPr>
        <w:t>.  Th</w:t>
      </w:r>
      <w:r w:rsidR="00F108E7" w:rsidRPr="005A0C0F">
        <w:rPr>
          <w:sz w:val="24"/>
          <w:szCs w:val="24"/>
        </w:rPr>
        <w:t xml:space="preserve">e outstanding </w:t>
      </w:r>
      <w:r w:rsidRPr="005A0C0F">
        <w:rPr>
          <w:sz w:val="24"/>
          <w:szCs w:val="24"/>
        </w:rPr>
        <w:t xml:space="preserve">amount </w:t>
      </w:r>
      <w:r w:rsidR="00F108E7" w:rsidRPr="005A0C0F">
        <w:rPr>
          <w:sz w:val="24"/>
          <w:szCs w:val="24"/>
        </w:rPr>
        <w:t xml:space="preserve">of $8,933.66 </w:t>
      </w:r>
      <w:r w:rsidR="00DD3605" w:rsidRPr="005A0C0F">
        <w:rPr>
          <w:sz w:val="24"/>
          <w:szCs w:val="24"/>
        </w:rPr>
        <w:t xml:space="preserve">was </w:t>
      </w:r>
      <w:r w:rsidR="002A7FA1" w:rsidRPr="005A0C0F">
        <w:rPr>
          <w:sz w:val="24"/>
          <w:szCs w:val="24"/>
        </w:rPr>
        <w:t>remitted</w:t>
      </w:r>
      <w:r w:rsidR="00DD3605" w:rsidRPr="005A0C0F">
        <w:rPr>
          <w:sz w:val="24"/>
          <w:szCs w:val="24"/>
        </w:rPr>
        <w:t xml:space="preserve"> </w:t>
      </w:r>
      <w:r w:rsidR="002A7FA1" w:rsidRPr="005A0C0F">
        <w:rPr>
          <w:sz w:val="24"/>
          <w:szCs w:val="24"/>
        </w:rPr>
        <w:t xml:space="preserve">to PGW </w:t>
      </w:r>
      <w:r w:rsidRPr="005A0C0F">
        <w:rPr>
          <w:sz w:val="24"/>
          <w:szCs w:val="24"/>
        </w:rPr>
        <w:t xml:space="preserve">in 2009 </w:t>
      </w:r>
      <w:r w:rsidR="00F108E7" w:rsidRPr="005A0C0F">
        <w:rPr>
          <w:sz w:val="24"/>
          <w:szCs w:val="24"/>
        </w:rPr>
        <w:t xml:space="preserve">by </w:t>
      </w:r>
      <w:r w:rsidR="00267C75" w:rsidRPr="005A0C0F">
        <w:rPr>
          <w:sz w:val="24"/>
          <w:szCs w:val="24"/>
        </w:rPr>
        <w:t>a</w:t>
      </w:r>
      <w:r w:rsidR="00DD3605" w:rsidRPr="005A0C0F">
        <w:rPr>
          <w:sz w:val="24"/>
          <w:szCs w:val="24"/>
        </w:rPr>
        <w:t xml:space="preserve"> title company </w:t>
      </w:r>
      <w:r w:rsidR="00DD3605" w:rsidRPr="005A0C0F">
        <w:rPr>
          <w:sz w:val="24"/>
          <w:szCs w:val="24"/>
        </w:rPr>
        <w:lastRenderedPageBreak/>
        <w:t xml:space="preserve">under the Municipal Claim Lien </w:t>
      </w:r>
      <w:r w:rsidR="002A7FA1" w:rsidRPr="005A0C0F">
        <w:rPr>
          <w:sz w:val="24"/>
          <w:szCs w:val="24"/>
        </w:rPr>
        <w:t>Law</w:t>
      </w:r>
      <w:r w:rsidR="00B43E9A" w:rsidRPr="005A0C0F">
        <w:rPr>
          <w:sz w:val="24"/>
          <w:szCs w:val="24"/>
        </w:rPr>
        <w:t xml:space="preserve"> after Complainant sold her property</w:t>
      </w:r>
      <w:r w:rsidR="002A7FA1" w:rsidRPr="005A0C0F">
        <w:rPr>
          <w:sz w:val="24"/>
          <w:szCs w:val="24"/>
        </w:rPr>
        <w:t xml:space="preserve"> at</w:t>
      </w:r>
      <w:r w:rsidR="00297A4A" w:rsidRPr="005A0C0F">
        <w:rPr>
          <w:sz w:val="24"/>
          <w:szCs w:val="24"/>
        </w:rPr>
        <w:t xml:space="preserve"> </w:t>
      </w:r>
      <w:r w:rsidR="002A7FA1" w:rsidRPr="005A0C0F">
        <w:rPr>
          <w:sz w:val="24"/>
          <w:szCs w:val="24"/>
        </w:rPr>
        <w:t xml:space="preserve">5930 Arch Street, </w:t>
      </w:r>
      <w:r w:rsidR="002A7FA1" w:rsidRPr="005A0C0F">
        <w:rPr>
          <w:bCs/>
          <w:sz w:val="24"/>
          <w:szCs w:val="24"/>
        </w:rPr>
        <w:t xml:space="preserve">Philadelphia, </w:t>
      </w:r>
      <w:r w:rsidR="002A7FA1" w:rsidRPr="005A0C0F">
        <w:rPr>
          <w:sz w:val="24"/>
          <w:szCs w:val="24"/>
        </w:rPr>
        <w:t>Pennsylvania</w:t>
      </w:r>
      <w:r w:rsidR="00DD3605" w:rsidRPr="005A0C0F">
        <w:rPr>
          <w:sz w:val="24"/>
          <w:szCs w:val="24"/>
        </w:rPr>
        <w:t xml:space="preserve">.  What is </w:t>
      </w:r>
      <w:r w:rsidR="00532616" w:rsidRPr="005A0C0F">
        <w:rPr>
          <w:sz w:val="24"/>
          <w:szCs w:val="24"/>
        </w:rPr>
        <w:t xml:space="preserve">specifically </w:t>
      </w:r>
      <w:r w:rsidR="00DD3605" w:rsidRPr="005A0C0F">
        <w:rPr>
          <w:sz w:val="24"/>
          <w:szCs w:val="24"/>
        </w:rPr>
        <w:t>in dispute is the nature of communications between the Complainant and PGW, the timing of those communications, the calculation of the total account balance</w:t>
      </w:r>
      <w:r w:rsidR="00B43E9A" w:rsidRPr="005A0C0F">
        <w:rPr>
          <w:sz w:val="24"/>
          <w:szCs w:val="24"/>
        </w:rPr>
        <w:t>, and whether Complainant was apprised of the filing of any lien</w:t>
      </w:r>
      <w:r w:rsidR="00DD3605" w:rsidRPr="005A0C0F">
        <w:rPr>
          <w:sz w:val="24"/>
          <w:szCs w:val="24"/>
        </w:rPr>
        <w:t xml:space="preserve">.  </w:t>
      </w:r>
      <w:r w:rsidR="00B43E9A" w:rsidRPr="005A0C0F">
        <w:rPr>
          <w:sz w:val="24"/>
          <w:szCs w:val="24"/>
        </w:rPr>
        <w:t xml:space="preserve">Ultimately, </w:t>
      </w:r>
      <w:r w:rsidR="00DD3605" w:rsidRPr="005A0C0F">
        <w:rPr>
          <w:sz w:val="24"/>
          <w:szCs w:val="24"/>
        </w:rPr>
        <w:t>Complainant contends that she did not owe PGW $8,933.66 and seeks a refund of that amount.</w:t>
      </w:r>
      <w:r w:rsidR="00DD3605" w:rsidRPr="005A0C0F">
        <w:rPr>
          <w:sz w:val="24"/>
          <w:szCs w:val="24"/>
        </w:rPr>
        <w:br/>
      </w:r>
      <w:r w:rsidR="00DD3605" w:rsidRPr="005A0C0F">
        <w:rPr>
          <w:sz w:val="24"/>
          <w:szCs w:val="24"/>
        </w:rPr>
        <w:br/>
      </w:r>
      <w:r w:rsidR="00DD3605" w:rsidRPr="005A0C0F">
        <w:rPr>
          <w:sz w:val="24"/>
          <w:szCs w:val="24"/>
        </w:rPr>
        <w:tab/>
      </w:r>
      <w:r w:rsidR="00DD3605" w:rsidRPr="005A0C0F">
        <w:rPr>
          <w:sz w:val="24"/>
          <w:szCs w:val="24"/>
        </w:rPr>
        <w:tab/>
      </w:r>
      <w:r w:rsidR="006A41E4" w:rsidRPr="005A0C0F">
        <w:rPr>
          <w:sz w:val="24"/>
          <w:szCs w:val="24"/>
        </w:rPr>
        <w:t xml:space="preserve">However, </w:t>
      </w:r>
      <w:r w:rsidR="00DD3605" w:rsidRPr="005A0C0F">
        <w:rPr>
          <w:sz w:val="24"/>
          <w:szCs w:val="24"/>
        </w:rPr>
        <w:t xml:space="preserve">PGW </w:t>
      </w:r>
      <w:r w:rsidR="00297A4A" w:rsidRPr="005A0C0F">
        <w:rPr>
          <w:sz w:val="24"/>
          <w:szCs w:val="24"/>
        </w:rPr>
        <w:t xml:space="preserve">has argued convincingly that the Commission lacks the jurisdiction to resolve this dispute.  </w:t>
      </w:r>
      <w:r w:rsidR="007237C5" w:rsidRPr="005A0C0F">
        <w:rPr>
          <w:sz w:val="24"/>
          <w:szCs w:val="24"/>
        </w:rPr>
        <w:t xml:space="preserve">In moving to dismiss the Complaint, </w:t>
      </w:r>
      <w:r w:rsidR="00297A4A" w:rsidRPr="005A0C0F">
        <w:rPr>
          <w:sz w:val="24"/>
          <w:szCs w:val="24"/>
        </w:rPr>
        <w:t xml:space="preserve">PGW </w:t>
      </w:r>
      <w:r w:rsidR="00DD3605" w:rsidRPr="005A0C0F">
        <w:rPr>
          <w:sz w:val="24"/>
          <w:szCs w:val="24"/>
        </w:rPr>
        <w:t xml:space="preserve">asserts that the amount </w:t>
      </w:r>
      <w:r w:rsidR="00B43E9A" w:rsidRPr="005A0C0F">
        <w:rPr>
          <w:sz w:val="24"/>
          <w:szCs w:val="24"/>
        </w:rPr>
        <w:t xml:space="preserve">owed </w:t>
      </w:r>
      <w:r w:rsidR="0018624F" w:rsidRPr="005A0C0F">
        <w:rPr>
          <w:sz w:val="24"/>
          <w:szCs w:val="24"/>
        </w:rPr>
        <w:t xml:space="preserve">by the Complainant </w:t>
      </w:r>
      <w:r w:rsidR="00DD3605" w:rsidRPr="005A0C0F">
        <w:rPr>
          <w:sz w:val="24"/>
          <w:szCs w:val="24"/>
        </w:rPr>
        <w:t xml:space="preserve">for gas usage was ultimately collected under the Municipal Claim Lien </w:t>
      </w:r>
      <w:r w:rsidR="006D36AC" w:rsidRPr="005A0C0F">
        <w:rPr>
          <w:sz w:val="24"/>
          <w:szCs w:val="24"/>
        </w:rPr>
        <w:t>Law</w:t>
      </w:r>
      <w:r w:rsidR="007237C5" w:rsidRPr="005A0C0F">
        <w:rPr>
          <w:rStyle w:val="FootnoteReference"/>
          <w:sz w:val="24"/>
          <w:szCs w:val="24"/>
        </w:rPr>
        <w:footnoteReference w:id="1"/>
      </w:r>
      <w:r w:rsidR="007237C5" w:rsidRPr="005A0C0F">
        <w:rPr>
          <w:sz w:val="24"/>
          <w:szCs w:val="24"/>
        </w:rPr>
        <w:t xml:space="preserve"> and </w:t>
      </w:r>
      <w:r w:rsidR="0018624F" w:rsidRPr="005A0C0F">
        <w:rPr>
          <w:sz w:val="24"/>
          <w:szCs w:val="24"/>
        </w:rPr>
        <w:t xml:space="preserve">that </w:t>
      </w:r>
      <w:r w:rsidR="00DD3605" w:rsidRPr="005A0C0F">
        <w:rPr>
          <w:sz w:val="24"/>
          <w:szCs w:val="24"/>
        </w:rPr>
        <w:t xml:space="preserve">the Commission has </w:t>
      </w:r>
      <w:r w:rsidR="00DD3605" w:rsidRPr="005A0C0F">
        <w:rPr>
          <w:bCs/>
          <w:sz w:val="24"/>
          <w:szCs w:val="24"/>
        </w:rPr>
        <w:t>no jurisdiction</w:t>
      </w:r>
      <w:r w:rsidR="00DD3605" w:rsidRPr="005A0C0F">
        <w:rPr>
          <w:sz w:val="24"/>
          <w:szCs w:val="24"/>
        </w:rPr>
        <w:t xml:space="preserve"> over proceeds collected </w:t>
      </w:r>
      <w:r w:rsidR="006A41E4" w:rsidRPr="005A0C0F">
        <w:rPr>
          <w:sz w:val="24"/>
          <w:szCs w:val="24"/>
        </w:rPr>
        <w:t xml:space="preserve">pursuant to </w:t>
      </w:r>
      <w:r w:rsidR="00DD3605" w:rsidRPr="005A0C0F">
        <w:rPr>
          <w:sz w:val="24"/>
          <w:szCs w:val="24"/>
        </w:rPr>
        <w:t>th</w:t>
      </w:r>
      <w:r w:rsidR="007237C5" w:rsidRPr="005A0C0F">
        <w:rPr>
          <w:sz w:val="24"/>
          <w:szCs w:val="24"/>
        </w:rPr>
        <w:t xml:space="preserve">at </w:t>
      </w:r>
      <w:r w:rsidR="006D36AC" w:rsidRPr="005A0C0F">
        <w:rPr>
          <w:sz w:val="24"/>
          <w:szCs w:val="24"/>
        </w:rPr>
        <w:t>law</w:t>
      </w:r>
      <w:r w:rsidR="007237C5" w:rsidRPr="005A0C0F">
        <w:rPr>
          <w:sz w:val="24"/>
          <w:szCs w:val="24"/>
        </w:rPr>
        <w:t>.  PGW also contends that,</w:t>
      </w:r>
      <w:r w:rsidR="00DD3605" w:rsidRPr="005A0C0F">
        <w:rPr>
          <w:sz w:val="24"/>
          <w:szCs w:val="24"/>
        </w:rPr>
        <w:t xml:space="preserve"> in any event</w:t>
      </w:r>
      <w:r w:rsidR="007237C5" w:rsidRPr="005A0C0F">
        <w:rPr>
          <w:sz w:val="24"/>
          <w:szCs w:val="24"/>
        </w:rPr>
        <w:t>,</w:t>
      </w:r>
      <w:r w:rsidR="00DD3605" w:rsidRPr="005A0C0F">
        <w:rPr>
          <w:sz w:val="24"/>
          <w:szCs w:val="24"/>
        </w:rPr>
        <w:t xml:space="preserve"> </w:t>
      </w:r>
      <w:r w:rsidR="006A41E4" w:rsidRPr="005A0C0F">
        <w:rPr>
          <w:sz w:val="24"/>
          <w:szCs w:val="24"/>
        </w:rPr>
        <w:t xml:space="preserve">resolution of </w:t>
      </w:r>
      <w:r w:rsidR="00DD3605" w:rsidRPr="005A0C0F">
        <w:rPr>
          <w:sz w:val="24"/>
          <w:szCs w:val="24"/>
        </w:rPr>
        <w:t xml:space="preserve">the claim for </w:t>
      </w:r>
      <w:r w:rsidR="006A41E4" w:rsidRPr="005A0C0F">
        <w:rPr>
          <w:sz w:val="24"/>
          <w:szCs w:val="24"/>
        </w:rPr>
        <w:t xml:space="preserve">a </w:t>
      </w:r>
      <w:r w:rsidR="00DD3605" w:rsidRPr="005A0C0F">
        <w:rPr>
          <w:sz w:val="24"/>
          <w:szCs w:val="24"/>
        </w:rPr>
        <w:t xml:space="preserve">refund in this case is barred by the </w:t>
      </w:r>
      <w:r w:rsidR="0018624F" w:rsidRPr="005A0C0F">
        <w:rPr>
          <w:sz w:val="24"/>
          <w:szCs w:val="24"/>
        </w:rPr>
        <w:t xml:space="preserve">time limitations set forth in the </w:t>
      </w:r>
      <w:r w:rsidR="008C09AC" w:rsidRPr="005A0C0F">
        <w:rPr>
          <w:sz w:val="24"/>
          <w:szCs w:val="24"/>
        </w:rPr>
        <w:t xml:space="preserve">Pennsylvania Public Utility </w:t>
      </w:r>
      <w:r w:rsidR="0018624F" w:rsidRPr="005A0C0F">
        <w:rPr>
          <w:sz w:val="24"/>
          <w:szCs w:val="24"/>
        </w:rPr>
        <w:t>Code</w:t>
      </w:r>
      <w:r w:rsidR="008C09AC" w:rsidRPr="005A0C0F">
        <w:rPr>
          <w:sz w:val="24"/>
          <w:szCs w:val="24"/>
        </w:rPr>
        <w:t xml:space="preserve"> (Code)</w:t>
      </w:r>
      <w:r w:rsidR="00DD3605" w:rsidRPr="005A0C0F">
        <w:rPr>
          <w:sz w:val="24"/>
          <w:szCs w:val="24"/>
        </w:rPr>
        <w:t>.</w:t>
      </w:r>
    </w:p>
    <w:p w:rsidR="007237C5" w:rsidRPr="005A0C0F" w:rsidRDefault="007237C5" w:rsidP="005A0C0F">
      <w:pPr>
        <w:spacing w:line="360" w:lineRule="auto"/>
        <w:rPr>
          <w:sz w:val="24"/>
          <w:szCs w:val="24"/>
        </w:rPr>
      </w:pPr>
    </w:p>
    <w:p w:rsidR="007237C5" w:rsidRPr="005A0C0F" w:rsidRDefault="007237C5" w:rsidP="005A0C0F">
      <w:pPr>
        <w:spacing w:line="360" w:lineRule="auto"/>
        <w:rPr>
          <w:sz w:val="24"/>
          <w:szCs w:val="24"/>
        </w:rPr>
      </w:pPr>
      <w:r w:rsidRPr="005A0C0F">
        <w:rPr>
          <w:sz w:val="24"/>
          <w:szCs w:val="24"/>
        </w:rPr>
        <w:tab/>
      </w:r>
      <w:r w:rsidRPr="005A0C0F">
        <w:rPr>
          <w:sz w:val="24"/>
          <w:szCs w:val="24"/>
        </w:rPr>
        <w:tab/>
        <w:t xml:space="preserve">With respect to PGW's contention that the Commission lacks jurisdiction because the $8,933.66 was collected under the Municipal Claim Lien </w:t>
      </w:r>
      <w:r w:rsidR="006D36AC" w:rsidRPr="005A0C0F">
        <w:rPr>
          <w:sz w:val="24"/>
          <w:szCs w:val="24"/>
        </w:rPr>
        <w:t>Law</w:t>
      </w:r>
      <w:r w:rsidRPr="005A0C0F">
        <w:rPr>
          <w:sz w:val="24"/>
          <w:szCs w:val="24"/>
        </w:rPr>
        <w:t xml:space="preserve">, </w:t>
      </w:r>
      <w:r w:rsidR="00532616" w:rsidRPr="005A0C0F">
        <w:rPr>
          <w:sz w:val="24"/>
          <w:szCs w:val="24"/>
        </w:rPr>
        <w:t xml:space="preserve">it is clear as a matter of law that </w:t>
      </w:r>
      <w:r w:rsidRPr="005A0C0F">
        <w:rPr>
          <w:sz w:val="24"/>
          <w:szCs w:val="24"/>
        </w:rPr>
        <w:t xml:space="preserve">PGW, as a municipally owned gas utility, is authorized to collect for unpaid gas service to a particular address because Section 7101 </w:t>
      </w:r>
      <w:r w:rsidR="006D36AC" w:rsidRPr="005A0C0F">
        <w:rPr>
          <w:sz w:val="24"/>
          <w:szCs w:val="24"/>
        </w:rPr>
        <w:t xml:space="preserve">of that </w:t>
      </w:r>
      <w:r w:rsidR="006A41E4" w:rsidRPr="005A0C0F">
        <w:rPr>
          <w:sz w:val="24"/>
          <w:szCs w:val="24"/>
        </w:rPr>
        <w:t>law</w:t>
      </w:r>
      <w:r w:rsidR="006D36AC" w:rsidRPr="005A0C0F">
        <w:rPr>
          <w:sz w:val="24"/>
          <w:szCs w:val="24"/>
        </w:rPr>
        <w:t xml:space="preserve"> </w:t>
      </w:r>
      <w:r w:rsidRPr="005A0C0F">
        <w:rPr>
          <w:sz w:val="24"/>
          <w:szCs w:val="24"/>
        </w:rPr>
        <w:t xml:space="preserve">specifically defines "municipal claim" as: </w:t>
      </w:r>
    </w:p>
    <w:p w:rsidR="007237C5" w:rsidRPr="005A0C0F" w:rsidRDefault="007237C5" w:rsidP="00911641">
      <w:pPr>
        <w:tabs>
          <w:tab w:val="left" w:pos="7920"/>
        </w:tabs>
        <w:ind w:left="1440" w:right="1440" w:hanging="1440"/>
        <w:rPr>
          <w:sz w:val="24"/>
          <w:szCs w:val="24"/>
        </w:rPr>
      </w:pPr>
      <w:r w:rsidRPr="005A0C0F">
        <w:rPr>
          <w:sz w:val="24"/>
          <w:szCs w:val="24"/>
        </w:rPr>
        <w:br/>
        <w:t xml:space="preserve">(1) the claim arising out of, or resulting from a tax assessed, service supplied, work done, or improvement authorized and undertaken, by a municipality, although the amount thereof be not at the time definitely ascertained by the authority authorized to determine the same, and a lien therefore be not filed but become </w:t>
      </w:r>
      <w:proofErr w:type="spellStart"/>
      <w:r w:rsidRPr="005A0C0F">
        <w:rPr>
          <w:sz w:val="24"/>
          <w:szCs w:val="24"/>
        </w:rPr>
        <w:t>fileable</w:t>
      </w:r>
      <w:proofErr w:type="spellEnd"/>
      <w:r w:rsidRPr="005A0C0F">
        <w:rPr>
          <w:sz w:val="24"/>
          <w:szCs w:val="24"/>
        </w:rPr>
        <w:t xml:space="preserve"> within the period and in the manner herein provided . . . .</w:t>
      </w:r>
    </w:p>
    <w:p w:rsidR="00DD3605" w:rsidRPr="005A0C0F" w:rsidRDefault="007237C5" w:rsidP="005A0C0F">
      <w:pPr>
        <w:spacing w:line="360" w:lineRule="auto"/>
        <w:rPr>
          <w:sz w:val="24"/>
          <w:szCs w:val="24"/>
        </w:rPr>
      </w:pPr>
      <w:r w:rsidRPr="005A0C0F">
        <w:rPr>
          <w:sz w:val="24"/>
          <w:szCs w:val="24"/>
        </w:rPr>
        <w:br/>
      </w:r>
      <w:r w:rsidRPr="005A0C0F">
        <w:rPr>
          <w:sz w:val="24"/>
          <w:szCs w:val="24"/>
        </w:rPr>
        <w:tab/>
      </w:r>
      <w:r w:rsidRPr="005A0C0F">
        <w:rPr>
          <w:sz w:val="24"/>
          <w:szCs w:val="24"/>
        </w:rPr>
        <w:tab/>
        <w:t>Providing gas service to properties in Philadelphia constitutes the supply of a service and authorizes the imposition of liens for non-payment. This authority has been recognized in other statutory enactments</w:t>
      </w:r>
      <w:r w:rsidR="006A41E4" w:rsidRPr="005A0C0F">
        <w:rPr>
          <w:sz w:val="24"/>
          <w:szCs w:val="24"/>
        </w:rPr>
        <w:t>, including t</w:t>
      </w:r>
      <w:r w:rsidRPr="005A0C0F">
        <w:rPr>
          <w:sz w:val="24"/>
          <w:szCs w:val="24"/>
        </w:rPr>
        <w:t xml:space="preserve">he Natural Gas Choice and Competition Act, 66 Pa. C.S.A. §2201 et seq., §2212(n) </w:t>
      </w:r>
      <w:r w:rsidR="006A41E4" w:rsidRPr="005A0C0F">
        <w:rPr>
          <w:sz w:val="24"/>
          <w:szCs w:val="24"/>
        </w:rPr>
        <w:t xml:space="preserve">which </w:t>
      </w:r>
      <w:r w:rsidRPr="005A0C0F">
        <w:rPr>
          <w:sz w:val="24"/>
          <w:szCs w:val="24"/>
        </w:rPr>
        <w:t xml:space="preserve">specifically provides, "Nothing contained in this title shall abrogate the power of a city natural gas distribution operation to collect delinquent receivables through the imposition of liens pursuant to section 3 of the act of May 16, 1923 (P.L. </w:t>
      </w:r>
      <w:r w:rsidRPr="005A0C0F">
        <w:rPr>
          <w:sz w:val="24"/>
          <w:szCs w:val="24"/>
        </w:rPr>
        <w:lastRenderedPageBreak/>
        <w:t xml:space="preserve">207, No. 153), referred to as the Municipal Claim and Tax Lien Law, or otherwise." </w:t>
      </w:r>
      <w:proofErr w:type="gramStart"/>
      <w:r w:rsidRPr="005A0C0F">
        <w:rPr>
          <w:sz w:val="24"/>
          <w:szCs w:val="24"/>
        </w:rPr>
        <w:t>66 Pa. C.S.A. §2212(n).</w:t>
      </w:r>
      <w:proofErr w:type="gramEnd"/>
      <w:r w:rsidRPr="005A0C0F">
        <w:rPr>
          <w:sz w:val="24"/>
          <w:szCs w:val="24"/>
        </w:rPr>
        <w:t xml:space="preserve">  The Natural Gas Choice and Competition Act </w:t>
      </w:r>
      <w:proofErr w:type="gramStart"/>
      <w:r w:rsidRPr="005A0C0F">
        <w:rPr>
          <w:sz w:val="24"/>
          <w:szCs w:val="24"/>
        </w:rPr>
        <w:t>defines</w:t>
      </w:r>
      <w:proofErr w:type="gramEnd"/>
      <w:r w:rsidRPr="005A0C0F">
        <w:rPr>
          <w:sz w:val="24"/>
          <w:szCs w:val="24"/>
        </w:rPr>
        <w:t xml:space="preserve"> "Natural Gas Distribution Company" to include a public utility or a city natural gas operation that provides natural gas distribution services and may provide natural gas service supplies.  The Natural Gas Choice and Competition Act </w:t>
      </w:r>
      <w:r w:rsidR="006339E4" w:rsidRPr="005A0C0F">
        <w:rPr>
          <w:sz w:val="24"/>
          <w:szCs w:val="24"/>
        </w:rPr>
        <w:t>reaffirms</w:t>
      </w:r>
      <w:r w:rsidRPr="005A0C0F">
        <w:rPr>
          <w:sz w:val="24"/>
          <w:szCs w:val="24"/>
        </w:rPr>
        <w:t xml:space="preserve"> that a city natural gas operation, such as PGW, has the authority to file liens for natural gas service that it has supplied.  Th</w:t>
      </w:r>
      <w:r w:rsidR="006339E4" w:rsidRPr="005A0C0F">
        <w:rPr>
          <w:sz w:val="24"/>
          <w:szCs w:val="24"/>
        </w:rPr>
        <w:t>us, PGW is correct that th</w:t>
      </w:r>
      <w:r w:rsidRPr="005A0C0F">
        <w:rPr>
          <w:sz w:val="24"/>
          <w:szCs w:val="24"/>
        </w:rPr>
        <w:t xml:space="preserve">e Commission lacks </w:t>
      </w:r>
      <w:r w:rsidR="006339E4" w:rsidRPr="005A0C0F">
        <w:rPr>
          <w:sz w:val="24"/>
          <w:szCs w:val="24"/>
        </w:rPr>
        <w:t xml:space="preserve">the </w:t>
      </w:r>
      <w:r w:rsidRPr="005A0C0F">
        <w:rPr>
          <w:sz w:val="24"/>
          <w:szCs w:val="24"/>
        </w:rPr>
        <w:t xml:space="preserve">jurisdiction </w:t>
      </w:r>
      <w:r w:rsidR="006339E4" w:rsidRPr="005A0C0F">
        <w:rPr>
          <w:sz w:val="24"/>
          <w:szCs w:val="24"/>
        </w:rPr>
        <w:t xml:space="preserve">to resolve this Complaint because to attempt to do so would </w:t>
      </w:r>
      <w:r w:rsidRPr="005A0C0F">
        <w:rPr>
          <w:sz w:val="24"/>
          <w:szCs w:val="24"/>
        </w:rPr>
        <w:t xml:space="preserve">contravene the provisions of the foregoing statutes </w:t>
      </w:r>
      <w:r w:rsidR="006339E4" w:rsidRPr="005A0C0F">
        <w:rPr>
          <w:sz w:val="24"/>
          <w:szCs w:val="24"/>
        </w:rPr>
        <w:t xml:space="preserve">and result in </w:t>
      </w:r>
      <w:r w:rsidRPr="005A0C0F">
        <w:rPr>
          <w:sz w:val="24"/>
          <w:szCs w:val="24"/>
        </w:rPr>
        <w:t>action contrary to their mandates.</w:t>
      </w:r>
      <w:r w:rsidR="006D36AC" w:rsidRPr="005A0C0F">
        <w:rPr>
          <w:sz w:val="24"/>
          <w:szCs w:val="24"/>
        </w:rPr>
        <w:t xml:space="preserve">  For this reason, the Complaint must be dismissed.</w:t>
      </w:r>
      <w:r w:rsidRPr="005A0C0F">
        <w:rPr>
          <w:sz w:val="24"/>
          <w:szCs w:val="24"/>
        </w:rPr>
        <w:br/>
      </w:r>
      <w:r w:rsidR="00DD3605" w:rsidRPr="005A0C0F">
        <w:rPr>
          <w:sz w:val="24"/>
          <w:szCs w:val="24"/>
        </w:rPr>
        <w:br/>
      </w:r>
      <w:r w:rsidR="00DD3605" w:rsidRPr="005A0C0F">
        <w:rPr>
          <w:sz w:val="24"/>
          <w:szCs w:val="24"/>
        </w:rPr>
        <w:tab/>
      </w:r>
      <w:r w:rsidR="00DD3605" w:rsidRPr="005A0C0F">
        <w:rPr>
          <w:sz w:val="24"/>
          <w:szCs w:val="24"/>
        </w:rPr>
        <w:tab/>
        <w:t xml:space="preserve">With respect to PGW's contention that Complainant's claim is barred by the </w:t>
      </w:r>
      <w:r w:rsidR="0018624F" w:rsidRPr="005A0C0F">
        <w:rPr>
          <w:sz w:val="24"/>
          <w:szCs w:val="24"/>
        </w:rPr>
        <w:t>time limitations set forth in the Code</w:t>
      </w:r>
      <w:r w:rsidR="00DD3605" w:rsidRPr="005A0C0F">
        <w:rPr>
          <w:sz w:val="24"/>
          <w:szCs w:val="24"/>
        </w:rPr>
        <w:t>, 66 Pa. C.S. §331</w:t>
      </w:r>
      <w:r w:rsidR="006339E4" w:rsidRPr="005A0C0F">
        <w:rPr>
          <w:sz w:val="24"/>
          <w:szCs w:val="24"/>
        </w:rPr>
        <w:t>2(a)</w:t>
      </w:r>
      <w:r w:rsidR="00DD3605" w:rsidRPr="005A0C0F">
        <w:rPr>
          <w:sz w:val="24"/>
          <w:szCs w:val="24"/>
        </w:rPr>
        <w:t xml:space="preserve"> provides as follows: </w:t>
      </w:r>
    </w:p>
    <w:p w:rsidR="00DD3605" w:rsidRPr="005A0C0F" w:rsidRDefault="00DD3605" w:rsidP="005A0C0F">
      <w:pPr>
        <w:rPr>
          <w:sz w:val="24"/>
          <w:szCs w:val="24"/>
        </w:rPr>
      </w:pPr>
    </w:p>
    <w:p w:rsidR="00DD3605" w:rsidRPr="005A0C0F" w:rsidRDefault="00DD3605" w:rsidP="00313F43">
      <w:pPr>
        <w:ind w:left="1440" w:right="1440" w:hanging="1440"/>
        <w:rPr>
          <w:sz w:val="24"/>
          <w:szCs w:val="24"/>
        </w:rPr>
      </w:pPr>
      <w:r w:rsidRPr="005A0C0F">
        <w:rPr>
          <w:sz w:val="24"/>
          <w:szCs w:val="24"/>
        </w:rPr>
        <w:t> </w:t>
      </w:r>
      <w:r w:rsidRPr="005A0C0F">
        <w:rPr>
          <w:b/>
          <w:bCs/>
          <w:sz w:val="24"/>
          <w:szCs w:val="24"/>
        </w:rPr>
        <w:t>§ 1312. Refunds</w:t>
      </w:r>
      <w:r w:rsidRPr="005A0C0F">
        <w:rPr>
          <w:sz w:val="24"/>
          <w:szCs w:val="24"/>
        </w:rPr>
        <w:br/>
      </w:r>
      <w:r w:rsidRPr="005A0C0F">
        <w:rPr>
          <w:sz w:val="24"/>
          <w:szCs w:val="24"/>
        </w:rPr>
        <w:br/>
      </w:r>
      <w:r w:rsidRPr="005A0C0F">
        <w:rPr>
          <w:b/>
          <w:bCs/>
          <w:sz w:val="24"/>
          <w:szCs w:val="24"/>
        </w:rPr>
        <w:t>(a) General rule.</w:t>
      </w:r>
      <w:r w:rsidRPr="005A0C0F">
        <w:rPr>
          <w:sz w:val="24"/>
          <w:szCs w:val="24"/>
        </w:rP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 . . .</w:t>
      </w:r>
    </w:p>
    <w:p w:rsidR="006339E4" w:rsidRPr="005A0C0F" w:rsidRDefault="00DD3605" w:rsidP="005A0C0F">
      <w:pPr>
        <w:spacing w:line="360" w:lineRule="auto"/>
        <w:rPr>
          <w:sz w:val="24"/>
          <w:szCs w:val="24"/>
        </w:rPr>
      </w:pPr>
      <w:r w:rsidRPr="005A0C0F">
        <w:rPr>
          <w:sz w:val="24"/>
          <w:szCs w:val="24"/>
        </w:rPr>
        <w:br/>
      </w:r>
      <w:r w:rsidRPr="005A0C0F">
        <w:rPr>
          <w:sz w:val="24"/>
          <w:szCs w:val="24"/>
        </w:rPr>
        <w:tab/>
      </w:r>
      <w:r w:rsidRPr="005A0C0F">
        <w:rPr>
          <w:sz w:val="24"/>
          <w:szCs w:val="24"/>
        </w:rPr>
        <w:tab/>
      </w:r>
      <w:r w:rsidR="002B2079" w:rsidRPr="005A0C0F">
        <w:rPr>
          <w:sz w:val="24"/>
          <w:szCs w:val="24"/>
        </w:rPr>
        <w:t>In addition, 66 Pa. C.S. 3314(a) provides:</w:t>
      </w:r>
    </w:p>
    <w:p w:rsidR="002B2079" w:rsidRPr="005A0C0F" w:rsidRDefault="002B2079" w:rsidP="005A0C0F">
      <w:pPr>
        <w:spacing w:line="360" w:lineRule="auto"/>
        <w:rPr>
          <w:sz w:val="24"/>
          <w:szCs w:val="24"/>
        </w:rPr>
      </w:pPr>
    </w:p>
    <w:p w:rsidR="006339E4" w:rsidRPr="005A0C0F" w:rsidRDefault="006339E4" w:rsidP="00DF1607">
      <w:pPr>
        <w:ind w:left="1440" w:right="1440" w:hanging="1440"/>
        <w:rPr>
          <w:sz w:val="24"/>
          <w:szCs w:val="24"/>
        </w:rPr>
      </w:pPr>
      <w:r w:rsidRPr="005A0C0F">
        <w:rPr>
          <w:b/>
          <w:bCs/>
          <w:sz w:val="24"/>
          <w:szCs w:val="24"/>
        </w:rPr>
        <w:t xml:space="preserve">§3314. Limitation of actions and </w:t>
      </w:r>
      <w:proofErr w:type="spellStart"/>
      <w:r w:rsidRPr="005A0C0F">
        <w:rPr>
          <w:b/>
          <w:bCs/>
          <w:sz w:val="24"/>
          <w:szCs w:val="24"/>
        </w:rPr>
        <w:t>cumulation</w:t>
      </w:r>
      <w:proofErr w:type="spellEnd"/>
      <w:r w:rsidRPr="005A0C0F">
        <w:rPr>
          <w:b/>
          <w:bCs/>
          <w:sz w:val="24"/>
          <w:szCs w:val="24"/>
        </w:rPr>
        <w:t xml:space="preserve"> of </w:t>
      </w:r>
      <w:proofErr w:type="gramStart"/>
      <w:r w:rsidRPr="005A0C0F">
        <w:rPr>
          <w:b/>
          <w:bCs/>
          <w:sz w:val="24"/>
          <w:szCs w:val="24"/>
        </w:rPr>
        <w:t>remedies</w:t>
      </w:r>
      <w:proofErr w:type="gramEnd"/>
      <w:r w:rsidRPr="005A0C0F">
        <w:rPr>
          <w:sz w:val="24"/>
          <w:szCs w:val="24"/>
        </w:rPr>
        <w:br/>
      </w:r>
      <w:r w:rsidRPr="005A0C0F">
        <w:rPr>
          <w:sz w:val="24"/>
          <w:szCs w:val="24"/>
        </w:rPr>
        <w:br/>
      </w:r>
      <w:r w:rsidRPr="005A0C0F">
        <w:rPr>
          <w:b/>
          <w:bCs/>
          <w:sz w:val="24"/>
          <w:szCs w:val="24"/>
        </w:rPr>
        <w:t>(a) General rule.</w:t>
      </w:r>
      <w:r w:rsidRPr="005A0C0F">
        <w:rPr>
          <w:sz w:val="24"/>
          <w:szCs w:val="24"/>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therefore arose, except as otherwise provided in this part.</w:t>
      </w:r>
      <w:r w:rsidRPr="005A0C0F">
        <w:rPr>
          <w:sz w:val="24"/>
          <w:szCs w:val="24"/>
        </w:rPr>
        <w:br/>
      </w:r>
    </w:p>
    <w:p w:rsidR="006339E4" w:rsidRPr="005A0C0F" w:rsidRDefault="006339E4" w:rsidP="005A0C0F">
      <w:pPr>
        <w:spacing w:line="360" w:lineRule="auto"/>
        <w:rPr>
          <w:sz w:val="24"/>
          <w:szCs w:val="24"/>
        </w:rPr>
      </w:pPr>
    </w:p>
    <w:p w:rsidR="007A477C" w:rsidRPr="005A0C0F" w:rsidRDefault="002B2079" w:rsidP="005A0C0F">
      <w:pPr>
        <w:spacing w:line="360" w:lineRule="auto"/>
        <w:rPr>
          <w:sz w:val="24"/>
          <w:szCs w:val="24"/>
        </w:rPr>
      </w:pPr>
      <w:r w:rsidRPr="005A0C0F">
        <w:rPr>
          <w:sz w:val="24"/>
          <w:szCs w:val="24"/>
        </w:rPr>
        <w:lastRenderedPageBreak/>
        <w:tab/>
      </w:r>
      <w:r w:rsidRPr="005A0C0F">
        <w:rPr>
          <w:sz w:val="24"/>
          <w:szCs w:val="24"/>
        </w:rPr>
        <w:tab/>
      </w:r>
      <w:r w:rsidR="00DD3605" w:rsidRPr="005A0C0F">
        <w:rPr>
          <w:sz w:val="24"/>
          <w:szCs w:val="24"/>
        </w:rPr>
        <w:t xml:space="preserve">In the instant matter, the Complaint was filed on September 24, 2009, </w:t>
      </w:r>
      <w:r w:rsidR="0018501E" w:rsidRPr="005A0C0F">
        <w:rPr>
          <w:sz w:val="24"/>
          <w:szCs w:val="24"/>
        </w:rPr>
        <w:t xml:space="preserve">some four years and eleven months </w:t>
      </w:r>
      <w:r w:rsidR="00DD3605" w:rsidRPr="005A0C0F">
        <w:rPr>
          <w:sz w:val="24"/>
          <w:szCs w:val="24"/>
        </w:rPr>
        <w:t>beyond the applicable statutory periods set forth above.  For this reason, the Complaint must be dismissed.</w:t>
      </w:r>
    </w:p>
    <w:p w:rsidR="007A477C" w:rsidRPr="005A0C0F" w:rsidRDefault="007A477C" w:rsidP="005A0C0F">
      <w:pPr>
        <w:spacing w:line="360" w:lineRule="auto"/>
        <w:rPr>
          <w:sz w:val="24"/>
          <w:szCs w:val="24"/>
        </w:rPr>
      </w:pPr>
    </w:p>
    <w:p w:rsidR="007A477C" w:rsidRPr="005A0C0F" w:rsidRDefault="007A477C" w:rsidP="005A0C0F">
      <w:pPr>
        <w:spacing w:line="360" w:lineRule="auto"/>
        <w:rPr>
          <w:sz w:val="24"/>
          <w:szCs w:val="24"/>
        </w:rPr>
      </w:pPr>
      <w:r w:rsidRPr="005A0C0F">
        <w:rPr>
          <w:sz w:val="24"/>
          <w:szCs w:val="24"/>
        </w:rPr>
        <w:tab/>
      </w:r>
      <w:r w:rsidRPr="005A0C0F">
        <w:rPr>
          <w:sz w:val="24"/>
          <w:szCs w:val="24"/>
        </w:rPr>
        <w:tab/>
        <w:t>For the reasons stated above, the Motion to Dismiss filed by Philadelphia Gas Works</w:t>
      </w:r>
      <w:r w:rsidR="008104AB">
        <w:rPr>
          <w:sz w:val="24"/>
          <w:szCs w:val="24"/>
        </w:rPr>
        <w:t xml:space="preserve"> and reiterated at hearing</w:t>
      </w:r>
      <w:r w:rsidRPr="005A0C0F">
        <w:rPr>
          <w:sz w:val="24"/>
          <w:szCs w:val="24"/>
        </w:rPr>
        <w:t xml:space="preserve"> is granted, and the formal Complaint filed by Pamela Newman  against Philadelphia Gas Works on September 24, 2009, at Docket No. C-2009-2134366 is dismissed in its entirety.</w:t>
      </w:r>
    </w:p>
    <w:p w:rsidR="00DD3605" w:rsidRPr="005A0C0F" w:rsidRDefault="00DD3605" w:rsidP="005A0C0F">
      <w:pPr>
        <w:spacing w:line="360" w:lineRule="auto"/>
        <w:rPr>
          <w:sz w:val="24"/>
          <w:szCs w:val="24"/>
        </w:rPr>
      </w:pPr>
      <w:r w:rsidRPr="005A0C0F">
        <w:rPr>
          <w:sz w:val="24"/>
          <w:szCs w:val="24"/>
        </w:rPr>
        <w:br/>
      </w:r>
    </w:p>
    <w:p w:rsidR="00DD3605" w:rsidRPr="005A0C0F" w:rsidRDefault="00DD3605" w:rsidP="005A0C0F">
      <w:pPr>
        <w:spacing w:line="360" w:lineRule="auto"/>
        <w:jc w:val="center"/>
        <w:rPr>
          <w:sz w:val="24"/>
          <w:szCs w:val="24"/>
          <w:u w:val="single"/>
        </w:rPr>
      </w:pPr>
      <w:r w:rsidRPr="005A0C0F">
        <w:rPr>
          <w:sz w:val="24"/>
          <w:szCs w:val="24"/>
          <w:u w:val="single"/>
        </w:rPr>
        <w:t>CONCLUSIONS OF LAW</w:t>
      </w:r>
    </w:p>
    <w:p w:rsidR="00DD3605" w:rsidRPr="005A0C0F" w:rsidRDefault="00DD3605" w:rsidP="005A0C0F">
      <w:pPr>
        <w:spacing w:line="360" w:lineRule="auto"/>
        <w:rPr>
          <w:sz w:val="24"/>
          <w:szCs w:val="24"/>
        </w:rPr>
      </w:pPr>
      <w:r w:rsidRPr="005A0C0F">
        <w:rPr>
          <w:sz w:val="24"/>
          <w:szCs w:val="24"/>
        </w:rPr>
        <w:br/>
      </w:r>
      <w:r w:rsidRPr="005A0C0F">
        <w:rPr>
          <w:sz w:val="24"/>
          <w:szCs w:val="24"/>
        </w:rPr>
        <w:tab/>
      </w:r>
      <w:r w:rsidRPr="005A0C0F">
        <w:rPr>
          <w:sz w:val="24"/>
          <w:szCs w:val="24"/>
        </w:rPr>
        <w:tab/>
        <w:t xml:space="preserve">1. </w:t>
      </w:r>
      <w:r w:rsidRPr="005A0C0F">
        <w:rPr>
          <w:sz w:val="24"/>
          <w:szCs w:val="24"/>
        </w:rPr>
        <w:tab/>
        <w:t>The Commission has jurisdiction over the parties in this proceeding.</w:t>
      </w:r>
      <w:r w:rsidR="008C09AC" w:rsidRPr="005A0C0F">
        <w:rPr>
          <w:sz w:val="24"/>
          <w:szCs w:val="24"/>
        </w:rPr>
        <w:t xml:space="preserve">  </w:t>
      </w:r>
      <w:proofErr w:type="gramStart"/>
      <w:r w:rsidR="00E45B3C" w:rsidRPr="005A0C0F">
        <w:rPr>
          <w:spacing w:val="-3"/>
          <w:sz w:val="24"/>
          <w:szCs w:val="24"/>
        </w:rPr>
        <w:t>66 </w:t>
      </w:r>
      <w:r w:rsidR="008C09AC" w:rsidRPr="005A0C0F">
        <w:rPr>
          <w:spacing w:val="-3"/>
          <w:sz w:val="24"/>
          <w:szCs w:val="24"/>
        </w:rPr>
        <w:t>Pa. C.S. § 701.</w:t>
      </w:r>
      <w:proofErr w:type="gramEnd"/>
      <w:r w:rsidRPr="005A0C0F">
        <w:rPr>
          <w:sz w:val="24"/>
          <w:szCs w:val="24"/>
        </w:rPr>
        <w:br/>
      </w:r>
      <w:r w:rsidRPr="005A0C0F">
        <w:rPr>
          <w:sz w:val="24"/>
          <w:szCs w:val="24"/>
        </w:rPr>
        <w:br/>
      </w:r>
      <w:r w:rsidRPr="005A0C0F">
        <w:rPr>
          <w:sz w:val="24"/>
          <w:szCs w:val="24"/>
        </w:rPr>
        <w:tab/>
      </w:r>
      <w:r w:rsidRPr="005A0C0F">
        <w:rPr>
          <w:sz w:val="24"/>
          <w:szCs w:val="24"/>
        </w:rPr>
        <w:tab/>
        <w:t xml:space="preserve">2. </w:t>
      </w:r>
      <w:r w:rsidRPr="005A0C0F">
        <w:rPr>
          <w:sz w:val="24"/>
          <w:szCs w:val="24"/>
        </w:rPr>
        <w:tab/>
        <w:t>The Commission lacks jurisdiction and authority to contravene the provisions of the Municipal Claim Lien Law, 53 P.S. §</w:t>
      </w:r>
      <w:r w:rsidR="002B2079" w:rsidRPr="005A0C0F">
        <w:rPr>
          <w:sz w:val="24"/>
          <w:szCs w:val="24"/>
        </w:rPr>
        <w:t xml:space="preserve"> </w:t>
      </w:r>
      <w:r w:rsidRPr="005A0C0F">
        <w:rPr>
          <w:sz w:val="24"/>
          <w:szCs w:val="24"/>
        </w:rPr>
        <w:t>7107 et seq. and/or the Natural Gas Choice and Competition Act, 66 Pa. C.S.A. §</w:t>
      </w:r>
      <w:r w:rsidR="002B2079" w:rsidRPr="005A0C0F">
        <w:rPr>
          <w:sz w:val="24"/>
          <w:szCs w:val="24"/>
        </w:rPr>
        <w:t xml:space="preserve"> </w:t>
      </w:r>
      <w:r w:rsidRPr="005A0C0F">
        <w:rPr>
          <w:sz w:val="24"/>
          <w:szCs w:val="24"/>
        </w:rPr>
        <w:t>2201 et seq.</w:t>
      </w:r>
    </w:p>
    <w:p w:rsidR="002F019F" w:rsidRPr="005A0C0F" w:rsidRDefault="002F019F" w:rsidP="005A0C0F">
      <w:pPr>
        <w:spacing w:line="360" w:lineRule="auto"/>
        <w:rPr>
          <w:sz w:val="24"/>
          <w:szCs w:val="24"/>
        </w:rPr>
      </w:pPr>
    </w:p>
    <w:p w:rsidR="002F019F" w:rsidRPr="005A0C0F" w:rsidRDefault="002F019F" w:rsidP="005A0C0F">
      <w:pPr>
        <w:spacing w:line="360" w:lineRule="auto"/>
        <w:rPr>
          <w:sz w:val="24"/>
          <w:szCs w:val="24"/>
        </w:rPr>
      </w:pPr>
      <w:r w:rsidRPr="005A0C0F">
        <w:rPr>
          <w:sz w:val="24"/>
          <w:szCs w:val="24"/>
        </w:rPr>
        <w:tab/>
      </w:r>
      <w:r w:rsidRPr="005A0C0F">
        <w:rPr>
          <w:sz w:val="24"/>
          <w:szCs w:val="24"/>
        </w:rPr>
        <w:tab/>
        <w:t>3.</w:t>
      </w:r>
      <w:r w:rsidRPr="005A0C0F">
        <w:rPr>
          <w:sz w:val="24"/>
          <w:szCs w:val="24"/>
        </w:rPr>
        <w:tab/>
        <w:t>Complainant's claim for a refund is barred by the limitations set forth in the Public Utility Code, 66 Pa. C.S. §§ 1312(a) and 3314(a).</w:t>
      </w:r>
    </w:p>
    <w:p w:rsidR="00DC3FED" w:rsidRPr="005A0C0F" w:rsidRDefault="00DC3FED" w:rsidP="005A0C0F">
      <w:pPr>
        <w:spacing w:line="360" w:lineRule="auto"/>
        <w:rPr>
          <w:sz w:val="24"/>
          <w:szCs w:val="24"/>
        </w:rPr>
      </w:pPr>
    </w:p>
    <w:p w:rsidR="00DD3605" w:rsidRPr="005A0C0F" w:rsidRDefault="00DD3605" w:rsidP="005A0C0F">
      <w:pPr>
        <w:spacing w:line="360" w:lineRule="auto"/>
        <w:jc w:val="center"/>
        <w:rPr>
          <w:sz w:val="24"/>
          <w:szCs w:val="24"/>
          <w:u w:val="single"/>
        </w:rPr>
      </w:pPr>
      <w:r w:rsidRPr="005A0C0F">
        <w:rPr>
          <w:sz w:val="24"/>
          <w:szCs w:val="24"/>
          <w:u w:val="single"/>
        </w:rPr>
        <w:t>ORDER</w:t>
      </w:r>
      <w:r w:rsidRPr="005A0C0F">
        <w:rPr>
          <w:sz w:val="24"/>
          <w:szCs w:val="24"/>
          <w:u w:val="single"/>
        </w:rPr>
        <w:br/>
      </w:r>
    </w:p>
    <w:p w:rsidR="00E45B3C" w:rsidRPr="005A0C0F" w:rsidRDefault="00E45B3C" w:rsidP="005A0C0F">
      <w:pPr>
        <w:spacing w:line="360" w:lineRule="auto"/>
        <w:jc w:val="center"/>
        <w:rPr>
          <w:sz w:val="24"/>
          <w:szCs w:val="24"/>
          <w:u w:val="single"/>
        </w:rPr>
      </w:pPr>
    </w:p>
    <w:p w:rsidR="00DD3605" w:rsidRPr="005A0C0F" w:rsidRDefault="00DD3605" w:rsidP="005A0C0F">
      <w:pPr>
        <w:spacing w:line="360" w:lineRule="auto"/>
        <w:rPr>
          <w:sz w:val="24"/>
          <w:szCs w:val="24"/>
        </w:rPr>
      </w:pPr>
      <w:r w:rsidRPr="005A0C0F">
        <w:rPr>
          <w:sz w:val="24"/>
          <w:szCs w:val="24"/>
        </w:rPr>
        <w:tab/>
      </w:r>
      <w:r w:rsidRPr="005A0C0F">
        <w:rPr>
          <w:sz w:val="24"/>
          <w:szCs w:val="24"/>
        </w:rPr>
        <w:tab/>
        <w:t>THEREFORE,</w:t>
      </w:r>
      <w:r w:rsidRPr="005A0C0F">
        <w:rPr>
          <w:sz w:val="24"/>
          <w:szCs w:val="24"/>
        </w:rPr>
        <w:br/>
      </w:r>
      <w:r w:rsidRPr="005A0C0F">
        <w:rPr>
          <w:sz w:val="24"/>
          <w:szCs w:val="24"/>
        </w:rPr>
        <w:br/>
      </w:r>
      <w:r w:rsidRPr="005A0C0F">
        <w:rPr>
          <w:sz w:val="24"/>
          <w:szCs w:val="24"/>
        </w:rPr>
        <w:tab/>
      </w:r>
      <w:r w:rsidRPr="005A0C0F">
        <w:rPr>
          <w:sz w:val="24"/>
          <w:szCs w:val="24"/>
        </w:rPr>
        <w:tab/>
        <w:t>IT IS ORDERED:</w:t>
      </w:r>
      <w:r w:rsidRPr="005A0C0F">
        <w:rPr>
          <w:sz w:val="24"/>
          <w:szCs w:val="24"/>
        </w:rPr>
        <w:br/>
      </w:r>
      <w:r w:rsidRPr="005A0C0F">
        <w:rPr>
          <w:sz w:val="24"/>
          <w:szCs w:val="24"/>
        </w:rPr>
        <w:br/>
      </w:r>
      <w:r w:rsidRPr="005A0C0F">
        <w:rPr>
          <w:sz w:val="24"/>
          <w:szCs w:val="24"/>
        </w:rPr>
        <w:tab/>
      </w:r>
      <w:r w:rsidRPr="005A0C0F">
        <w:rPr>
          <w:sz w:val="24"/>
          <w:szCs w:val="24"/>
        </w:rPr>
        <w:tab/>
        <w:t>1.</w:t>
      </w:r>
      <w:r w:rsidRPr="005A0C0F">
        <w:rPr>
          <w:sz w:val="24"/>
          <w:szCs w:val="24"/>
        </w:rPr>
        <w:tab/>
        <w:t xml:space="preserve">That the Motion of Philadelphia Gas Works to Dismiss the Complaint of Pamela Newman against </w:t>
      </w:r>
      <w:r w:rsidRPr="005A0C0F">
        <w:rPr>
          <w:bCs/>
          <w:sz w:val="24"/>
          <w:szCs w:val="24"/>
        </w:rPr>
        <w:t>Philadelphia</w:t>
      </w:r>
      <w:r w:rsidRPr="005A0C0F">
        <w:rPr>
          <w:sz w:val="24"/>
          <w:szCs w:val="24"/>
        </w:rPr>
        <w:t xml:space="preserve"> Gas </w:t>
      </w:r>
      <w:r w:rsidRPr="005A0C0F">
        <w:rPr>
          <w:bCs/>
          <w:sz w:val="24"/>
          <w:szCs w:val="24"/>
        </w:rPr>
        <w:t>Works</w:t>
      </w:r>
      <w:r w:rsidRPr="005A0C0F">
        <w:rPr>
          <w:sz w:val="24"/>
          <w:szCs w:val="24"/>
        </w:rPr>
        <w:t xml:space="preserve"> at Docket No. C-2009-2134366 is granted.</w:t>
      </w:r>
    </w:p>
    <w:p w:rsidR="00DD3605" w:rsidRPr="005A0C0F" w:rsidRDefault="00DD3605" w:rsidP="005A0C0F">
      <w:pPr>
        <w:spacing w:line="360" w:lineRule="auto"/>
        <w:rPr>
          <w:sz w:val="24"/>
          <w:szCs w:val="24"/>
        </w:rPr>
      </w:pPr>
    </w:p>
    <w:p w:rsidR="00DD3605" w:rsidRPr="005A0C0F" w:rsidRDefault="00DD3605" w:rsidP="002D75C6">
      <w:pPr>
        <w:spacing w:line="360" w:lineRule="auto"/>
        <w:rPr>
          <w:sz w:val="24"/>
          <w:szCs w:val="24"/>
        </w:rPr>
      </w:pPr>
      <w:r w:rsidRPr="005A0C0F">
        <w:rPr>
          <w:sz w:val="24"/>
          <w:szCs w:val="24"/>
        </w:rPr>
        <w:tab/>
      </w:r>
      <w:r w:rsidRPr="005A0C0F">
        <w:rPr>
          <w:sz w:val="24"/>
          <w:szCs w:val="24"/>
        </w:rPr>
        <w:tab/>
        <w:t>2.</w:t>
      </w:r>
      <w:r w:rsidRPr="005A0C0F">
        <w:rPr>
          <w:sz w:val="24"/>
          <w:szCs w:val="24"/>
        </w:rPr>
        <w:tab/>
        <w:t xml:space="preserve">That the Complaint of Pamela Newman against </w:t>
      </w:r>
      <w:r w:rsidRPr="005A0C0F">
        <w:rPr>
          <w:bCs/>
          <w:sz w:val="24"/>
          <w:szCs w:val="24"/>
        </w:rPr>
        <w:t>Philadelphia</w:t>
      </w:r>
      <w:r w:rsidRPr="005A0C0F">
        <w:rPr>
          <w:sz w:val="24"/>
          <w:szCs w:val="24"/>
        </w:rPr>
        <w:t xml:space="preserve"> Gas </w:t>
      </w:r>
      <w:r w:rsidRPr="005A0C0F">
        <w:rPr>
          <w:bCs/>
          <w:sz w:val="24"/>
          <w:szCs w:val="24"/>
        </w:rPr>
        <w:t>Works</w:t>
      </w:r>
      <w:r w:rsidRPr="005A0C0F">
        <w:rPr>
          <w:sz w:val="24"/>
          <w:szCs w:val="24"/>
        </w:rPr>
        <w:t xml:space="preserve"> </w:t>
      </w:r>
      <w:r w:rsidR="002F019F" w:rsidRPr="005A0C0F">
        <w:rPr>
          <w:sz w:val="24"/>
          <w:szCs w:val="24"/>
        </w:rPr>
        <w:t>at</w:t>
      </w:r>
      <w:r w:rsidRPr="005A0C0F">
        <w:rPr>
          <w:sz w:val="24"/>
          <w:szCs w:val="24"/>
        </w:rPr>
        <w:t xml:space="preserve"> Docket No. C-2009-2134366 is hereby dismissed.</w:t>
      </w:r>
      <w:r w:rsidRPr="005A0C0F">
        <w:rPr>
          <w:sz w:val="24"/>
          <w:szCs w:val="24"/>
        </w:rPr>
        <w:br/>
      </w:r>
      <w:r w:rsidRPr="005A0C0F">
        <w:rPr>
          <w:sz w:val="24"/>
          <w:szCs w:val="24"/>
        </w:rPr>
        <w:br/>
      </w:r>
      <w:r w:rsidRPr="005A0C0F">
        <w:rPr>
          <w:sz w:val="24"/>
          <w:szCs w:val="24"/>
        </w:rPr>
        <w:tab/>
      </w:r>
      <w:r w:rsidRPr="005A0C0F">
        <w:rPr>
          <w:sz w:val="24"/>
          <w:szCs w:val="24"/>
        </w:rPr>
        <w:tab/>
        <w:t>3.</w:t>
      </w:r>
      <w:r w:rsidRPr="005A0C0F">
        <w:rPr>
          <w:sz w:val="24"/>
          <w:szCs w:val="24"/>
        </w:rPr>
        <w:tab/>
        <w:t>That this proceeding be marked closed.</w:t>
      </w:r>
    </w:p>
    <w:p w:rsidR="00DD3605" w:rsidRPr="005A0C0F" w:rsidRDefault="00DD3605" w:rsidP="005A0C0F">
      <w:pPr>
        <w:rPr>
          <w:sz w:val="24"/>
          <w:szCs w:val="24"/>
        </w:rPr>
      </w:pPr>
    </w:p>
    <w:p w:rsidR="00DD3605" w:rsidRPr="005A0C0F" w:rsidRDefault="00DD3605" w:rsidP="005A0C0F">
      <w:pPr>
        <w:rPr>
          <w:sz w:val="24"/>
          <w:szCs w:val="24"/>
        </w:rPr>
      </w:pPr>
    </w:p>
    <w:p w:rsidR="00DD3605" w:rsidRPr="005A0C0F" w:rsidRDefault="00DD3605" w:rsidP="005A0C0F">
      <w:pPr>
        <w:rPr>
          <w:sz w:val="24"/>
          <w:szCs w:val="24"/>
        </w:rPr>
      </w:pPr>
      <w:r w:rsidRPr="005A0C0F">
        <w:rPr>
          <w:sz w:val="24"/>
          <w:szCs w:val="24"/>
        </w:rPr>
        <w:t>Date:</w:t>
      </w:r>
      <w:r w:rsidRPr="005A0C0F">
        <w:rPr>
          <w:sz w:val="24"/>
          <w:szCs w:val="24"/>
        </w:rPr>
        <w:tab/>
      </w:r>
      <w:r w:rsidRPr="005A0C0F">
        <w:rPr>
          <w:sz w:val="24"/>
          <w:szCs w:val="24"/>
          <w:u w:val="single"/>
        </w:rPr>
        <w:t>January 1</w:t>
      </w:r>
      <w:r w:rsidR="00844DBE">
        <w:rPr>
          <w:sz w:val="24"/>
          <w:szCs w:val="24"/>
          <w:u w:val="single"/>
        </w:rPr>
        <w:t>9</w:t>
      </w:r>
      <w:r w:rsidRPr="005A0C0F">
        <w:rPr>
          <w:sz w:val="24"/>
          <w:szCs w:val="24"/>
          <w:u w:val="single"/>
        </w:rPr>
        <w:t>, 2011</w:t>
      </w:r>
      <w:r w:rsidRPr="005A0C0F">
        <w:rPr>
          <w:sz w:val="24"/>
          <w:szCs w:val="24"/>
        </w:rPr>
        <w:tab/>
      </w:r>
      <w:r w:rsidRPr="005A0C0F">
        <w:rPr>
          <w:sz w:val="24"/>
          <w:szCs w:val="24"/>
        </w:rPr>
        <w:tab/>
      </w:r>
      <w:r w:rsidRPr="005A0C0F">
        <w:rPr>
          <w:sz w:val="24"/>
          <w:szCs w:val="24"/>
        </w:rPr>
        <w:tab/>
      </w:r>
      <w:r w:rsidRPr="005A0C0F">
        <w:rPr>
          <w:sz w:val="24"/>
          <w:szCs w:val="24"/>
        </w:rPr>
        <w:tab/>
        <w:t>___________________________________</w:t>
      </w:r>
    </w:p>
    <w:p w:rsidR="00DD3605" w:rsidRPr="005A0C0F" w:rsidRDefault="00DD3605" w:rsidP="005A0C0F">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Dennis J. Buckley</w:t>
      </w:r>
    </w:p>
    <w:p w:rsidR="00DD3605" w:rsidRPr="005A0C0F" w:rsidRDefault="00DD3605" w:rsidP="005A0C0F">
      <w:pPr>
        <w:ind w:hanging="720"/>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00E45B3C" w:rsidRPr="005A0C0F">
        <w:rPr>
          <w:sz w:val="24"/>
          <w:szCs w:val="24"/>
        </w:rPr>
        <w:tab/>
      </w:r>
      <w:r w:rsidRPr="005A0C0F">
        <w:rPr>
          <w:sz w:val="24"/>
          <w:szCs w:val="24"/>
        </w:rPr>
        <w:t>Administrative Law Judge</w:t>
      </w:r>
    </w:p>
    <w:p w:rsidR="00DD3605" w:rsidRPr="005A0C0F" w:rsidRDefault="00DD3605" w:rsidP="005A0C0F">
      <w:pPr>
        <w:rPr>
          <w:sz w:val="24"/>
          <w:szCs w:val="24"/>
        </w:rPr>
      </w:pPr>
    </w:p>
    <w:p w:rsidR="0069027E" w:rsidRPr="005A0C0F" w:rsidRDefault="0069027E" w:rsidP="005A0C0F">
      <w:pPr>
        <w:rPr>
          <w:sz w:val="24"/>
          <w:szCs w:val="24"/>
        </w:rPr>
      </w:pPr>
    </w:p>
    <w:p w:rsidR="00DC7E1B" w:rsidRPr="005A0C0F" w:rsidRDefault="00DC7E1B" w:rsidP="005A0C0F">
      <w:pPr>
        <w:rPr>
          <w:sz w:val="24"/>
          <w:szCs w:val="24"/>
        </w:rPr>
      </w:pPr>
    </w:p>
    <w:sectPr w:rsidR="00DC7E1B" w:rsidRPr="005A0C0F" w:rsidSect="00C72CB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C04" w:rsidRDefault="001E0C04" w:rsidP="007237C5">
      <w:r>
        <w:separator/>
      </w:r>
    </w:p>
  </w:endnote>
  <w:endnote w:type="continuationSeparator" w:id="0">
    <w:p w:rsidR="001E0C04" w:rsidRDefault="001E0C04"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28889"/>
      <w:docPartObj>
        <w:docPartGallery w:val="Page Numbers (Bottom of Page)"/>
        <w:docPartUnique/>
      </w:docPartObj>
    </w:sdtPr>
    <w:sdtEndPr>
      <w:rPr>
        <w:sz w:val="20"/>
        <w:szCs w:val="20"/>
      </w:rPr>
    </w:sdtEndPr>
    <w:sdtContent>
      <w:p w:rsidR="00C72CBB" w:rsidRDefault="00D660AF">
        <w:pPr>
          <w:pStyle w:val="Footer"/>
          <w:jc w:val="center"/>
        </w:pPr>
        <w:r w:rsidRPr="00C72CBB">
          <w:rPr>
            <w:sz w:val="20"/>
            <w:szCs w:val="20"/>
          </w:rPr>
          <w:fldChar w:fldCharType="begin"/>
        </w:r>
        <w:r w:rsidR="00C72CBB" w:rsidRPr="00C72CBB">
          <w:rPr>
            <w:sz w:val="20"/>
            <w:szCs w:val="20"/>
          </w:rPr>
          <w:instrText xml:space="preserve"> PAGE   \* MERGEFORMAT </w:instrText>
        </w:r>
        <w:r w:rsidRPr="00C72CBB">
          <w:rPr>
            <w:sz w:val="20"/>
            <w:szCs w:val="20"/>
          </w:rPr>
          <w:fldChar w:fldCharType="separate"/>
        </w:r>
        <w:r w:rsidR="0091344C">
          <w:rPr>
            <w:noProof/>
            <w:sz w:val="20"/>
            <w:szCs w:val="20"/>
          </w:rPr>
          <w:t>6</w:t>
        </w:r>
        <w:r w:rsidRPr="00C72CBB">
          <w:rPr>
            <w:sz w:val="20"/>
            <w:szCs w:val="20"/>
          </w:rPr>
          <w:fldChar w:fldCharType="end"/>
        </w:r>
      </w:p>
    </w:sdtContent>
  </w:sdt>
  <w:p w:rsidR="00C72CBB" w:rsidRDefault="00C72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C04" w:rsidRDefault="001E0C04" w:rsidP="007237C5">
      <w:r>
        <w:separator/>
      </w:r>
    </w:p>
  </w:footnote>
  <w:footnote w:type="continuationSeparator" w:id="0">
    <w:p w:rsidR="001E0C04" w:rsidRDefault="001E0C04" w:rsidP="007237C5">
      <w:r>
        <w:continuationSeparator/>
      </w:r>
    </w:p>
  </w:footnote>
  <w:footnote w:id="1">
    <w:p w:rsidR="007237C5" w:rsidRPr="00911641" w:rsidRDefault="007237C5">
      <w:pPr>
        <w:pStyle w:val="FootnoteText"/>
      </w:pPr>
      <w:r w:rsidRPr="00911641">
        <w:rPr>
          <w:rStyle w:val="FootnoteReference"/>
        </w:rPr>
        <w:footnoteRef/>
      </w:r>
      <w:r w:rsidRPr="00911641">
        <w:tab/>
        <w:t xml:space="preserve">Act 153 of May 16, 1923, P.L. 207; 53 P.S. §7101 </w:t>
      </w:r>
      <w:r w:rsidRPr="00911641">
        <w:rPr>
          <w:i/>
        </w:rPr>
        <w:t>et seq</w:t>
      </w:r>
      <w:r w:rsidRPr="00911641">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D3605"/>
    <w:rsid w:val="00000B68"/>
    <w:rsid w:val="0000764F"/>
    <w:rsid w:val="000172AC"/>
    <w:rsid w:val="00017703"/>
    <w:rsid w:val="00020616"/>
    <w:rsid w:val="00020ACF"/>
    <w:rsid w:val="000361C6"/>
    <w:rsid w:val="000453F0"/>
    <w:rsid w:val="00051531"/>
    <w:rsid w:val="00051A42"/>
    <w:rsid w:val="00065E2A"/>
    <w:rsid w:val="00071466"/>
    <w:rsid w:val="0008097E"/>
    <w:rsid w:val="00081C45"/>
    <w:rsid w:val="00086142"/>
    <w:rsid w:val="000875CF"/>
    <w:rsid w:val="0009315C"/>
    <w:rsid w:val="00093946"/>
    <w:rsid w:val="000B28AF"/>
    <w:rsid w:val="000B615A"/>
    <w:rsid w:val="000B7C4C"/>
    <w:rsid w:val="000E3437"/>
    <w:rsid w:val="000E3C33"/>
    <w:rsid w:val="000E4B75"/>
    <w:rsid w:val="00100967"/>
    <w:rsid w:val="0010462E"/>
    <w:rsid w:val="00110162"/>
    <w:rsid w:val="0011388A"/>
    <w:rsid w:val="00123515"/>
    <w:rsid w:val="00131408"/>
    <w:rsid w:val="0013260C"/>
    <w:rsid w:val="00132676"/>
    <w:rsid w:val="001362F6"/>
    <w:rsid w:val="00156549"/>
    <w:rsid w:val="00157A98"/>
    <w:rsid w:val="00170D92"/>
    <w:rsid w:val="00172CCF"/>
    <w:rsid w:val="00172EB1"/>
    <w:rsid w:val="00175A9B"/>
    <w:rsid w:val="0017718A"/>
    <w:rsid w:val="0018450B"/>
    <w:rsid w:val="0018501E"/>
    <w:rsid w:val="0018624F"/>
    <w:rsid w:val="001A2FF6"/>
    <w:rsid w:val="001A3B11"/>
    <w:rsid w:val="001A4593"/>
    <w:rsid w:val="001A7AE4"/>
    <w:rsid w:val="001B13A4"/>
    <w:rsid w:val="001B327A"/>
    <w:rsid w:val="001E0C04"/>
    <w:rsid w:val="001E0DF2"/>
    <w:rsid w:val="001E4F6B"/>
    <w:rsid w:val="001F3FEC"/>
    <w:rsid w:val="001F7687"/>
    <w:rsid w:val="00203174"/>
    <w:rsid w:val="002036DB"/>
    <w:rsid w:val="0021560B"/>
    <w:rsid w:val="002226E1"/>
    <w:rsid w:val="00222CDF"/>
    <w:rsid w:val="00230D85"/>
    <w:rsid w:val="002325DF"/>
    <w:rsid w:val="002357D9"/>
    <w:rsid w:val="00235F06"/>
    <w:rsid w:val="00243B5A"/>
    <w:rsid w:val="00251461"/>
    <w:rsid w:val="002531EB"/>
    <w:rsid w:val="00253546"/>
    <w:rsid w:val="00257EEB"/>
    <w:rsid w:val="00262889"/>
    <w:rsid w:val="00267C75"/>
    <w:rsid w:val="002870A9"/>
    <w:rsid w:val="00287328"/>
    <w:rsid w:val="00297A4A"/>
    <w:rsid w:val="002A3CF4"/>
    <w:rsid w:val="002A7FA1"/>
    <w:rsid w:val="002B1C21"/>
    <w:rsid w:val="002B2079"/>
    <w:rsid w:val="002B2EE6"/>
    <w:rsid w:val="002B42FA"/>
    <w:rsid w:val="002C70C0"/>
    <w:rsid w:val="002D12EC"/>
    <w:rsid w:val="002D6A4C"/>
    <w:rsid w:val="002D75C6"/>
    <w:rsid w:val="002E32B5"/>
    <w:rsid w:val="002E4F07"/>
    <w:rsid w:val="002E6958"/>
    <w:rsid w:val="002F019F"/>
    <w:rsid w:val="002F52AF"/>
    <w:rsid w:val="003009DE"/>
    <w:rsid w:val="00311384"/>
    <w:rsid w:val="00311460"/>
    <w:rsid w:val="00312033"/>
    <w:rsid w:val="00313F43"/>
    <w:rsid w:val="00317B1C"/>
    <w:rsid w:val="00323C28"/>
    <w:rsid w:val="00323E8F"/>
    <w:rsid w:val="003277DB"/>
    <w:rsid w:val="00331361"/>
    <w:rsid w:val="003413DF"/>
    <w:rsid w:val="00343410"/>
    <w:rsid w:val="00351AD2"/>
    <w:rsid w:val="00352155"/>
    <w:rsid w:val="003568DB"/>
    <w:rsid w:val="0036195B"/>
    <w:rsid w:val="003627CB"/>
    <w:rsid w:val="0036596E"/>
    <w:rsid w:val="00366A60"/>
    <w:rsid w:val="00367C94"/>
    <w:rsid w:val="00375267"/>
    <w:rsid w:val="0038241E"/>
    <w:rsid w:val="00384FE3"/>
    <w:rsid w:val="00390836"/>
    <w:rsid w:val="003A024E"/>
    <w:rsid w:val="003A15DB"/>
    <w:rsid w:val="003A251A"/>
    <w:rsid w:val="003A3EEB"/>
    <w:rsid w:val="003B28F4"/>
    <w:rsid w:val="003B363D"/>
    <w:rsid w:val="003B48F6"/>
    <w:rsid w:val="003B5F87"/>
    <w:rsid w:val="003E12A9"/>
    <w:rsid w:val="003E60C1"/>
    <w:rsid w:val="003E7B2E"/>
    <w:rsid w:val="003F0D0A"/>
    <w:rsid w:val="003F17AC"/>
    <w:rsid w:val="003F480E"/>
    <w:rsid w:val="00400003"/>
    <w:rsid w:val="00402FD8"/>
    <w:rsid w:val="004116D3"/>
    <w:rsid w:val="004132CF"/>
    <w:rsid w:val="00413DFB"/>
    <w:rsid w:val="004161DA"/>
    <w:rsid w:val="004164FE"/>
    <w:rsid w:val="00421719"/>
    <w:rsid w:val="0042367A"/>
    <w:rsid w:val="004337A3"/>
    <w:rsid w:val="004461BA"/>
    <w:rsid w:val="00452DC3"/>
    <w:rsid w:val="00461BE2"/>
    <w:rsid w:val="004629D8"/>
    <w:rsid w:val="0046613C"/>
    <w:rsid w:val="00466412"/>
    <w:rsid w:val="00472390"/>
    <w:rsid w:val="00476AA5"/>
    <w:rsid w:val="00477308"/>
    <w:rsid w:val="00494177"/>
    <w:rsid w:val="00495A17"/>
    <w:rsid w:val="004A4A92"/>
    <w:rsid w:val="004A55D1"/>
    <w:rsid w:val="004A5D58"/>
    <w:rsid w:val="004B3B38"/>
    <w:rsid w:val="004C07D2"/>
    <w:rsid w:val="004C2794"/>
    <w:rsid w:val="004D4447"/>
    <w:rsid w:val="004E133C"/>
    <w:rsid w:val="004E1A8C"/>
    <w:rsid w:val="004E4202"/>
    <w:rsid w:val="004F51B0"/>
    <w:rsid w:val="004F6C8E"/>
    <w:rsid w:val="005028FF"/>
    <w:rsid w:val="00504287"/>
    <w:rsid w:val="005074C3"/>
    <w:rsid w:val="00523C09"/>
    <w:rsid w:val="00532616"/>
    <w:rsid w:val="005352D3"/>
    <w:rsid w:val="00540ACE"/>
    <w:rsid w:val="005475EC"/>
    <w:rsid w:val="00550149"/>
    <w:rsid w:val="00552D9B"/>
    <w:rsid w:val="00564484"/>
    <w:rsid w:val="00567509"/>
    <w:rsid w:val="00582CD8"/>
    <w:rsid w:val="0058784C"/>
    <w:rsid w:val="00590965"/>
    <w:rsid w:val="0059506A"/>
    <w:rsid w:val="005A0C0F"/>
    <w:rsid w:val="005B2D8D"/>
    <w:rsid w:val="005B34B9"/>
    <w:rsid w:val="005B4379"/>
    <w:rsid w:val="005B6B5D"/>
    <w:rsid w:val="005C2E38"/>
    <w:rsid w:val="005C319B"/>
    <w:rsid w:val="005D1CEB"/>
    <w:rsid w:val="005D2D39"/>
    <w:rsid w:val="005E6784"/>
    <w:rsid w:val="005F0C32"/>
    <w:rsid w:val="005F659B"/>
    <w:rsid w:val="005F6D34"/>
    <w:rsid w:val="005F6F2D"/>
    <w:rsid w:val="00610B4E"/>
    <w:rsid w:val="00617E46"/>
    <w:rsid w:val="00630B12"/>
    <w:rsid w:val="006339E4"/>
    <w:rsid w:val="006346FB"/>
    <w:rsid w:val="00636C19"/>
    <w:rsid w:val="00641F63"/>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A41E4"/>
    <w:rsid w:val="006A4608"/>
    <w:rsid w:val="006B1A38"/>
    <w:rsid w:val="006B4F76"/>
    <w:rsid w:val="006C24A2"/>
    <w:rsid w:val="006D05F2"/>
    <w:rsid w:val="006D3591"/>
    <w:rsid w:val="006D36AC"/>
    <w:rsid w:val="006D4B2A"/>
    <w:rsid w:val="006D6151"/>
    <w:rsid w:val="006F79B1"/>
    <w:rsid w:val="006F7F52"/>
    <w:rsid w:val="00700A03"/>
    <w:rsid w:val="00703DE0"/>
    <w:rsid w:val="0070421D"/>
    <w:rsid w:val="007237C5"/>
    <w:rsid w:val="007244D1"/>
    <w:rsid w:val="00727658"/>
    <w:rsid w:val="00737842"/>
    <w:rsid w:val="007403C2"/>
    <w:rsid w:val="007408D5"/>
    <w:rsid w:val="007452F3"/>
    <w:rsid w:val="00746E27"/>
    <w:rsid w:val="007774E5"/>
    <w:rsid w:val="00787F88"/>
    <w:rsid w:val="0079158C"/>
    <w:rsid w:val="00793DB4"/>
    <w:rsid w:val="007A477C"/>
    <w:rsid w:val="007B0837"/>
    <w:rsid w:val="007B0DBB"/>
    <w:rsid w:val="007B49D8"/>
    <w:rsid w:val="007B69CE"/>
    <w:rsid w:val="007C2A51"/>
    <w:rsid w:val="007C6B1F"/>
    <w:rsid w:val="007E2D1F"/>
    <w:rsid w:val="007F0C9F"/>
    <w:rsid w:val="007F1EAC"/>
    <w:rsid w:val="007F5EE7"/>
    <w:rsid w:val="007F6C3C"/>
    <w:rsid w:val="007F6F94"/>
    <w:rsid w:val="00802919"/>
    <w:rsid w:val="0080458B"/>
    <w:rsid w:val="008104AB"/>
    <w:rsid w:val="008215D0"/>
    <w:rsid w:val="00821A92"/>
    <w:rsid w:val="008424A6"/>
    <w:rsid w:val="00844DBE"/>
    <w:rsid w:val="008605CF"/>
    <w:rsid w:val="00867164"/>
    <w:rsid w:val="00876810"/>
    <w:rsid w:val="00880C89"/>
    <w:rsid w:val="00881023"/>
    <w:rsid w:val="00882CF9"/>
    <w:rsid w:val="00883BB5"/>
    <w:rsid w:val="00890339"/>
    <w:rsid w:val="0089738C"/>
    <w:rsid w:val="008A2208"/>
    <w:rsid w:val="008B5D4A"/>
    <w:rsid w:val="008B6419"/>
    <w:rsid w:val="008B65EE"/>
    <w:rsid w:val="008C09AC"/>
    <w:rsid w:val="008C22D3"/>
    <w:rsid w:val="008C258A"/>
    <w:rsid w:val="008C52E5"/>
    <w:rsid w:val="008C6F9E"/>
    <w:rsid w:val="008C74A6"/>
    <w:rsid w:val="008D041F"/>
    <w:rsid w:val="008D3A8B"/>
    <w:rsid w:val="008E0524"/>
    <w:rsid w:val="008E0C61"/>
    <w:rsid w:val="008F03F5"/>
    <w:rsid w:val="008F604A"/>
    <w:rsid w:val="008F633F"/>
    <w:rsid w:val="009062E7"/>
    <w:rsid w:val="00911641"/>
    <w:rsid w:val="0091344C"/>
    <w:rsid w:val="009167A8"/>
    <w:rsid w:val="00920354"/>
    <w:rsid w:val="00923042"/>
    <w:rsid w:val="00930862"/>
    <w:rsid w:val="009356A3"/>
    <w:rsid w:val="00946E14"/>
    <w:rsid w:val="00947D3F"/>
    <w:rsid w:val="00955C2C"/>
    <w:rsid w:val="00957300"/>
    <w:rsid w:val="0096711C"/>
    <w:rsid w:val="00982D5E"/>
    <w:rsid w:val="0099359B"/>
    <w:rsid w:val="009A0A30"/>
    <w:rsid w:val="009A3A50"/>
    <w:rsid w:val="009A3DCD"/>
    <w:rsid w:val="009A6E84"/>
    <w:rsid w:val="009B56F5"/>
    <w:rsid w:val="009C13ED"/>
    <w:rsid w:val="009D5C76"/>
    <w:rsid w:val="009E434D"/>
    <w:rsid w:val="009E6AAE"/>
    <w:rsid w:val="009F0455"/>
    <w:rsid w:val="009F1830"/>
    <w:rsid w:val="009F1C4B"/>
    <w:rsid w:val="009F55FC"/>
    <w:rsid w:val="009F72A1"/>
    <w:rsid w:val="00A00DC5"/>
    <w:rsid w:val="00A07865"/>
    <w:rsid w:val="00A07B60"/>
    <w:rsid w:val="00A07DDD"/>
    <w:rsid w:val="00A10BD9"/>
    <w:rsid w:val="00A12D79"/>
    <w:rsid w:val="00A14AF3"/>
    <w:rsid w:val="00A1500A"/>
    <w:rsid w:val="00A23F46"/>
    <w:rsid w:val="00A36C62"/>
    <w:rsid w:val="00A37544"/>
    <w:rsid w:val="00A37E71"/>
    <w:rsid w:val="00A402ED"/>
    <w:rsid w:val="00A44D00"/>
    <w:rsid w:val="00A46561"/>
    <w:rsid w:val="00A56232"/>
    <w:rsid w:val="00A573E3"/>
    <w:rsid w:val="00A760BB"/>
    <w:rsid w:val="00A7719B"/>
    <w:rsid w:val="00A83E41"/>
    <w:rsid w:val="00A92073"/>
    <w:rsid w:val="00AA19FC"/>
    <w:rsid w:val="00AA7F1F"/>
    <w:rsid w:val="00AB43D7"/>
    <w:rsid w:val="00AC0097"/>
    <w:rsid w:val="00AC5B63"/>
    <w:rsid w:val="00AC6E42"/>
    <w:rsid w:val="00AD3B56"/>
    <w:rsid w:val="00AD74B1"/>
    <w:rsid w:val="00AE253B"/>
    <w:rsid w:val="00AE5977"/>
    <w:rsid w:val="00B030B6"/>
    <w:rsid w:val="00B07E83"/>
    <w:rsid w:val="00B126F5"/>
    <w:rsid w:val="00B207AC"/>
    <w:rsid w:val="00B228F1"/>
    <w:rsid w:val="00B231B1"/>
    <w:rsid w:val="00B25B93"/>
    <w:rsid w:val="00B25E50"/>
    <w:rsid w:val="00B321B4"/>
    <w:rsid w:val="00B35928"/>
    <w:rsid w:val="00B434EF"/>
    <w:rsid w:val="00B43B71"/>
    <w:rsid w:val="00B43E9A"/>
    <w:rsid w:val="00B50A65"/>
    <w:rsid w:val="00B50E38"/>
    <w:rsid w:val="00B510A7"/>
    <w:rsid w:val="00B56159"/>
    <w:rsid w:val="00B575FE"/>
    <w:rsid w:val="00B60B06"/>
    <w:rsid w:val="00B61ABD"/>
    <w:rsid w:val="00B64A18"/>
    <w:rsid w:val="00B6796D"/>
    <w:rsid w:val="00B80C4A"/>
    <w:rsid w:val="00B82999"/>
    <w:rsid w:val="00B83072"/>
    <w:rsid w:val="00B85D7E"/>
    <w:rsid w:val="00B92410"/>
    <w:rsid w:val="00B92D56"/>
    <w:rsid w:val="00BA0462"/>
    <w:rsid w:val="00BA2207"/>
    <w:rsid w:val="00BA51EE"/>
    <w:rsid w:val="00BB0D68"/>
    <w:rsid w:val="00BB0E58"/>
    <w:rsid w:val="00BB2F82"/>
    <w:rsid w:val="00BD214E"/>
    <w:rsid w:val="00BD2318"/>
    <w:rsid w:val="00BD58D1"/>
    <w:rsid w:val="00BD7FB0"/>
    <w:rsid w:val="00BE0B88"/>
    <w:rsid w:val="00BE21F8"/>
    <w:rsid w:val="00BE2CA6"/>
    <w:rsid w:val="00BE63DD"/>
    <w:rsid w:val="00BF017E"/>
    <w:rsid w:val="00BF07E7"/>
    <w:rsid w:val="00BF44C3"/>
    <w:rsid w:val="00BF48D5"/>
    <w:rsid w:val="00C00211"/>
    <w:rsid w:val="00C034CC"/>
    <w:rsid w:val="00C0579B"/>
    <w:rsid w:val="00C07FAC"/>
    <w:rsid w:val="00C14F0F"/>
    <w:rsid w:val="00C20CC2"/>
    <w:rsid w:val="00C27227"/>
    <w:rsid w:val="00C27268"/>
    <w:rsid w:val="00C372F6"/>
    <w:rsid w:val="00C65744"/>
    <w:rsid w:val="00C65E00"/>
    <w:rsid w:val="00C71BD5"/>
    <w:rsid w:val="00C72B24"/>
    <w:rsid w:val="00C72CBB"/>
    <w:rsid w:val="00C809F4"/>
    <w:rsid w:val="00C823B3"/>
    <w:rsid w:val="00C84D7C"/>
    <w:rsid w:val="00CA0EFC"/>
    <w:rsid w:val="00CA2977"/>
    <w:rsid w:val="00CA6E2E"/>
    <w:rsid w:val="00CB17FD"/>
    <w:rsid w:val="00CB300C"/>
    <w:rsid w:val="00CB327A"/>
    <w:rsid w:val="00CB7129"/>
    <w:rsid w:val="00CC4531"/>
    <w:rsid w:val="00CE348B"/>
    <w:rsid w:val="00CE4F5D"/>
    <w:rsid w:val="00CF258C"/>
    <w:rsid w:val="00CF2739"/>
    <w:rsid w:val="00CF4F5C"/>
    <w:rsid w:val="00D022E5"/>
    <w:rsid w:val="00D0529F"/>
    <w:rsid w:val="00D12866"/>
    <w:rsid w:val="00D20E17"/>
    <w:rsid w:val="00D22CE8"/>
    <w:rsid w:val="00D23841"/>
    <w:rsid w:val="00D26522"/>
    <w:rsid w:val="00D27357"/>
    <w:rsid w:val="00D2744A"/>
    <w:rsid w:val="00D466F1"/>
    <w:rsid w:val="00D51800"/>
    <w:rsid w:val="00D660AF"/>
    <w:rsid w:val="00D67EFA"/>
    <w:rsid w:val="00D729E8"/>
    <w:rsid w:val="00D823D4"/>
    <w:rsid w:val="00DA576C"/>
    <w:rsid w:val="00DB0E37"/>
    <w:rsid w:val="00DB2D57"/>
    <w:rsid w:val="00DB3CBF"/>
    <w:rsid w:val="00DB44A1"/>
    <w:rsid w:val="00DB61DB"/>
    <w:rsid w:val="00DB7570"/>
    <w:rsid w:val="00DC1089"/>
    <w:rsid w:val="00DC3FED"/>
    <w:rsid w:val="00DC7E1B"/>
    <w:rsid w:val="00DD3605"/>
    <w:rsid w:val="00DE7AF5"/>
    <w:rsid w:val="00DF0959"/>
    <w:rsid w:val="00DF1607"/>
    <w:rsid w:val="00E03B65"/>
    <w:rsid w:val="00E04D6D"/>
    <w:rsid w:val="00E122C5"/>
    <w:rsid w:val="00E13121"/>
    <w:rsid w:val="00E227C5"/>
    <w:rsid w:val="00E22B70"/>
    <w:rsid w:val="00E34F98"/>
    <w:rsid w:val="00E42181"/>
    <w:rsid w:val="00E42B48"/>
    <w:rsid w:val="00E4372B"/>
    <w:rsid w:val="00E45B3C"/>
    <w:rsid w:val="00E46934"/>
    <w:rsid w:val="00E51F3B"/>
    <w:rsid w:val="00E5493C"/>
    <w:rsid w:val="00E54F9C"/>
    <w:rsid w:val="00E61AD9"/>
    <w:rsid w:val="00E80B4A"/>
    <w:rsid w:val="00E81240"/>
    <w:rsid w:val="00E82D2D"/>
    <w:rsid w:val="00E87367"/>
    <w:rsid w:val="00E926E2"/>
    <w:rsid w:val="00E94B13"/>
    <w:rsid w:val="00E95C8A"/>
    <w:rsid w:val="00E97D61"/>
    <w:rsid w:val="00EA4BB6"/>
    <w:rsid w:val="00EA70CC"/>
    <w:rsid w:val="00EA7F7A"/>
    <w:rsid w:val="00EE449D"/>
    <w:rsid w:val="00EE7AC4"/>
    <w:rsid w:val="00EF3627"/>
    <w:rsid w:val="00EF6D5D"/>
    <w:rsid w:val="00F009D8"/>
    <w:rsid w:val="00F013D7"/>
    <w:rsid w:val="00F06B35"/>
    <w:rsid w:val="00F1060F"/>
    <w:rsid w:val="00F108E7"/>
    <w:rsid w:val="00F10C4C"/>
    <w:rsid w:val="00F11EC3"/>
    <w:rsid w:val="00F1568B"/>
    <w:rsid w:val="00F1639E"/>
    <w:rsid w:val="00F20E7B"/>
    <w:rsid w:val="00F20F4E"/>
    <w:rsid w:val="00F25D5E"/>
    <w:rsid w:val="00F31EF0"/>
    <w:rsid w:val="00F3603B"/>
    <w:rsid w:val="00F36206"/>
    <w:rsid w:val="00F37196"/>
    <w:rsid w:val="00F37D54"/>
    <w:rsid w:val="00F45224"/>
    <w:rsid w:val="00F565C4"/>
    <w:rsid w:val="00F77F48"/>
    <w:rsid w:val="00F85F87"/>
    <w:rsid w:val="00F91381"/>
    <w:rsid w:val="00F9221D"/>
    <w:rsid w:val="00F956D6"/>
    <w:rsid w:val="00F9579B"/>
    <w:rsid w:val="00F959F7"/>
    <w:rsid w:val="00F95A13"/>
    <w:rsid w:val="00FA03E2"/>
    <w:rsid w:val="00FA2790"/>
    <w:rsid w:val="00FA5806"/>
    <w:rsid w:val="00FB1DBA"/>
    <w:rsid w:val="00FB27C5"/>
    <w:rsid w:val="00FB508C"/>
    <w:rsid w:val="00FC3AA9"/>
    <w:rsid w:val="00FC4372"/>
    <w:rsid w:val="00FD247D"/>
    <w:rsid w:val="00FD32F7"/>
    <w:rsid w:val="00FE1A37"/>
    <w:rsid w:val="00FE2517"/>
    <w:rsid w:val="00FE3969"/>
    <w:rsid w:val="00FE718A"/>
    <w:rsid w:val="00FE7AC8"/>
    <w:rsid w:val="00FE7F0C"/>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B697-4136-45CD-A42F-0973483F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shoffner</cp:lastModifiedBy>
  <cp:revision>3</cp:revision>
  <cp:lastPrinted>2011-02-25T16:16:00Z</cp:lastPrinted>
  <dcterms:created xsi:type="dcterms:W3CDTF">2011-01-19T19:32:00Z</dcterms:created>
  <dcterms:modified xsi:type="dcterms:W3CDTF">2011-02-25T16:16:00Z</dcterms:modified>
</cp:coreProperties>
</file>