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428"/>
      </w:tblGrid>
      <w:tr w:rsidR="009A17EC" w:rsidTr="00774574">
        <w:tc>
          <w:tcPr>
            <w:tcW w:w="9576" w:type="dxa"/>
            <w:gridSpan w:val="2"/>
          </w:tcPr>
          <w:p w:rsidR="009A17EC" w:rsidRPr="005A0A6B" w:rsidRDefault="009A17EC" w:rsidP="00DE0148">
            <w:pPr>
              <w:widowControl/>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9A17EC" w:rsidRPr="005A0A6B" w:rsidRDefault="009A17EC" w:rsidP="00DE0148">
            <w:pPr>
              <w:widowControl/>
              <w:jc w:val="center"/>
              <w:rPr>
                <w:rFonts w:ascii="Times New (W1)" w:hAnsi="Times New (W1)"/>
                <w:b/>
                <w:sz w:val="26"/>
              </w:rPr>
            </w:pPr>
            <w:r w:rsidRPr="005A0A6B">
              <w:rPr>
                <w:rFonts w:ascii="Times New (W1)" w:hAnsi="Times New (W1)"/>
                <w:b/>
                <w:sz w:val="26"/>
              </w:rPr>
              <w:t>PUBLIC UTILITY COMMISSION</w:t>
            </w:r>
          </w:p>
          <w:p w:rsidR="009A17EC" w:rsidRPr="005A0A6B" w:rsidRDefault="009A17EC" w:rsidP="00DE0148">
            <w:pPr>
              <w:widowControl/>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9A17EC" w:rsidRDefault="009A17EC" w:rsidP="00DE0148">
            <w:pPr>
              <w:widowControl/>
            </w:pPr>
          </w:p>
        </w:tc>
      </w:tr>
      <w:tr w:rsidR="009A17EC" w:rsidTr="00774574">
        <w:tc>
          <w:tcPr>
            <w:tcW w:w="9576" w:type="dxa"/>
            <w:gridSpan w:val="2"/>
          </w:tcPr>
          <w:p w:rsidR="009A17EC" w:rsidRDefault="009A17EC" w:rsidP="00DE0148">
            <w:pPr>
              <w:widowControl/>
              <w:jc w:val="right"/>
              <w:rPr>
                <w:rFonts w:ascii="Times New (W1)" w:hAnsi="Times New (W1)"/>
                <w:sz w:val="26"/>
              </w:rPr>
            </w:pPr>
            <w:r>
              <w:rPr>
                <w:rFonts w:ascii="Times New (W1)" w:hAnsi="Times New (W1)"/>
                <w:sz w:val="26"/>
              </w:rPr>
              <w:t>Public Meeting held</w:t>
            </w:r>
            <w:r w:rsidR="00020FB7">
              <w:rPr>
                <w:rFonts w:ascii="Times New (W1)" w:hAnsi="Times New (W1)"/>
                <w:sz w:val="26"/>
              </w:rPr>
              <w:t xml:space="preserve"> </w:t>
            </w:r>
            <w:r w:rsidR="00B54790">
              <w:rPr>
                <w:rFonts w:ascii="Times New (W1)" w:hAnsi="Times New (W1)"/>
                <w:sz w:val="26"/>
              </w:rPr>
              <w:t>February</w:t>
            </w:r>
            <w:r w:rsidR="00020FB7">
              <w:rPr>
                <w:rFonts w:ascii="Times New (W1)" w:hAnsi="Times New (W1)"/>
                <w:sz w:val="26"/>
              </w:rPr>
              <w:t xml:space="preserve"> 2</w:t>
            </w:r>
            <w:r w:rsidR="00B54790">
              <w:rPr>
                <w:rFonts w:ascii="Times New (W1)" w:hAnsi="Times New (W1)"/>
                <w:sz w:val="26"/>
              </w:rPr>
              <w:t>4</w:t>
            </w:r>
            <w:r w:rsidR="00020FB7">
              <w:rPr>
                <w:rFonts w:ascii="Times New (W1)" w:hAnsi="Times New (W1)"/>
                <w:sz w:val="26"/>
              </w:rPr>
              <w:t>, 2011</w:t>
            </w:r>
          </w:p>
          <w:p w:rsidR="009A17EC" w:rsidRDefault="009A17EC" w:rsidP="00DE0148">
            <w:pPr>
              <w:widowControl/>
              <w:jc w:val="right"/>
            </w:pPr>
          </w:p>
        </w:tc>
      </w:tr>
      <w:tr w:rsidR="009A17EC" w:rsidTr="00774574">
        <w:tc>
          <w:tcPr>
            <w:tcW w:w="9576" w:type="dxa"/>
            <w:gridSpan w:val="2"/>
          </w:tcPr>
          <w:p w:rsidR="009A17EC" w:rsidRPr="005A0A6B" w:rsidRDefault="009A17EC" w:rsidP="00DE0148">
            <w:pPr>
              <w:widowControl/>
              <w:rPr>
                <w:rFonts w:ascii="Times New (W1)" w:hAnsi="Times New (W1)"/>
                <w:sz w:val="26"/>
              </w:rPr>
            </w:pPr>
            <w:r w:rsidRPr="005A0A6B">
              <w:rPr>
                <w:rFonts w:ascii="Times New (W1)" w:hAnsi="Times New (W1)"/>
                <w:sz w:val="26"/>
              </w:rPr>
              <w:t>Commissioners Present:</w:t>
            </w:r>
          </w:p>
          <w:p w:rsidR="009A17EC" w:rsidRPr="005A0A6B" w:rsidRDefault="009A17EC" w:rsidP="00DE0148">
            <w:pPr>
              <w:widowControl/>
              <w:rPr>
                <w:rFonts w:ascii="Times New (W1)" w:hAnsi="Times New (W1)"/>
                <w:sz w:val="26"/>
              </w:rPr>
            </w:pPr>
          </w:p>
          <w:p w:rsidR="009A17EC" w:rsidRPr="005A0A6B" w:rsidRDefault="009A17EC" w:rsidP="00DE0148">
            <w:pPr>
              <w:widowControl/>
              <w:ind w:firstLine="540"/>
              <w:rPr>
                <w:rFonts w:ascii="Times New (W1)" w:hAnsi="Times New (W1)"/>
                <w:sz w:val="26"/>
              </w:rPr>
            </w:pPr>
            <w:r w:rsidRPr="005A0A6B">
              <w:rPr>
                <w:rFonts w:ascii="Times New (W1)" w:hAnsi="Times New (W1)"/>
                <w:sz w:val="26"/>
              </w:rPr>
              <w:t>James H. Cawley, Chairman</w:t>
            </w:r>
            <w:r w:rsidR="00DF472D">
              <w:rPr>
                <w:rFonts w:ascii="Times New (W1)" w:hAnsi="Times New (W1)"/>
                <w:sz w:val="26"/>
              </w:rPr>
              <w:t>, Statement</w:t>
            </w:r>
          </w:p>
          <w:p w:rsidR="009A17EC" w:rsidRPr="005A0A6B" w:rsidRDefault="009A17EC" w:rsidP="00DE0148">
            <w:pPr>
              <w:widowControl/>
              <w:ind w:firstLine="540"/>
              <w:rPr>
                <w:rFonts w:ascii="Times New (W1)" w:hAnsi="Times New (W1)"/>
                <w:sz w:val="26"/>
              </w:rPr>
            </w:pPr>
            <w:r w:rsidRPr="005A0A6B">
              <w:rPr>
                <w:rFonts w:ascii="Times New (W1)" w:hAnsi="Times New (W1)"/>
                <w:sz w:val="26"/>
              </w:rPr>
              <w:t>Tyrone J. Christy, Vice Chairman</w:t>
            </w:r>
            <w:r w:rsidR="00DF472D">
              <w:rPr>
                <w:rFonts w:ascii="Times New (W1)" w:hAnsi="Times New (W1)"/>
                <w:sz w:val="26"/>
              </w:rPr>
              <w:t>, Dissenting</w:t>
            </w:r>
          </w:p>
          <w:p w:rsidR="009A17EC" w:rsidRPr="005A0A6B" w:rsidRDefault="004D2029" w:rsidP="00DE0148">
            <w:pPr>
              <w:widowControl/>
              <w:ind w:firstLine="540"/>
              <w:rPr>
                <w:rFonts w:ascii="Times New (W1)" w:hAnsi="Times New (W1)"/>
                <w:sz w:val="26"/>
              </w:rPr>
            </w:pPr>
            <w:r>
              <w:rPr>
                <w:rFonts w:ascii="Times New (W1)" w:hAnsi="Times New (W1)"/>
                <w:sz w:val="26"/>
              </w:rPr>
              <w:t>John F. Coleman, Jr.</w:t>
            </w:r>
          </w:p>
          <w:p w:rsidR="009A17EC" w:rsidRDefault="009A17EC" w:rsidP="00DE0148">
            <w:pPr>
              <w:widowControl/>
              <w:ind w:firstLine="540"/>
              <w:rPr>
                <w:rFonts w:ascii="Times New (W1)" w:hAnsi="Times New (W1)"/>
                <w:sz w:val="26"/>
              </w:rPr>
            </w:pPr>
            <w:r w:rsidRPr="005A0A6B">
              <w:rPr>
                <w:rFonts w:ascii="Times New (W1)" w:hAnsi="Times New (W1)"/>
                <w:sz w:val="26"/>
              </w:rPr>
              <w:t>Wayne E. Gardner</w:t>
            </w:r>
          </w:p>
          <w:p w:rsidR="009A17EC" w:rsidRDefault="009A17EC" w:rsidP="00DE0148">
            <w:pPr>
              <w:widowControl/>
              <w:ind w:firstLine="540"/>
              <w:rPr>
                <w:rFonts w:ascii="Times New (W1)" w:hAnsi="Times New (W1)"/>
                <w:sz w:val="26"/>
              </w:rPr>
            </w:pPr>
            <w:r w:rsidRPr="005A0A6B">
              <w:rPr>
                <w:rFonts w:ascii="Times New (W1)" w:hAnsi="Times New (W1)"/>
                <w:sz w:val="26"/>
              </w:rPr>
              <w:t>Robert F. Powelson</w:t>
            </w:r>
          </w:p>
          <w:p w:rsidR="005C0E53" w:rsidRPr="005A0A6B" w:rsidRDefault="005C0E53" w:rsidP="00DE0148">
            <w:pPr>
              <w:widowControl/>
              <w:ind w:firstLine="540"/>
              <w:rPr>
                <w:rFonts w:ascii="Times New (W1)" w:hAnsi="Times New (W1)"/>
                <w:sz w:val="26"/>
              </w:rPr>
            </w:pPr>
          </w:p>
          <w:p w:rsidR="009A17EC" w:rsidRPr="005A0A6B" w:rsidRDefault="009A17EC" w:rsidP="00DE0148">
            <w:pPr>
              <w:widowControl/>
              <w:rPr>
                <w:rFonts w:ascii="Times New (W1)" w:hAnsi="Times New (W1)"/>
                <w:sz w:val="26"/>
              </w:rPr>
            </w:pPr>
          </w:p>
        </w:tc>
      </w:tr>
      <w:tr w:rsidR="009A17EC" w:rsidTr="00583AC6">
        <w:tc>
          <w:tcPr>
            <w:tcW w:w="5148" w:type="dxa"/>
          </w:tcPr>
          <w:p w:rsidR="00741516" w:rsidRDefault="00C53E4F" w:rsidP="00DE0148">
            <w:pPr>
              <w:widowControl/>
              <w:rPr>
                <w:rFonts w:ascii="Times New (W1)" w:hAnsi="Times New (W1)"/>
                <w:sz w:val="26"/>
              </w:rPr>
            </w:pPr>
            <w:r>
              <w:rPr>
                <w:rFonts w:ascii="Times New (W1)" w:hAnsi="Times New (W1)"/>
                <w:sz w:val="26"/>
              </w:rPr>
              <w:t xml:space="preserve">Petition of </w:t>
            </w:r>
            <w:r w:rsidR="00741516">
              <w:rPr>
                <w:rFonts w:ascii="Times New (W1)" w:hAnsi="Times New (W1)"/>
                <w:sz w:val="26"/>
              </w:rPr>
              <w:t>PPL Electric Utilities Corporation for Approval of a Default</w:t>
            </w:r>
            <w:r w:rsidR="00020FB7">
              <w:rPr>
                <w:rFonts w:ascii="Times New (W1)" w:hAnsi="Times New (W1)"/>
                <w:sz w:val="26"/>
              </w:rPr>
              <w:t xml:space="preserve"> </w:t>
            </w:r>
            <w:r w:rsidR="00741516">
              <w:rPr>
                <w:rFonts w:ascii="Times New (W1)" w:hAnsi="Times New (W1)"/>
                <w:sz w:val="26"/>
              </w:rPr>
              <w:t>Service Program and Procurement Plan</w:t>
            </w:r>
            <w:r w:rsidR="00583AC6">
              <w:rPr>
                <w:rFonts w:ascii="Times New (W1)" w:hAnsi="Times New (W1)"/>
                <w:sz w:val="26"/>
              </w:rPr>
              <w:t xml:space="preserve"> </w:t>
            </w:r>
            <w:r w:rsidR="00741516">
              <w:rPr>
                <w:rFonts w:ascii="Times New (W1)" w:hAnsi="Times New (W1)"/>
                <w:sz w:val="26"/>
              </w:rPr>
              <w:t>For the Period January 1, 2011 Through</w:t>
            </w:r>
            <w:r w:rsidR="00583AC6">
              <w:rPr>
                <w:rFonts w:ascii="Times New (W1)" w:hAnsi="Times New (W1)"/>
                <w:sz w:val="26"/>
              </w:rPr>
              <w:t xml:space="preserve"> </w:t>
            </w:r>
            <w:r w:rsidR="00741516">
              <w:rPr>
                <w:rFonts w:ascii="Times New (W1)" w:hAnsi="Times New (W1)"/>
                <w:sz w:val="26"/>
              </w:rPr>
              <w:t>May 31, 201</w:t>
            </w:r>
            <w:r w:rsidR="005467CD">
              <w:rPr>
                <w:rFonts w:ascii="Times New (W1)" w:hAnsi="Times New (W1)"/>
                <w:sz w:val="26"/>
              </w:rPr>
              <w:t>3</w:t>
            </w:r>
            <w:r w:rsidR="00741516">
              <w:rPr>
                <w:rFonts w:ascii="Times New (W1)" w:hAnsi="Times New (W1)"/>
                <w:sz w:val="26"/>
              </w:rPr>
              <w:t xml:space="preserve"> for Approval to Modify its</w:t>
            </w:r>
            <w:r w:rsidR="00583AC6">
              <w:rPr>
                <w:rFonts w:ascii="Times New (W1)" w:hAnsi="Times New (W1)"/>
                <w:sz w:val="26"/>
              </w:rPr>
              <w:t xml:space="preserve"> </w:t>
            </w:r>
            <w:r w:rsidR="00741516">
              <w:rPr>
                <w:rFonts w:ascii="Times New (W1)" w:hAnsi="Times New (W1)"/>
                <w:sz w:val="26"/>
              </w:rPr>
              <w:t xml:space="preserve">Procurement of Solar Alternative </w:t>
            </w:r>
            <w:r w:rsidR="00B30615">
              <w:rPr>
                <w:rFonts w:ascii="Times New (W1)" w:hAnsi="Times New (W1)"/>
                <w:sz w:val="26"/>
              </w:rPr>
              <w:t>Energy Credits</w:t>
            </w:r>
          </w:p>
          <w:p w:rsidR="00020FB7" w:rsidRDefault="00020FB7" w:rsidP="00DE0148">
            <w:pPr>
              <w:widowControl/>
              <w:rPr>
                <w:rFonts w:ascii="Times New (W1)" w:hAnsi="Times New (W1)"/>
                <w:sz w:val="26"/>
              </w:rPr>
            </w:pPr>
          </w:p>
          <w:p w:rsidR="00E9140F" w:rsidRPr="005A0A6B" w:rsidRDefault="00E9140F" w:rsidP="00DE0148">
            <w:pPr>
              <w:widowControl/>
              <w:rPr>
                <w:rFonts w:ascii="Times New (W1)" w:hAnsi="Times New (W1)"/>
                <w:sz w:val="26"/>
              </w:rPr>
            </w:pPr>
          </w:p>
        </w:tc>
        <w:tc>
          <w:tcPr>
            <w:tcW w:w="4428" w:type="dxa"/>
          </w:tcPr>
          <w:p w:rsidR="009A17EC" w:rsidRPr="005A0A6B" w:rsidRDefault="00B54790" w:rsidP="00DE0148">
            <w:pPr>
              <w:widowControl/>
              <w:jc w:val="right"/>
              <w:rPr>
                <w:rFonts w:ascii="Times New (W1)" w:hAnsi="Times New (W1)"/>
                <w:sz w:val="26"/>
              </w:rPr>
            </w:pPr>
            <w:r>
              <w:rPr>
                <w:rFonts w:ascii="Times New (W1)" w:hAnsi="Times New (W1)"/>
                <w:sz w:val="26"/>
              </w:rPr>
              <w:t>P</w:t>
            </w:r>
            <w:r w:rsidR="00020FB7">
              <w:rPr>
                <w:rFonts w:ascii="Times New (W1)" w:hAnsi="Times New (W1)"/>
                <w:sz w:val="26"/>
              </w:rPr>
              <w:t>-200</w:t>
            </w:r>
            <w:r>
              <w:rPr>
                <w:rFonts w:ascii="Times New (W1)" w:hAnsi="Times New (W1)"/>
                <w:sz w:val="26"/>
              </w:rPr>
              <w:t>8</w:t>
            </w:r>
            <w:r w:rsidR="00020FB7">
              <w:rPr>
                <w:rFonts w:ascii="Times New (W1)" w:hAnsi="Times New (W1)"/>
                <w:sz w:val="26"/>
              </w:rPr>
              <w:t>-20</w:t>
            </w:r>
            <w:r>
              <w:rPr>
                <w:rFonts w:ascii="Times New (W1)" w:hAnsi="Times New (W1)"/>
                <w:sz w:val="26"/>
              </w:rPr>
              <w:t>60309</w:t>
            </w:r>
          </w:p>
        </w:tc>
      </w:tr>
    </w:tbl>
    <w:p w:rsidR="009A17EC" w:rsidRDefault="009A17EC" w:rsidP="00DE0148">
      <w:pPr>
        <w:widowControl/>
        <w:spacing w:line="360" w:lineRule="auto"/>
        <w:jc w:val="center"/>
        <w:rPr>
          <w:b/>
          <w:sz w:val="26"/>
        </w:rPr>
      </w:pPr>
      <w:r>
        <w:rPr>
          <w:b/>
          <w:sz w:val="26"/>
        </w:rPr>
        <w:t>OPINION AND ORDER</w:t>
      </w:r>
    </w:p>
    <w:p w:rsidR="009A17EC" w:rsidRDefault="009A17EC" w:rsidP="00DE0148">
      <w:pPr>
        <w:widowControl/>
        <w:spacing w:line="360" w:lineRule="auto"/>
        <w:rPr>
          <w:b/>
          <w:sz w:val="26"/>
        </w:rPr>
      </w:pPr>
    </w:p>
    <w:p w:rsidR="009A17EC" w:rsidRDefault="009A17EC" w:rsidP="00DE0148">
      <w:pPr>
        <w:widowControl/>
        <w:spacing w:line="360" w:lineRule="auto"/>
        <w:rPr>
          <w:b/>
          <w:sz w:val="26"/>
        </w:rPr>
      </w:pPr>
      <w:r>
        <w:rPr>
          <w:b/>
          <w:sz w:val="26"/>
        </w:rPr>
        <w:t>BY THE COMMISSION:</w:t>
      </w:r>
    </w:p>
    <w:p w:rsidR="003D0F88" w:rsidRDefault="003D0F88" w:rsidP="00DE0148">
      <w:pPr>
        <w:widowControl/>
        <w:spacing w:line="360" w:lineRule="auto"/>
        <w:ind w:firstLine="1440"/>
        <w:rPr>
          <w:sz w:val="26"/>
          <w:szCs w:val="26"/>
        </w:rPr>
      </w:pPr>
    </w:p>
    <w:p w:rsidR="003D0F88" w:rsidRDefault="003D0F88" w:rsidP="00DE0148">
      <w:pPr>
        <w:widowControl/>
        <w:spacing w:line="360" w:lineRule="auto"/>
        <w:ind w:firstLine="1440"/>
        <w:rPr>
          <w:sz w:val="26"/>
        </w:rPr>
      </w:pPr>
      <w:r>
        <w:rPr>
          <w:sz w:val="26"/>
          <w:szCs w:val="26"/>
        </w:rPr>
        <w:t xml:space="preserve">Before the Pennsylvania Public Utility Commission (Commission) for consideration and disposition </w:t>
      </w:r>
      <w:r w:rsidR="008546B3">
        <w:rPr>
          <w:sz w:val="26"/>
          <w:szCs w:val="26"/>
        </w:rPr>
        <w:t xml:space="preserve">are the Exceptions of </w:t>
      </w:r>
      <w:r w:rsidR="00F670CF">
        <w:rPr>
          <w:sz w:val="26"/>
          <w:szCs w:val="26"/>
        </w:rPr>
        <w:t>the Sustainable Energy Fund of Central Eastern Pennsylvania (SEF) to the Recommended Decision</w:t>
      </w:r>
      <w:r w:rsidR="009A6647">
        <w:rPr>
          <w:sz w:val="26"/>
          <w:szCs w:val="26"/>
        </w:rPr>
        <w:t xml:space="preserve"> (R.D.)</w:t>
      </w:r>
      <w:r w:rsidR="00F670CF">
        <w:rPr>
          <w:sz w:val="26"/>
          <w:szCs w:val="26"/>
        </w:rPr>
        <w:t xml:space="preserve"> of Administrative Law Judge (ALJ) Susan D. Colwell </w:t>
      </w:r>
      <w:r w:rsidR="00C97BFD">
        <w:rPr>
          <w:sz w:val="26"/>
          <w:szCs w:val="26"/>
        </w:rPr>
        <w:t>issued on December 17, 2010</w:t>
      </w:r>
      <w:r w:rsidR="009A6647">
        <w:rPr>
          <w:sz w:val="26"/>
          <w:szCs w:val="26"/>
        </w:rPr>
        <w:t xml:space="preserve">, wherein she </w:t>
      </w:r>
      <w:r w:rsidR="007972B2">
        <w:rPr>
          <w:sz w:val="26"/>
          <w:szCs w:val="26"/>
        </w:rPr>
        <w:t xml:space="preserve">recommended </w:t>
      </w:r>
      <w:r w:rsidR="00C97BFD">
        <w:rPr>
          <w:sz w:val="26"/>
          <w:szCs w:val="26"/>
        </w:rPr>
        <w:t>approv</w:t>
      </w:r>
      <w:r w:rsidR="007972B2">
        <w:rPr>
          <w:sz w:val="26"/>
          <w:szCs w:val="26"/>
        </w:rPr>
        <w:t xml:space="preserve">al of </w:t>
      </w:r>
      <w:r w:rsidR="00A944BD">
        <w:rPr>
          <w:sz w:val="26"/>
          <w:szCs w:val="26"/>
        </w:rPr>
        <w:t xml:space="preserve">the </w:t>
      </w:r>
      <w:r w:rsidR="00C97BFD">
        <w:rPr>
          <w:sz w:val="26"/>
          <w:szCs w:val="26"/>
        </w:rPr>
        <w:t xml:space="preserve">Joint </w:t>
      </w:r>
      <w:r w:rsidR="00A944BD">
        <w:rPr>
          <w:sz w:val="26"/>
          <w:szCs w:val="26"/>
        </w:rPr>
        <w:t>Petition for Partial Settlement, which was filed on November 16, 2010</w:t>
      </w:r>
      <w:r w:rsidR="00E07878">
        <w:rPr>
          <w:sz w:val="26"/>
          <w:szCs w:val="26"/>
        </w:rPr>
        <w:t xml:space="preserve"> (Joint Partial Settlement Petition)</w:t>
      </w:r>
      <w:r w:rsidR="00A944BD">
        <w:rPr>
          <w:sz w:val="26"/>
          <w:szCs w:val="26"/>
        </w:rPr>
        <w:t xml:space="preserve">, regarding the </w:t>
      </w:r>
      <w:r w:rsidR="00EC4425">
        <w:rPr>
          <w:sz w:val="26"/>
          <w:szCs w:val="26"/>
        </w:rPr>
        <w:t>Petition</w:t>
      </w:r>
      <w:r w:rsidR="00AE700A">
        <w:rPr>
          <w:sz w:val="26"/>
          <w:szCs w:val="26"/>
        </w:rPr>
        <w:t xml:space="preserve"> </w:t>
      </w:r>
      <w:r w:rsidR="00EC4425">
        <w:rPr>
          <w:sz w:val="26"/>
          <w:szCs w:val="26"/>
        </w:rPr>
        <w:t xml:space="preserve">of </w:t>
      </w:r>
      <w:r w:rsidR="00827A58">
        <w:rPr>
          <w:sz w:val="26"/>
          <w:szCs w:val="26"/>
        </w:rPr>
        <w:t>PPL Electric Utilities Corporation</w:t>
      </w:r>
      <w:r>
        <w:rPr>
          <w:sz w:val="26"/>
          <w:szCs w:val="26"/>
        </w:rPr>
        <w:t xml:space="preserve"> (</w:t>
      </w:r>
      <w:r w:rsidR="00827A58">
        <w:rPr>
          <w:sz w:val="26"/>
          <w:szCs w:val="26"/>
        </w:rPr>
        <w:t xml:space="preserve">PPL </w:t>
      </w:r>
      <w:r>
        <w:rPr>
          <w:sz w:val="26"/>
          <w:szCs w:val="26"/>
        </w:rPr>
        <w:t>or the Company)</w:t>
      </w:r>
      <w:r w:rsidR="00EC4425">
        <w:rPr>
          <w:sz w:val="26"/>
          <w:szCs w:val="26"/>
        </w:rPr>
        <w:t xml:space="preserve"> for Approval </w:t>
      </w:r>
      <w:r w:rsidR="00827A58">
        <w:rPr>
          <w:sz w:val="26"/>
          <w:szCs w:val="26"/>
        </w:rPr>
        <w:t>to Modify its Procurement of Solar Alternative Energy Credits</w:t>
      </w:r>
      <w:r w:rsidR="00072C92">
        <w:rPr>
          <w:sz w:val="26"/>
          <w:szCs w:val="26"/>
        </w:rPr>
        <w:t xml:space="preserve"> Under the D</w:t>
      </w:r>
      <w:r w:rsidR="004D7806">
        <w:rPr>
          <w:sz w:val="26"/>
          <w:szCs w:val="26"/>
        </w:rPr>
        <w:t>efault Service Procurement Plan</w:t>
      </w:r>
      <w:r w:rsidR="00791012">
        <w:rPr>
          <w:sz w:val="26"/>
          <w:szCs w:val="26"/>
        </w:rPr>
        <w:t xml:space="preserve">, </w:t>
      </w:r>
      <w:r w:rsidR="00A944BD">
        <w:rPr>
          <w:sz w:val="26"/>
          <w:szCs w:val="26"/>
        </w:rPr>
        <w:t xml:space="preserve">which was </w:t>
      </w:r>
      <w:r w:rsidR="00791012">
        <w:rPr>
          <w:sz w:val="26"/>
          <w:szCs w:val="26"/>
        </w:rPr>
        <w:t>filed on May 18, 2010</w:t>
      </w:r>
      <w:r w:rsidR="008D5166">
        <w:rPr>
          <w:sz w:val="26"/>
          <w:szCs w:val="26"/>
        </w:rPr>
        <w:t xml:space="preserve"> (May 18, 2010 Petition)</w:t>
      </w:r>
      <w:r w:rsidR="00AC137F">
        <w:rPr>
          <w:sz w:val="26"/>
          <w:szCs w:val="26"/>
        </w:rPr>
        <w:t xml:space="preserve">.  </w:t>
      </w:r>
      <w:r w:rsidR="0023268B">
        <w:rPr>
          <w:sz w:val="26"/>
          <w:szCs w:val="26"/>
        </w:rPr>
        <w:t xml:space="preserve">On January 3, 2011, PPL </w:t>
      </w:r>
      <w:r w:rsidR="00ED0610">
        <w:rPr>
          <w:sz w:val="26"/>
          <w:szCs w:val="26"/>
        </w:rPr>
        <w:t>f</w:t>
      </w:r>
      <w:r w:rsidR="0023268B">
        <w:rPr>
          <w:sz w:val="26"/>
          <w:szCs w:val="26"/>
        </w:rPr>
        <w:t>iled Repl</w:t>
      </w:r>
      <w:r w:rsidR="005C0E53">
        <w:rPr>
          <w:sz w:val="26"/>
          <w:szCs w:val="26"/>
        </w:rPr>
        <w:t>ies to</w:t>
      </w:r>
      <w:r w:rsidR="0023268B">
        <w:rPr>
          <w:sz w:val="26"/>
          <w:szCs w:val="26"/>
        </w:rPr>
        <w:t xml:space="preserve"> Exceptions.</w:t>
      </w:r>
    </w:p>
    <w:p w:rsidR="003D05E6" w:rsidRDefault="003D05E6" w:rsidP="00DE0148">
      <w:pPr>
        <w:widowControl/>
        <w:spacing w:after="200" w:line="276" w:lineRule="auto"/>
        <w:rPr>
          <w:b/>
          <w:sz w:val="26"/>
        </w:rPr>
      </w:pPr>
    </w:p>
    <w:p w:rsidR="00791012" w:rsidRPr="009A6647" w:rsidRDefault="00791012" w:rsidP="00DE0148">
      <w:pPr>
        <w:widowControl/>
        <w:spacing w:line="360" w:lineRule="auto"/>
        <w:jc w:val="center"/>
        <w:rPr>
          <w:b/>
          <w:sz w:val="26"/>
          <w:szCs w:val="26"/>
        </w:rPr>
      </w:pPr>
      <w:r w:rsidRPr="009A6647">
        <w:rPr>
          <w:b/>
          <w:sz w:val="26"/>
          <w:szCs w:val="26"/>
        </w:rPr>
        <w:t>History of the Proceeding</w:t>
      </w:r>
    </w:p>
    <w:p w:rsidR="003D05E6" w:rsidRDefault="003D05E6" w:rsidP="00DE0148">
      <w:pPr>
        <w:widowControl/>
        <w:spacing w:line="360" w:lineRule="auto"/>
        <w:jc w:val="center"/>
        <w:rPr>
          <w:b/>
          <w:sz w:val="26"/>
          <w:szCs w:val="26"/>
          <w:u w:val="single"/>
        </w:rPr>
      </w:pPr>
    </w:p>
    <w:p w:rsidR="009A0057" w:rsidRDefault="00791012" w:rsidP="00DE0148">
      <w:pPr>
        <w:widowControl/>
        <w:spacing w:line="360" w:lineRule="auto"/>
        <w:rPr>
          <w:sz w:val="26"/>
          <w:szCs w:val="26"/>
        </w:rPr>
      </w:pPr>
      <w:r>
        <w:rPr>
          <w:sz w:val="26"/>
          <w:szCs w:val="26"/>
        </w:rPr>
        <w:tab/>
      </w:r>
      <w:r>
        <w:rPr>
          <w:sz w:val="26"/>
          <w:szCs w:val="26"/>
        </w:rPr>
        <w:tab/>
      </w:r>
      <w:r w:rsidR="00ED0610">
        <w:rPr>
          <w:sz w:val="26"/>
          <w:szCs w:val="26"/>
        </w:rPr>
        <w:t xml:space="preserve">On August 28, 2008, PPL </w:t>
      </w:r>
      <w:r w:rsidR="009A0057" w:rsidRPr="009A0057">
        <w:rPr>
          <w:sz w:val="26"/>
          <w:szCs w:val="26"/>
        </w:rPr>
        <w:t xml:space="preserve">filed </w:t>
      </w:r>
      <w:r w:rsidR="002B3FB6">
        <w:rPr>
          <w:sz w:val="26"/>
          <w:szCs w:val="26"/>
        </w:rPr>
        <w:t>a petition with the C</w:t>
      </w:r>
      <w:r w:rsidR="009A0057" w:rsidRPr="009A0057">
        <w:rPr>
          <w:sz w:val="26"/>
          <w:szCs w:val="26"/>
        </w:rPr>
        <w:t xml:space="preserve">ommission seeking approval of </w:t>
      </w:r>
      <w:r w:rsidR="009F2CFE">
        <w:rPr>
          <w:sz w:val="26"/>
          <w:szCs w:val="26"/>
        </w:rPr>
        <w:t>a</w:t>
      </w:r>
      <w:r w:rsidR="009A0057" w:rsidRPr="009A0057">
        <w:rPr>
          <w:sz w:val="26"/>
          <w:szCs w:val="26"/>
        </w:rPr>
        <w:t xml:space="preserve"> default service program and procurement plan (DSP</w:t>
      </w:r>
      <w:r w:rsidR="00F144E6">
        <w:rPr>
          <w:sz w:val="26"/>
          <w:szCs w:val="26"/>
        </w:rPr>
        <w:t xml:space="preserve"> Plan</w:t>
      </w:r>
      <w:r w:rsidR="009A0057" w:rsidRPr="009A0057">
        <w:rPr>
          <w:sz w:val="26"/>
          <w:szCs w:val="26"/>
        </w:rPr>
        <w:t>) for the period January 1, 2011 through May 31, 201</w:t>
      </w:r>
      <w:r w:rsidR="005467CD">
        <w:rPr>
          <w:sz w:val="26"/>
          <w:szCs w:val="26"/>
        </w:rPr>
        <w:t>3</w:t>
      </w:r>
      <w:r w:rsidR="009A0057" w:rsidRPr="009A0057">
        <w:rPr>
          <w:sz w:val="26"/>
          <w:szCs w:val="26"/>
        </w:rPr>
        <w:t xml:space="preserve">.  The purpose of the </w:t>
      </w:r>
      <w:r w:rsidR="008D5166">
        <w:rPr>
          <w:sz w:val="26"/>
          <w:szCs w:val="26"/>
        </w:rPr>
        <w:t>DSP P</w:t>
      </w:r>
      <w:r w:rsidR="009A0057" w:rsidRPr="009A0057">
        <w:rPr>
          <w:sz w:val="26"/>
          <w:szCs w:val="26"/>
        </w:rPr>
        <w:t xml:space="preserve">lan </w:t>
      </w:r>
      <w:r w:rsidR="007972B2">
        <w:rPr>
          <w:sz w:val="26"/>
          <w:szCs w:val="26"/>
        </w:rPr>
        <w:t>was</w:t>
      </w:r>
      <w:r w:rsidR="009A0057" w:rsidRPr="009A0057">
        <w:rPr>
          <w:sz w:val="26"/>
          <w:szCs w:val="26"/>
        </w:rPr>
        <w:t xml:space="preserve"> to establish the terms and conditions under which PPL acquire</w:t>
      </w:r>
      <w:r w:rsidR="00831646">
        <w:rPr>
          <w:sz w:val="26"/>
          <w:szCs w:val="26"/>
        </w:rPr>
        <w:t>s</w:t>
      </w:r>
      <w:r w:rsidR="009A0057" w:rsidRPr="009A0057">
        <w:rPr>
          <w:sz w:val="26"/>
          <w:szCs w:val="26"/>
        </w:rPr>
        <w:t xml:space="preserve"> and suppl</w:t>
      </w:r>
      <w:r w:rsidR="00831646">
        <w:rPr>
          <w:sz w:val="26"/>
          <w:szCs w:val="26"/>
        </w:rPr>
        <w:t>ies</w:t>
      </w:r>
      <w:r w:rsidR="009A0057" w:rsidRPr="009A0057">
        <w:rPr>
          <w:sz w:val="26"/>
          <w:szCs w:val="26"/>
        </w:rPr>
        <w:t xml:space="preserve"> default service, including competitive procurement of Provider of Last Resort (POLR) supply and related alternative energy credits; rate design; an explanation of Regional Transm</w:t>
      </w:r>
      <w:r w:rsidR="00F144E6">
        <w:rPr>
          <w:sz w:val="26"/>
          <w:szCs w:val="26"/>
        </w:rPr>
        <w:t xml:space="preserve">ission Organization </w:t>
      </w:r>
      <w:r w:rsidR="009A0057" w:rsidRPr="009A0057">
        <w:rPr>
          <w:sz w:val="26"/>
          <w:szCs w:val="26"/>
        </w:rPr>
        <w:t>compliance and consistency; and a contingency plan.  The Petition and attachments were served on a lengthy list of entities and utility counsel.</w:t>
      </w:r>
      <w:r w:rsidR="00F144E6">
        <w:rPr>
          <w:sz w:val="26"/>
          <w:szCs w:val="26"/>
        </w:rPr>
        <w:t xml:space="preserve">  </w:t>
      </w:r>
      <w:proofErr w:type="gramStart"/>
      <w:r w:rsidR="00D00DE1">
        <w:rPr>
          <w:sz w:val="26"/>
          <w:szCs w:val="26"/>
        </w:rPr>
        <w:t>R.D. at 1.</w:t>
      </w:r>
      <w:proofErr w:type="gramEnd"/>
    </w:p>
    <w:p w:rsidR="00D00DE1" w:rsidRPr="009A0057" w:rsidRDefault="00D00DE1" w:rsidP="00DE0148">
      <w:pPr>
        <w:widowControl/>
        <w:spacing w:line="360" w:lineRule="auto"/>
        <w:rPr>
          <w:sz w:val="26"/>
          <w:szCs w:val="26"/>
        </w:rPr>
      </w:pPr>
    </w:p>
    <w:p w:rsidR="009A0057" w:rsidRPr="009A0057" w:rsidRDefault="009A0057" w:rsidP="00DE0148">
      <w:pPr>
        <w:widowControl/>
        <w:spacing w:line="360" w:lineRule="auto"/>
        <w:rPr>
          <w:sz w:val="26"/>
          <w:szCs w:val="26"/>
        </w:rPr>
      </w:pPr>
      <w:r w:rsidRPr="009A0057">
        <w:rPr>
          <w:sz w:val="26"/>
          <w:szCs w:val="26"/>
        </w:rPr>
        <w:tab/>
      </w:r>
      <w:r w:rsidRPr="009A0057">
        <w:rPr>
          <w:sz w:val="26"/>
          <w:szCs w:val="26"/>
        </w:rPr>
        <w:tab/>
        <w:t xml:space="preserve">Following litigation, the parties came to a full settlement </w:t>
      </w:r>
      <w:r w:rsidR="00676B5D">
        <w:rPr>
          <w:sz w:val="26"/>
          <w:szCs w:val="26"/>
        </w:rPr>
        <w:t xml:space="preserve">(Original Settlement) </w:t>
      </w:r>
      <w:r w:rsidRPr="009A0057">
        <w:rPr>
          <w:sz w:val="26"/>
          <w:szCs w:val="26"/>
        </w:rPr>
        <w:t>of all issues but two, which were fully litigated and subject to a Commission decision</w:t>
      </w:r>
      <w:r w:rsidR="00831646">
        <w:rPr>
          <w:sz w:val="26"/>
          <w:szCs w:val="26"/>
        </w:rPr>
        <w:t xml:space="preserve"> in an Order </w:t>
      </w:r>
      <w:r w:rsidRPr="009A0057">
        <w:rPr>
          <w:sz w:val="26"/>
          <w:szCs w:val="26"/>
        </w:rPr>
        <w:t xml:space="preserve">entered June 30, 2009.  On July 1, 2009, PPL filed its compliance tariff which satisfied the directive in the Commission’s June 30, 2009 Opinion and Order.  </w:t>
      </w:r>
      <w:proofErr w:type="gramStart"/>
      <w:r w:rsidR="00D00DE1">
        <w:rPr>
          <w:sz w:val="26"/>
          <w:szCs w:val="26"/>
        </w:rPr>
        <w:t>R.D. at 1.</w:t>
      </w:r>
      <w:proofErr w:type="gramEnd"/>
    </w:p>
    <w:p w:rsidR="009A0057" w:rsidRPr="009A0057" w:rsidRDefault="009A0057" w:rsidP="00DE0148">
      <w:pPr>
        <w:widowControl/>
        <w:spacing w:line="360" w:lineRule="auto"/>
        <w:rPr>
          <w:sz w:val="26"/>
          <w:szCs w:val="26"/>
        </w:rPr>
      </w:pPr>
    </w:p>
    <w:p w:rsidR="009A0057" w:rsidRDefault="009A0057" w:rsidP="00DE0148">
      <w:pPr>
        <w:widowControl/>
        <w:spacing w:line="360" w:lineRule="auto"/>
        <w:rPr>
          <w:sz w:val="26"/>
          <w:szCs w:val="26"/>
        </w:rPr>
      </w:pPr>
      <w:r w:rsidRPr="009A0057">
        <w:rPr>
          <w:sz w:val="26"/>
          <w:szCs w:val="26"/>
        </w:rPr>
        <w:tab/>
      </w:r>
      <w:r w:rsidRPr="009A0057">
        <w:rPr>
          <w:sz w:val="26"/>
          <w:szCs w:val="26"/>
        </w:rPr>
        <w:tab/>
        <w:t>Th</w:t>
      </w:r>
      <w:r w:rsidR="00E07878">
        <w:rPr>
          <w:sz w:val="26"/>
          <w:szCs w:val="26"/>
        </w:rPr>
        <w:t xml:space="preserve">e instant </w:t>
      </w:r>
      <w:r w:rsidR="008D5166">
        <w:rPr>
          <w:sz w:val="26"/>
          <w:szCs w:val="26"/>
        </w:rPr>
        <w:t xml:space="preserve">May 18, 2010 </w:t>
      </w:r>
      <w:r w:rsidR="00E07878">
        <w:rPr>
          <w:sz w:val="26"/>
          <w:szCs w:val="26"/>
        </w:rPr>
        <w:t xml:space="preserve">Petition </w:t>
      </w:r>
      <w:r w:rsidRPr="009A0057">
        <w:rPr>
          <w:sz w:val="26"/>
          <w:szCs w:val="26"/>
        </w:rPr>
        <w:t xml:space="preserve">is PPL’s third petition to amend the </w:t>
      </w:r>
      <w:r w:rsidR="00676B5D">
        <w:rPr>
          <w:sz w:val="26"/>
          <w:szCs w:val="26"/>
        </w:rPr>
        <w:t xml:space="preserve">Original </w:t>
      </w:r>
      <w:r w:rsidRPr="009A0057">
        <w:rPr>
          <w:sz w:val="26"/>
          <w:szCs w:val="26"/>
        </w:rPr>
        <w:t>Se</w:t>
      </w:r>
      <w:r w:rsidR="003F136C">
        <w:rPr>
          <w:sz w:val="26"/>
          <w:szCs w:val="26"/>
        </w:rPr>
        <w:t xml:space="preserve">ttlement.  The first amendment, which </w:t>
      </w:r>
      <w:r w:rsidR="003F136C" w:rsidRPr="009A0057">
        <w:rPr>
          <w:sz w:val="26"/>
          <w:szCs w:val="26"/>
        </w:rPr>
        <w:t>removed the debt rating requirement of Article 4.1.1(3)</w:t>
      </w:r>
      <w:r w:rsidR="003F136C">
        <w:rPr>
          <w:sz w:val="26"/>
          <w:szCs w:val="26"/>
        </w:rPr>
        <w:t xml:space="preserve">, was </w:t>
      </w:r>
      <w:r w:rsidRPr="009A0057">
        <w:rPr>
          <w:sz w:val="26"/>
          <w:szCs w:val="26"/>
        </w:rPr>
        <w:t xml:space="preserve">approved by </w:t>
      </w:r>
      <w:r w:rsidR="003F136C">
        <w:rPr>
          <w:sz w:val="26"/>
          <w:szCs w:val="26"/>
        </w:rPr>
        <w:t xml:space="preserve">the </w:t>
      </w:r>
      <w:r w:rsidRPr="009A0057">
        <w:rPr>
          <w:sz w:val="26"/>
          <w:szCs w:val="26"/>
        </w:rPr>
        <w:t xml:space="preserve">Commission </w:t>
      </w:r>
      <w:r w:rsidR="003F136C">
        <w:rPr>
          <w:sz w:val="26"/>
          <w:szCs w:val="26"/>
        </w:rPr>
        <w:t xml:space="preserve">in an </w:t>
      </w:r>
      <w:r w:rsidRPr="009A0057">
        <w:rPr>
          <w:sz w:val="26"/>
          <w:szCs w:val="26"/>
        </w:rPr>
        <w:t xml:space="preserve">Order entered </w:t>
      </w:r>
      <w:r w:rsidR="003F136C">
        <w:rPr>
          <w:sz w:val="26"/>
          <w:szCs w:val="26"/>
        </w:rPr>
        <w:t xml:space="preserve">on </w:t>
      </w:r>
      <w:r w:rsidRPr="009A0057">
        <w:rPr>
          <w:sz w:val="26"/>
          <w:szCs w:val="26"/>
        </w:rPr>
        <w:t xml:space="preserve">December 28, 2009.  This was intended to increase the number of solar </w:t>
      </w:r>
      <w:r w:rsidR="00590B29">
        <w:rPr>
          <w:sz w:val="26"/>
          <w:szCs w:val="26"/>
        </w:rPr>
        <w:t xml:space="preserve">renewable </w:t>
      </w:r>
      <w:r w:rsidRPr="009A0057">
        <w:rPr>
          <w:sz w:val="26"/>
          <w:szCs w:val="26"/>
        </w:rPr>
        <w:t xml:space="preserve">energy credits (SREC) competitive bids submitted by small, non-rated entities that would not otherwise qualify to bid.  The second </w:t>
      </w:r>
      <w:r w:rsidR="003F136C">
        <w:rPr>
          <w:sz w:val="26"/>
          <w:szCs w:val="26"/>
        </w:rPr>
        <w:t xml:space="preserve">amendment </w:t>
      </w:r>
      <w:r w:rsidRPr="009A0057">
        <w:rPr>
          <w:sz w:val="26"/>
          <w:szCs w:val="26"/>
        </w:rPr>
        <w:t>was approved by</w:t>
      </w:r>
      <w:r w:rsidR="003F136C">
        <w:rPr>
          <w:sz w:val="26"/>
          <w:szCs w:val="26"/>
        </w:rPr>
        <w:t xml:space="preserve"> the Commission in an </w:t>
      </w:r>
      <w:r w:rsidR="00480083">
        <w:rPr>
          <w:sz w:val="26"/>
          <w:szCs w:val="26"/>
        </w:rPr>
        <w:t>O</w:t>
      </w:r>
      <w:r w:rsidRPr="009A0057">
        <w:rPr>
          <w:sz w:val="26"/>
          <w:szCs w:val="26"/>
        </w:rPr>
        <w:t xml:space="preserve">rder entered </w:t>
      </w:r>
      <w:r w:rsidR="003F136C">
        <w:rPr>
          <w:sz w:val="26"/>
          <w:szCs w:val="26"/>
        </w:rPr>
        <w:t xml:space="preserve">on </w:t>
      </w:r>
      <w:r w:rsidRPr="009A0057">
        <w:rPr>
          <w:sz w:val="26"/>
          <w:szCs w:val="26"/>
        </w:rPr>
        <w:t xml:space="preserve">June 24, 2010, and permitted the reinstatement of an Auction Revenue Rights (ARR) allocation in a manner consistent with the Competitive Bridge Plan </w:t>
      </w:r>
      <w:r w:rsidR="00936DBD">
        <w:rPr>
          <w:sz w:val="26"/>
          <w:szCs w:val="26"/>
        </w:rPr>
        <w:t>Supply Master Agreement (</w:t>
      </w:r>
      <w:r w:rsidRPr="009A0057">
        <w:rPr>
          <w:sz w:val="26"/>
          <w:szCs w:val="26"/>
        </w:rPr>
        <w:t>SMA</w:t>
      </w:r>
      <w:r w:rsidR="00936DBD">
        <w:rPr>
          <w:sz w:val="26"/>
          <w:szCs w:val="26"/>
        </w:rPr>
        <w:t>)</w:t>
      </w:r>
      <w:r w:rsidRPr="009A0057">
        <w:rPr>
          <w:sz w:val="26"/>
          <w:szCs w:val="26"/>
        </w:rPr>
        <w:t xml:space="preserve"> permitting PPL to proportionally assign the ARRs to part</w:t>
      </w:r>
      <w:r w:rsidR="003F136C">
        <w:rPr>
          <w:sz w:val="26"/>
          <w:szCs w:val="26"/>
        </w:rPr>
        <w:t xml:space="preserve">icipating wholesale suppliers.  </w:t>
      </w:r>
      <w:proofErr w:type="gramStart"/>
      <w:r w:rsidR="00D00DE1">
        <w:rPr>
          <w:sz w:val="26"/>
          <w:szCs w:val="26"/>
        </w:rPr>
        <w:t>R.D. at 2.</w:t>
      </w:r>
      <w:proofErr w:type="gramEnd"/>
    </w:p>
    <w:p w:rsidR="008E4EC3" w:rsidRDefault="008E4EC3" w:rsidP="00DE0148">
      <w:pPr>
        <w:widowControl/>
        <w:spacing w:line="360" w:lineRule="auto"/>
        <w:rPr>
          <w:sz w:val="26"/>
          <w:szCs w:val="26"/>
        </w:rPr>
      </w:pPr>
    </w:p>
    <w:p w:rsidR="009A0057" w:rsidRPr="009A0057" w:rsidRDefault="00676B5D" w:rsidP="00DE0148">
      <w:pPr>
        <w:widowControl/>
        <w:spacing w:line="360" w:lineRule="auto"/>
        <w:ind w:firstLine="1440"/>
        <w:rPr>
          <w:sz w:val="26"/>
          <w:szCs w:val="26"/>
        </w:rPr>
      </w:pPr>
      <w:r>
        <w:rPr>
          <w:sz w:val="26"/>
          <w:szCs w:val="26"/>
        </w:rPr>
        <w:lastRenderedPageBreak/>
        <w:t>The instant Petition, filed by PPL o</w:t>
      </w:r>
      <w:r w:rsidR="009A0057" w:rsidRPr="009A0057">
        <w:rPr>
          <w:sz w:val="26"/>
          <w:szCs w:val="26"/>
        </w:rPr>
        <w:t>n May 18, 2010, request</w:t>
      </w:r>
      <w:r>
        <w:rPr>
          <w:sz w:val="26"/>
          <w:szCs w:val="26"/>
        </w:rPr>
        <w:t>s</w:t>
      </w:r>
      <w:r w:rsidR="009A0057" w:rsidRPr="009A0057">
        <w:rPr>
          <w:sz w:val="26"/>
          <w:szCs w:val="26"/>
        </w:rPr>
        <w:t xml:space="preserve"> that the Commission amend the </w:t>
      </w:r>
      <w:r w:rsidR="0089620E">
        <w:rPr>
          <w:sz w:val="26"/>
          <w:szCs w:val="26"/>
        </w:rPr>
        <w:t xml:space="preserve">terms of the </w:t>
      </w:r>
      <w:r w:rsidR="004B3DEA">
        <w:rPr>
          <w:sz w:val="26"/>
          <w:szCs w:val="26"/>
        </w:rPr>
        <w:t xml:space="preserve">Original </w:t>
      </w:r>
      <w:r w:rsidR="009A0057" w:rsidRPr="009A0057">
        <w:rPr>
          <w:sz w:val="26"/>
          <w:szCs w:val="26"/>
        </w:rPr>
        <w:t xml:space="preserve">Settlement by modifying its procurement of SRECs.  </w:t>
      </w:r>
      <w:r w:rsidR="0007790C">
        <w:rPr>
          <w:sz w:val="26"/>
          <w:szCs w:val="26"/>
        </w:rPr>
        <w:t xml:space="preserve">PPL filed its Petition in response to the Commission’s </w:t>
      </w:r>
      <w:r w:rsidR="0007790C">
        <w:rPr>
          <w:i/>
          <w:sz w:val="26"/>
          <w:szCs w:val="26"/>
        </w:rPr>
        <w:t xml:space="preserve">Proposed Policy Statement in Support of Pennsylvania Solar Projects, </w:t>
      </w:r>
      <w:r w:rsidR="0007790C">
        <w:rPr>
          <w:sz w:val="26"/>
          <w:szCs w:val="26"/>
        </w:rPr>
        <w:t>Docket No. M-2009-2140263 (Order entered December 10, 2009).</w:t>
      </w:r>
      <w:r w:rsidR="00DD36E8">
        <w:rPr>
          <w:rStyle w:val="FootnoteReference"/>
          <w:sz w:val="26"/>
          <w:szCs w:val="26"/>
        </w:rPr>
        <w:footnoteReference w:id="1"/>
      </w:r>
      <w:r w:rsidR="004E2BAA">
        <w:rPr>
          <w:sz w:val="26"/>
          <w:szCs w:val="26"/>
        </w:rPr>
        <w:t xml:space="preserve">  </w:t>
      </w:r>
      <w:r w:rsidR="009A0057" w:rsidRPr="009A0057">
        <w:rPr>
          <w:sz w:val="26"/>
          <w:szCs w:val="26"/>
        </w:rPr>
        <w:t xml:space="preserve">The Petition was served on all parties to the original proceeding.  On June 7, 2010, the Office of Consumer Advocate (OCA), Office of Small Business Advocate (OSBA) and SEF each filed an Answer to PPL’s Petition.  </w:t>
      </w:r>
      <w:proofErr w:type="gramStart"/>
      <w:r w:rsidR="00D00DE1">
        <w:rPr>
          <w:sz w:val="26"/>
          <w:szCs w:val="26"/>
        </w:rPr>
        <w:t>R.D. at 2.</w:t>
      </w:r>
      <w:proofErr w:type="gramEnd"/>
    </w:p>
    <w:p w:rsidR="009A0057" w:rsidRPr="009A0057" w:rsidRDefault="009A0057" w:rsidP="00DE0148">
      <w:pPr>
        <w:widowControl/>
        <w:spacing w:line="360" w:lineRule="auto"/>
        <w:rPr>
          <w:sz w:val="26"/>
          <w:szCs w:val="26"/>
        </w:rPr>
      </w:pPr>
    </w:p>
    <w:p w:rsidR="009A0057" w:rsidRPr="009A0057" w:rsidRDefault="009A0057" w:rsidP="00DE0148">
      <w:pPr>
        <w:widowControl/>
        <w:spacing w:line="360" w:lineRule="auto"/>
        <w:rPr>
          <w:sz w:val="26"/>
          <w:szCs w:val="26"/>
        </w:rPr>
      </w:pPr>
      <w:r w:rsidRPr="009A0057">
        <w:rPr>
          <w:sz w:val="26"/>
          <w:szCs w:val="26"/>
        </w:rPr>
        <w:tab/>
      </w:r>
      <w:r w:rsidRPr="009A0057">
        <w:rPr>
          <w:sz w:val="26"/>
          <w:szCs w:val="26"/>
        </w:rPr>
        <w:tab/>
        <w:t xml:space="preserve">By Order entered July 22, 2010, the Commission directed the Office of Administrative Law Judge to develop an evidentiary record and to prepare a recommended decision on an expedited basis.  </w:t>
      </w:r>
      <w:proofErr w:type="gramStart"/>
      <w:r w:rsidR="00D00DE1">
        <w:rPr>
          <w:sz w:val="26"/>
          <w:szCs w:val="26"/>
        </w:rPr>
        <w:t>R.D. at 2.</w:t>
      </w:r>
      <w:proofErr w:type="gramEnd"/>
    </w:p>
    <w:p w:rsidR="009A0057" w:rsidRPr="009A0057" w:rsidRDefault="009A0057" w:rsidP="00DE0148">
      <w:pPr>
        <w:widowControl/>
        <w:spacing w:line="360" w:lineRule="auto"/>
        <w:rPr>
          <w:sz w:val="26"/>
          <w:szCs w:val="26"/>
        </w:rPr>
      </w:pPr>
    </w:p>
    <w:p w:rsidR="009A0057" w:rsidRPr="009A0057" w:rsidRDefault="009A0057" w:rsidP="00DE0148">
      <w:pPr>
        <w:widowControl/>
        <w:spacing w:line="360" w:lineRule="auto"/>
        <w:rPr>
          <w:sz w:val="26"/>
          <w:szCs w:val="26"/>
        </w:rPr>
      </w:pPr>
      <w:r w:rsidRPr="009A0057">
        <w:rPr>
          <w:sz w:val="26"/>
          <w:szCs w:val="26"/>
        </w:rPr>
        <w:tab/>
      </w:r>
      <w:r w:rsidRPr="009A0057">
        <w:rPr>
          <w:sz w:val="26"/>
          <w:szCs w:val="26"/>
        </w:rPr>
        <w:tab/>
        <w:t>By Notice issued July 28, 2010, a prehearing conference on remand was scheduled for August 18, 2010.  Prehearing memos were submitted by PPL, OCA, OSBA, SEF, Mr. Epstein and Constellation NewEnergy, Inc. and Constellation Energy Commodities Group, Inc. (Constellation).  Petitions to intervene were filed by Exelon Generation Company, LLC, and the Solar Alliance.  These petitions are addressed in a separate order.</w:t>
      </w:r>
      <w:r w:rsidR="00D00DE1">
        <w:rPr>
          <w:sz w:val="26"/>
          <w:szCs w:val="26"/>
        </w:rPr>
        <w:t xml:space="preserve">  </w:t>
      </w:r>
      <w:proofErr w:type="gramStart"/>
      <w:r w:rsidR="00D00DE1">
        <w:rPr>
          <w:sz w:val="26"/>
          <w:szCs w:val="26"/>
        </w:rPr>
        <w:t>R.D. at 2.</w:t>
      </w:r>
      <w:proofErr w:type="gramEnd"/>
    </w:p>
    <w:p w:rsidR="009A0057" w:rsidRPr="009A0057" w:rsidRDefault="009A0057" w:rsidP="00DE0148">
      <w:pPr>
        <w:widowControl/>
        <w:spacing w:line="360" w:lineRule="auto"/>
        <w:rPr>
          <w:sz w:val="26"/>
          <w:szCs w:val="26"/>
        </w:rPr>
      </w:pPr>
    </w:p>
    <w:p w:rsidR="009A0057" w:rsidRDefault="009A0057" w:rsidP="00DE0148">
      <w:pPr>
        <w:widowControl/>
        <w:spacing w:line="360" w:lineRule="auto"/>
        <w:rPr>
          <w:sz w:val="26"/>
          <w:szCs w:val="26"/>
        </w:rPr>
      </w:pPr>
      <w:r w:rsidRPr="009A0057">
        <w:rPr>
          <w:sz w:val="26"/>
          <w:szCs w:val="26"/>
        </w:rPr>
        <w:tab/>
      </w:r>
      <w:r w:rsidRPr="009A0057">
        <w:rPr>
          <w:sz w:val="26"/>
          <w:szCs w:val="26"/>
        </w:rPr>
        <w:tab/>
        <w:t xml:space="preserve">The prehearing conference was held as scheduled, and the following were present:  PPL, OCA, OSBA, SEF, Mr. Epstein, Constellation, PP&amp;L Industrial Customer Alliance (PPLICA), and Solar Alliance.  The </w:t>
      </w:r>
      <w:r w:rsidR="00BD72B0">
        <w:rPr>
          <w:sz w:val="26"/>
          <w:szCs w:val="26"/>
        </w:rPr>
        <w:t>P</w:t>
      </w:r>
      <w:r w:rsidRPr="009A0057">
        <w:rPr>
          <w:sz w:val="26"/>
          <w:szCs w:val="26"/>
        </w:rPr>
        <w:t>arties agreed upon a schedule which was adopted in the scheduling order issued August 19, 2010.</w:t>
      </w:r>
      <w:r w:rsidR="00D00DE1">
        <w:rPr>
          <w:sz w:val="26"/>
          <w:szCs w:val="26"/>
        </w:rPr>
        <w:t xml:space="preserve">  </w:t>
      </w:r>
      <w:proofErr w:type="gramStart"/>
      <w:r w:rsidR="00D00DE1">
        <w:rPr>
          <w:sz w:val="26"/>
          <w:szCs w:val="26"/>
        </w:rPr>
        <w:t>R.D. at 2.</w:t>
      </w:r>
      <w:proofErr w:type="gramEnd"/>
      <w:r w:rsidRPr="009A0057">
        <w:rPr>
          <w:sz w:val="26"/>
          <w:szCs w:val="26"/>
        </w:rPr>
        <w:t xml:space="preserve">  </w:t>
      </w:r>
    </w:p>
    <w:p w:rsidR="00D141FA" w:rsidRDefault="00D141FA" w:rsidP="00DE0148">
      <w:pPr>
        <w:widowControl/>
        <w:spacing w:line="360" w:lineRule="auto"/>
        <w:rPr>
          <w:sz w:val="26"/>
          <w:szCs w:val="26"/>
        </w:rPr>
      </w:pPr>
    </w:p>
    <w:p w:rsidR="00D141FA" w:rsidRPr="009A0057" w:rsidRDefault="00D141FA" w:rsidP="00DE0148">
      <w:pPr>
        <w:widowControl/>
        <w:spacing w:line="360" w:lineRule="auto"/>
        <w:rPr>
          <w:sz w:val="26"/>
          <w:szCs w:val="26"/>
        </w:rPr>
      </w:pPr>
    </w:p>
    <w:p w:rsidR="009A0057" w:rsidRPr="009A0057" w:rsidRDefault="009A0057" w:rsidP="00DE0148">
      <w:pPr>
        <w:widowControl/>
        <w:spacing w:line="360" w:lineRule="auto"/>
        <w:rPr>
          <w:sz w:val="26"/>
          <w:szCs w:val="26"/>
        </w:rPr>
      </w:pPr>
    </w:p>
    <w:p w:rsidR="009A0057" w:rsidRPr="009A0057" w:rsidRDefault="009A0057" w:rsidP="00DE0148">
      <w:pPr>
        <w:widowControl/>
        <w:spacing w:line="360" w:lineRule="auto"/>
        <w:rPr>
          <w:sz w:val="26"/>
          <w:szCs w:val="26"/>
        </w:rPr>
      </w:pPr>
      <w:r w:rsidRPr="009A0057">
        <w:rPr>
          <w:sz w:val="26"/>
          <w:szCs w:val="26"/>
        </w:rPr>
        <w:tab/>
      </w:r>
      <w:r w:rsidRPr="009A0057">
        <w:rPr>
          <w:sz w:val="26"/>
          <w:szCs w:val="26"/>
        </w:rPr>
        <w:tab/>
        <w:t xml:space="preserve">On October 13, 2010, the </w:t>
      </w:r>
      <w:r w:rsidR="00F6620A">
        <w:rPr>
          <w:sz w:val="26"/>
          <w:szCs w:val="26"/>
        </w:rPr>
        <w:t>Pa</w:t>
      </w:r>
      <w:r w:rsidRPr="009A0057">
        <w:rPr>
          <w:sz w:val="26"/>
          <w:szCs w:val="26"/>
        </w:rPr>
        <w:t xml:space="preserve">rties </w:t>
      </w:r>
      <w:r w:rsidR="004A77F3">
        <w:rPr>
          <w:sz w:val="26"/>
          <w:szCs w:val="26"/>
        </w:rPr>
        <w:t>indicated that they had</w:t>
      </w:r>
      <w:r w:rsidRPr="009A0057">
        <w:rPr>
          <w:sz w:val="26"/>
          <w:szCs w:val="26"/>
        </w:rPr>
        <w:t xml:space="preserve"> reached a settlement in principle, with one reserved issue</w:t>
      </w:r>
      <w:r w:rsidR="00F6620A">
        <w:rPr>
          <w:sz w:val="26"/>
          <w:szCs w:val="26"/>
        </w:rPr>
        <w:t xml:space="preserve">, and asked for the following: </w:t>
      </w:r>
      <w:r w:rsidRPr="009A0057">
        <w:rPr>
          <w:sz w:val="26"/>
          <w:szCs w:val="26"/>
        </w:rPr>
        <w:t>(1)</w:t>
      </w:r>
      <w:r w:rsidR="00F6620A">
        <w:rPr>
          <w:sz w:val="26"/>
          <w:szCs w:val="26"/>
        </w:rPr>
        <w:t> </w:t>
      </w:r>
      <w:r w:rsidRPr="009A0057">
        <w:rPr>
          <w:sz w:val="26"/>
          <w:szCs w:val="26"/>
        </w:rPr>
        <w:t>cancellation of the due date for the filing of direct testimony of parties other than the Company; (2) rescheduling of direct testimony due date for all parties for the reserved issue; (3) making the rebuttal due date for all parties set for November 1</w:t>
      </w:r>
      <w:r w:rsidRPr="009A0057">
        <w:rPr>
          <w:sz w:val="26"/>
          <w:szCs w:val="26"/>
          <w:vertAlign w:val="superscript"/>
        </w:rPr>
        <w:t>st</w:t>
      </w:r>
      <w:r w:rsidRPr="009A0057">
        <w:rPr>
          <w:sz w:val="26"/>
          <w:szCs w:val="26"/>
        </w:rPr>
        <w:t>; and (4) cancellation of the November 3, 2010 hearing date in favor of November 4, 2010.  The request was granted by Amended Scheduling Order issued October 13, 2010.</w:t>
      </w:r>
      <w:r w:rsidR="00F01342">
        <w:rPr>
          <w:sz w:val="26"/>
          <w:szCs w:val="26"/>
        </w:rPr>
        <w:t xml:space="preserve">  </w:t>
      </w:r>
      <w:r w:rsidR="00F01342" w:rsidRPr="009A0057">
        <w:rPr>
          <w:sz w:val="26"/>
          <w:szCs w:val="26"/>
        </w:rPr>
        <w:t xml:space="preserve">The hearing was held as scheduled on November 4, 2010.  </w:t>
      </w:r>
      <w:proofErr w:type="gramStart"/>
      <w:r w:rsidR="00F01342">
        <w:rPr>
          <w:sz w:val="26"/>
          <w:szCs w:val="26"/>
        </w:rPr>
        <w:t>R.D. at 3.</w:t>
      </w:r>
      <w:proofErr w:type="gramEnd"/>
      <w:r w:rsidRPr="009A0057">
        <w:rPr>
          <w:sz w:val="26"/>
          <w:szCs w:val="26"/>
        </w:rPr>
        <w:t xml:space="preserve">  </w:t>
      </w:r>
    </w:p>
    <w:p w:rsidR="009A0057" w:rsidRPr="009A0057" w:rsidRDefault="009A0057" w:rsidP="00DE0148">
      <w:pPr>
        <w:widowControl/>
        <w:spacing w:line="360" w:lineRule="auto"/>
        <w:rPr>
          <w:sz w:val="26"/>
          <w:szCs w:val="26"/>
        </w:rPr>
      </w:pPr>
    </w:p>
    <w:p w:rsidR="00E64E1A" w:rsidRDefault="009A0057" w:rsidP="00DE0148">
      <w:pPr>
        <w:widowControl/>
        <w:spacing w:line="360" w:lineRule="auto"/>
        <w:rPr>
          <w:sz w:val="26"/>
          <w:szCs w:val="26"/>
        </w:rPr>
      </w:pPr>
      <w:r w:rsidRPr="009A0057">
        <w:rPr>
          <w:sz w:val="26"/>
          <w:szCs w:val="26"/>
        </w:rPr>
        <w:tab/>
      </w:r>
      <w:r w:rsidRPr="009A0057">
        <w:rPr>
          <w:sz w:val="26"/>
          <w:szCs w:val="26"/>
        </w:rPr>
        <w:tab/>
      </w:r>
      <w:r w:rsidR="004B3DEA">
        <w:rPr>
          <w:sz w:val="26"/>
          <w:szCs w:val="26"/>
        </w:rPr>
        <w:t xml:space="preserve">As noted, on </w:t>
      </w:r>
      <w:r w:rsidRPr="009A0057">
        <w:rPr>
          <w:sz w:val="26"/>
          <w:szCs w:val="26"/>
        </w:rPr>
        <w:t xml:space="preserve">November 16, 2010, the </w:t>
      </w:r>
      <w:r w:rsidR="008319E6">
        <w:rPr>
          <w:sz w:val="26"/>
          <w:szCs w:val="26"/>
        </w:rPr>
        <w:t>P</w:t>
      </w:r>
      <w:r w:rsidRPr="009A0057">
        <w:rPr>
          <w:sz w:val="26"/>
          <w:szCs w:val="26"/>
        </w:rPr>
        <w:t xml:space="preserve">arties filed a </w:t>
      </w:r>
      <w:r w:rsidR="00F6620A">
        <w:rPr>
          <w:sz w:val="26"/>
          <w:szCs w:val="26"/>
        </w:rPr>
        <w:t xml:space="preserve">Joint Partial Settlement Petition, </w:t>
      </w:r>
      <w:r w:rsidR="00ED0610">
        <w:rPr>
          <w:sz w:val="26"/>
          <w:szCs w:val="26"/>
        </w:rPr>
        <w:t>signed by PPL</w:t>
      </w:r>
      <w:r w:rsidRPr="009A0057">
        <w:rPr>
          <w:sz w:val="26"/>
          <w:szCs w:val="26"/>
        </w:rPr>
        <w:t xml:space="preserve">, OCA, OSBA, SEF, and the Solar Alliance.  Letters of non-opposition were filed by OTS, PPLICA and Constellation.  Mr. Epstein has indicated that he does not oppose the </w:t>
      </w:r>
      <w:r w:rsidR="00F6620A">
        <w:rPr>
          <w:sz w:val="26"/>
          <w:szCs w:val="26"/>
        </w:rPr>
        <w:t>Joint Partial Settlement Petition</w:t>
      </w:r>
      <w:r w:rsidRPr="009A0057">
        <w:rPr>
          <w:sz w:val="26"/>
          <w:szCs w:val="26"/>
        </w:rPr>
        <w:t>.  Statemen</w:t>
      </w:r>
      <w:r w:rsidR="00ED0610">
        <w:rPr>
          <w:sz w:val="26"/>
          <w:szCs w:val="26"/>
        </w:rPr>
        <w:t xml:space="preserve">ts in Support </w:t>
      </w:r>
      <w:r w:rsidR="00BD72B0">
        <w:rPr>
          <w:sz w:val="26"/>
          <w:szCs w:val="26"/>
        </w:rPr>
        <w:t xml:space="preserve">of the Joint Partial Settlement Petition </w:t>
      </w:r>
      <w:r w:rsidR="00ED0610">
        <w:rPr>
          <w:sz w:val="26"/>
          <w:szCs w:val="26"/>
        </w:rPr>
        <w:t>were filed by PPL</w:t>
      </w:r>
      <w:r w:rsidRPr="009A0057">
        <w:rPr>
          <w:sz w:val="26"/>
          <w:szCs w:val="26"/>
        </w:rPr>
        <w:t>, OSBA, SEF,</w:t>
      </w:r>
      <w:r w:rsidR="00BD72B0">
        <w:rPr>
          <w:sz w:val="26"/>
          <w:szCs w:val="26"/>
        </w:rPr>
        <w:t xml:space="preserve"> OCA</w:t>
      </w:r>
      <w:r w:rsidRPr="009A0057">
        <w:rPr>
          <w:sz w:val="26"/>
          <w:szCs w:val="26"/>
        </w:rPr>
        <w:t xml:space="preserve"> and the Solar Alliance.</w:t>
      </w:r>
      <w:r w:rsidR="00F01342">
        <w:rPr>
          <w:sz w:val="26"/>
          <w:szCs w:val="26"/>
        </w:rPr>
        <w:t xml:space="preserve">  </w:t>
      </w:r>
      <w:r w:rsidR="00F01342" w:rsidRPr="009A0057">
        <w:rPr>
          <w:sz w:val="26"/>
          <w:szCs w:val="26"/>
        </w:rPr>
        <w:t>Also on November 16, 2010, Main Briefs were filed by PPL and SEF.  Both filed Reply Briefs on November 23, 2010.  The record closed upon their receipt</w:t>
      </w:r>
      <w:r w:rsidR="00E64E1A">
        <w:rPr>
          <w:sz w:val="26"/>
          <w:szCs w:val="26"/>
        </w:rPr>
        <w:t xml:space="preserve"> and o</w:t>
      </w:r>
      <w:r w:rsidR="00805ABA">
        <w:rPr>
          <w:sz w:val="26"/>
          <w:szCs w:val="26"/>
        </w:rPr>
        <w:t xml:space="preserve">n December 17, 2010, the Commission issued </w:t>
      </w:r>
      <w:r w:rsidR="00E64E1A">
        <w:rPr>
          <w:sz w:val="26"/>
          <w:szCs w:val="26"/>
        </w:rPr>
        <w:t xml:space="preserve">ALJ Colwell’s </w:t>
      </w:r>
      <w:r w:rsidR="00805ABA">
        <w:rPr>
          <w:sz w:val="26"/>
          <w:szCs w:val="26"/>
        </w:rPr>
        <w:t>R</w:t>
      </w:r>
      <w:r w:rsidR="00E64E1A">
        <w:rPr>
          <w:sz w:val="26"/>
          <w:szCs w:val="26"/>
        </w:rPr>
        <w:t>.D.</w:t>
      </w:r>
    </w:p>
    <w:p w:rsidR="00E64E1A" w:rsidRDefault="00E64E1A" w:rsidP="00DE0148">
      <w:pPr>
        <w:widowControl/>
        <w:spacing w:line="360" w:lineRule="auto"/>
        <w:rPr>
          <w:sz w:val="26"/>
          <w:szCs w:val="26"/>
        </w:rPr>
      </w:pPr>
    </w:p>
    <w:p w:rsidR="00791012" w:rsidRDefault="00E64E1A" w:rsidP="00DE0148">
      <w:pPr>
        <w:widowControl/>
        <w:spacing w:line="360" w:lineRule="auto"/>
        <w:rPr>
          <w:sz w:val="26"/>
          <w:szCs w:val="26"/>
        </w:rPr>
      </w:pPr>
      <w:r>
        <w:rPr>
          <w:sz w:val="26"/>
          <w:szCs w:val="26"/>
        </w:rPr>
        <w:tab/>
      </w:r>
      <w:r>
        <w:rPr>
          <w:sz w:val="26"/>
          <w:szCs w:val="26"/>
        </w:rPr>
        <w:tab/>
      </w:r>
      <w:r w:rsidR="00FE600F">
        <w:rPr>
          <w:sz w:val="26"/>
          <w:szCs w:val="26"/>
        </w:rPr>
        <w:t xml:space="preserve">As </w:t>
      </w:r>
      <w:r>
        <w:rPr>
          <w:sz w:val="26"/>
          <w:szCs w:val="26"/>
        </w:rPr>
        <w:t>noted,</w:t>
      </w:r>
      <w:r w:rsidR="00FE600F">
        <w:rPr>
          <w:sz w:val="26"/>
          <w:szCs w:val="26"/>
        </w:rPr>
        <w:t xml:space="preserve"> </w:t>
      </w:r>
      <w:r w:rsidR="008319E6">
        <w:rPr>
          <w:sz w:val="26"/>
          <w:szCs w:val="26"/>
        </w:rPr>
        <w:t>all</w:t>
      </w:r>
      <w:r w:rsidR="00FE600F">
        <w:rPr>
          <w:sz w:val="26"/>
          <w:szCs w:val="26"/>
        </w:rPr>
        <w:t xml:space="preserve"> </w:t>
      </w:r>
      <w:r w:rsidR="00BD72B0">
        <w:rPr>
          <w:sz w:val="26"/>
          <w:szCs w:val="26"/>
        </w:rPr>
        <w:t xml:space="preserve">of the </w:t>
      </w:r>
      <w:r w:rsidR="00F01342">
        <w:rPr>
          <w:sz w:val="26"/>
          <w:szCs w:val="26"/>
        </w:rPr>
        <w:t>Parties</w:t>
      </w:r>
      <w:r w:rsidR="008319E6">
        <w:rPr>
          <w:sz w:val="26"/>
          <w:szCs w:val="26"/>
        </w:rPr>
        <w:t xml:space="preserve"> to the proceeding </w:t>
      </w:r>
      <w:r w:rsidR="00FE600F">
        <w:rPr>
          <w:sz w:val="26"/>
          <w:szCs w:val="26"/>
        </w:rPr>
        <w:t>reached a</w:t>
      </w:r>
      <w:r w:rsidR="008319E6">
        <w:rPr>
          <w:sz w:val="26"/>
          <w:szCs w:val="26"/>
        </w:rPr>
        <w:t>n</w:t>
      </w:r>
      <w:r w:rsidR="00FE600F">
        <w:rPr>
          <w:sz w:val="26"/>
          <w:szCs w:val="26"/>
        </w:rPr>
        <w:t xml:space="preserve"> </w:t>
      </w:r>
      <w:r w:rsidR="008319E6">
        <w:rPr>
          <w:sz w:val="26"/>
          <w:szCs w:val="26"/>
        </w:rPr>
        <w:t>agreement</w:t>
      </w:r>
      <w:r w:rsidR="00EA5F1F">
        <w:rPr>
          <w:sz w:val="26"/>
          <w:szCs w:val="26"/>
        </w:rPr>
        <w:t xml:space="preserve"> on all bu</w:t>
      </w:r>
      <w:r w:rsidR="00ED0610">
        <w:rPr>
          <w:sz w:val="26"/>
          <w:szCs w:val="26"/>
        </w:rPr>
        <w:t>t one issue associated with PPL</w:t>
      </w:r>
      <w:r w:rsidR="00EA5F1F">
        <w:rPr>
          <w:sz w:val="26"/>
          <w:szCs w:val="26"/>
        </w:rPr>
        <w:t>’s</w:t>
      </w:r>
      <w:r w:rsidR="00FE600F">
        <w:rPr>
          <w:sz w:val="26"/>
          <w:szCs w:val="26"/>
        </w:rPr>
        <w:t xml:space="preserve"> </w:t>
      </w:r>
      <w:r w:rsidR="00EA5F1F">
        <w:rPr>
          <w:sz w:val="26"/>
          <w:szCs w:val="26"/>
        </w:rPr>
        <w:t xml:space="preserve">proposed amendment.  </w:t>
      </w:r>
      <w:r w:rsidR="00E11B11">
        <w:rPr>
          <w:sz w:val="26"/>
          <w:szCs w:val="26"/>
        </w:rPr>
        <w:t xml:space="preserve">The </w:t>
      </w:r>
      <w:r w:rsidR="00EA5F1F">
        <w:rPr>
          <w:sz w:val="26"/>
          <w:szCs w:val="26"/>
        </w:rPr>
        <w:t xml:space="preserve">one unresolved </w:t>
      </w:r>
      <w:r w:rsidR="004D0883">
        <w:rPr>
          <w:sz w:val="26"/>
          <w:szCs w:val="26"/>
        </w:rPr>
        <w:t xml:space="preserve">issue </w:t>
      </w:r>
      <w:r w:rsidR="00E11B11">
        <w:rPr>
          <w:sz w:val="26"/>
          <w:szCs w:val="26"/>
        </w:rPr>
        <w:t>is</w:t>
      </w:r>
      <w:r w:rsidR="004D0883">
        <w:rPr>
          <w:sz w:val="26"/>
          <w:szCs w:val="26"/>
        </w:rPr>
        <w:t xml:space="preserve"> whether each aggregator under the set aside program will be required to certify that it has long term contracts with qualifying solar systems for SRECs equal to or longer in term length of the bilateral contract </w:t>
      </w:r>
      <w:r w:rsidR="00ED0610">
        <w:rPr>
          <w:sz w:val="26"/>
          <w:szCs w:val="26"/>
        </w:rPr>
        <w:t>between the aggregator and PPL</w:t>
      </w:r>
      <w:r w:rsidR="00E11B11">
        <w:rPr>
          <w:sz w:val="26"/>
          <w:szCs w:val="26"/>
        </w:rPr>
        <w:t>.</w:t>
      </w:r>
      <w:r w:rsidR="00C64555">
        <w:rPr>
          <w:sz w:val="26"/>
          <w:szCs w:val="26"/>
        </w:rPr>
        <w:t xml:space="preserve">  The ALJ </w:t>
      </w:r>
      <w:r w:rsidR="00503D6F">
        <w:rPr>
          <w:sz w:val="26"/>
          <w:szCs w:val="26"/>
        </w:rPr>
        <w:t xml:space="preserve">concluded </w:t>
      </w:r>
      <w:r>
        <w:rPr>
          <w:sz w:val="26"/>
          <w:szCs w:val="26"/>
        </w:rPr>
        <w:t xml:space="preserve">in her </w:t>
      </w:r>
      <w:r w:rsidR="00CA2FCC">
        <w:rPr>
          <w:sz w:val="26"/>
          <w:szCs w:val="26"/>
        </w:rPr>
        <w:t xml:space="preserve">R.D. </w:t>
      </w:r>
      <w:r w:rsidR="00503D6F">
        <w:rPr>
          <w:sz w:val="26"/>
          <w:szCs w:val="26"/>
        </w:rPr>
        <w:t xml:space="preserve">that the </w:t>
      </w:r>
      <w:r w:rsidR="00583AC6">
        <w:rPr>
          <w:sz w:val="26"/>
          <w:szCs w:val="26"/>
        </w:rPr>
        <w:t xml:space="preserve">terms of </w:t>
      </w:r>
      <w:r w:rsidR="00BD72B0">
        <w:rPr>
          <w:sz w:val="26"/>
          <w:szCs w:val="26"/>
        </w:rPr>
        <w:t xml:space="preserve">the </w:t>
      </w:r>
      <w:r w:rsidR="00244564">
        <w:rPr>
          <w:sz w:val="26"/>
          <w:szCs w:val="26"/>
        </w:rPr>
        <w:t xml:space="preserve">Joint </w:t>
      </w:r>
      <w:r w:rsidR="00503D6F">
        <w:rPr>
          <w:sz w:val="26"/>
          <w:szCs w:val="26"/>
        </w:rPr>
        <w:t xml:space="preserve">Partial Settlement </w:t>
      </w:r>
      <w:r w:rsidR="00244564">
        <w:rPr>
          <w:sz w:val="26"/>
          <w:szCs w:val="26"/>
        </w:rPr>
        <w:t xml:space="preserve">Petition </w:t>
      </w:r>
      <w:r w:rsidR="00464FF0">
        <w:rPr>
          <w:sz w:val="26"/>
          <w:szCs w:val="26"/>
        </w:rPr>
        <w:t>are</w:t>
      </w:r>
      <w:r w:rsidR="00503D6F">
        <w:rPr>
          <w:sz w:val="26"/>
          <w:szCs w:val="26"/>
        </w:rPr>
        <w:t xml:space="preserve"> in the public interest and</w:t>
      </w:r>
      <w:r w:rsidR="00583AC6">
        <w:rPr>
          <w:sz w:val="26"/>
          <w:szCs w:val="26"/>
        </w:rPr>
        <w:t>,</w:t>
      </w:r>
      <w:r w:rsidR="00503D6F">
        <w:rPr>
          <w:sz w:val="26"/>
          <w:szCs w:val="26"/>
        </w:rPr>
        <w:t xml:space="preserve"> therefore</w:t>
      </w:r>
      <w:r w:rsidR="00583AC6">
        <w:rPr>
          <w:sz w:val="26"/>
          <w:szCs w:val="26"/>
        </w:rPr>
        <w:t>,</w:t>
      </w:r>
      <w:r w:rsidR="00503D6F">
        <w:rPr>
          <w:sz w:val="26"/>
          <w:szCs w:val="26"/>
        </w:rPr>
        <w:t xml:space="preserve"> should be </w:t>
      </w:r>
      <w:r w:rsidR="002C5077">
        <w:rPr>
          <w:sz w:val="26"/>
          <w:szCs w:val="26"/>
        </w:rPr>
        <w:t>approv</w:t>
      </w:r>
      <w:r w:rsidR="00503D6F">
        <w:rPr>
          <w:sz w:val="26"/>
          <w:szCs w:val="26"/>
        </w:rPr>
        <w:t>ed</w:t>
      </w:r>
      <w:r w:rsidR="002C5077">
        <w:rPr>
          <w:sz w:val="26"/>
          <w:szCs w:val="26"/>
        </w:rPr>
        <w:t xml:space="preserve"> without modification</w:t>
      </w:r>
      <w:r w:rsidR="00503D6F">
        <w:rPr>
          <w:sz w:val="26"/>
          <w:szCs w:val="26"/>
        </w:rPr>
        <w:t>.</w:t>
      </w:r>
      <w:r w:rsidR="002C5077">
        <w:rPr>
          <w:sz w:val="26"/>
          <w:szCs w:val="26"/>
        </w:rPr>
        <w:t xml:space="preserve"> </w:t>
      </w:r>
      <w:r w:rsidR="00503D6F">
        <w:rPr>
          <w:sz w:val="26"/>
          <w:szCs w:val="26"/>
        </w:rPr>
        <w:t xml:space="preserve"> </w:t>
      </w:r>
      <w:r w:rsidR="00CA2FCC">
        <w:rPr>
          <w:sz w:val="26"/>
          <w:szCs w:val="26"/>
        </w:rPr>
        <w:t>W</w:t>
      </w:r>
      <w:r w:rsidR="002C5077">
        <w:rPr>
          <w:sz w:val="26"/>
          <w:szCs w:val="26"/>
        </w:rPr>
        <w:t xml:space="preserve">ith regard to the </w:t>
      </w:r>
      <w:r w:rsidR="005F4D2F">
        <w:rPr>
          <w:sz w:val="26"/>
          <w:szCs w:val="26"/>
        </w:rPr>
        <w:t>unresolved</w:t>
      </w:r>
      <w:r w:rsidR="002C5077">
        <w:rPr>
          <w:sz w:val="26"/>
          <w:szCs w:val="26"/>
        </w:rPr>
        <w:t xml:space="preserve"> issue, the ALJ recommended </w:t>
      </w:r>
      <w:r w:rsidR="002F49DF">
        <w:rPr>
          <w:sz w:val="26"/>
          <w:szCs w:val="26"/>
        </w:rPr>
        <w:t xml:space="preserve">denial of </w:t>
      </w:r>
      <w:r w:rsidR="002C5077">
        <w:rPr>
          <w:sz w:val="26"/>
          <w:szCs w:val="26"/>
        </w:rPr>
        <w:t xml:space="preserve">the </w:t>
      </w:r>
      <w:r w:rsidR="00464FF0">
        <w:rPr>
          <w:sz w:val="26"/>
          <w:szCs w:val="26"/>
        </w:rPr>
        <w:t>m</w:t>
      </w:r>
      <w:r w:rsidR="002C5077">
        <w:rPr>
          <w:sz w:val="26"/>
          <w:szCs w:val="26"/>
        </w:rPr>
        <w:t xml:space="preserve">odification proposed by SEF </w:t>
      </w:r>
      <w:r w:rsidR="00CA2FCC">
        <w:rPr>
          <w:sz w:val="26"/>
          <w:szCs w:val="26"/>
        </w:rPr>
        <w:t xml:space="preserve">that would </w:t>
      </w:r>
      <w:r w:rsidR="002C5077">
        <w:rPr>
          <w:sz w:val="26"/>
          <w:szCs w:val="26"/>
        </w:rPr>
        <w:t xml:space="preserve">require that aggregators for participation in the small system set aside program be </w:t>
      </w:r>
      <w:r w:rsidR="002C5077">
        <w:rPr>
          <w:sz w:val="26"/>
          <w:szCs w:val="26"/>
        </w:rPr>
        <w:lastRenderedPageBreak/>
        <w:t>required to enter long-term contracts with solar renewable energy credit providers</w:t>
      </w:r>
      <w:r w:rsidR="00992DDA">
        <w:rPr>
          <w:sz w:val="26"/>
          <w:szCs w:val="26"/>
        </w:rPr>
        <w:t xml:space="preserve">.  The ALJ </w:t>
      </w:r>
      <w:r w:rsidR="00FD213C">
        <w:rPr>
          <w:sz w:val="26"/>
          <w:szCs w:val="26"/>
        </w:rPr>
        <w:t>conclud</w:t>
      </w:r>
      <w:r w:rsidR="00992DDA">
        <w:rPr>
          <w:sz w:val="26"/>
          <w:szCs w:val="26"/>
        </w:rPr>
        <w:t>ed</w:t>
      </w:r>
      <w:r w:rsidR="00FD213C">
        <w:rPr>
          <w:sz w:val="26"/>
          <w:szCs w:val="26"/>
        </w:rPr>
        <w:t xml:space="preserve"> that SEF failed to sustain its burden of proof.</w:t>
      </w:r>
      <w:r w:rsidR="00221354">
        <w:rPr>
          <w:sz w:val="26"/>
          <w:szCs w:val="26"/>
        </w:rPr>
        <w:t xml:space="preserve"> </w:t>
      </w:r>
    </w:p>
    <w:p w:rsidR="003D05E6" w:rsidRDefault="003D05E6" w:rsidP="00DE0148">
      <w:pPr>
        <w:widowControl/>
        <w:spacing w:line="360" w:lineRule="auto"/>
        <w:rPr>
          <w:sz w:val="26"/>
          <w:szCs w:val="26"/>
        </w:rPr>
      </w:pPr>
    </w:p>
    <w:p w:rsidR="002370BE" w:rsidRPr="00761342" w:rsidRDefault="00761342" w:rsidP="00DE0148">
      <w:pPr>
        <w:widowControl/>
        <w:spacing w:line="360" w:lineRule="auto"/>
        <w:jc w:val="center"/>
        <w:rPr>
          <w:b/>
          <w:sz w:val="26"/>
          <w:szCs w:val="26"/>
        </w:rPr>
      </w:pPr>
      <w:r>
        <w:rPr>
          <w:b/>
          <w:sz w:val="26"/>
          <w:szCs w:val="26"/>
        </w:rPr>
        <w:t>The Joint Partial Settlement</w:t>
      </w:r>
    </w:p>
    <w:p w:rsidR="003D05E6" w:rsidRDefault="003D05E6" w:rsidP="00DE0148">
      <w:pPr>
        <w:widowControl/>
        <w:spacing w:line="360" w:lineRule="auto"/>
        <w:jc w:val="center"/>
        <w:rPr>
          <w:b/>
          <w:sz w:val="26"/>
          <w:szCs w:val="26"/>
          <w:u w:val="single"/>
        </w:rPr>
      </w:pPr>
    </w:p>
    <w:p w:rsidR="00580A66" w:rsidRPr="00580A66" w:rsidRDefault="00580A66" w:rsidP="00DE0148">
      <w:pPr>
        <w:pStyle w:val="ListNumber"/>
        <w:numPr>
          <w:ilvl w:val="0"/>
          <w:numId w:val="0"/>
        </w:numPr>
        <w:spacing w:line="360" w:lineRule="auto"/>
        <w:ind w:firstLine="1440"/>
        <w:rPr>
          <w:sz w:val="26"/>
          <w:szCs w:val="26"/>
        </w:rPr>
      </w:pPr>
      <w:r w:rsidRPr="00580A66">
        <w:rPr>
          <w:sz w:val="26"/>
          <w:szCs w:val="26"/>
        </w:rPr>
        <w:t>The J</w:t>
      </w:r>
      <w:r w:rsidR="00ED0610">
        <w:rPr>
          <w:sz w:val="26"/>
          <w:szCs w:val="26"/>
        </w:rPr>
        <w:t>oint Petitioners agree that PPL</w:t>
      </w:r>
      <w:r w:rsidRPr="00580A66">
        <w:rPr>
          <w:sz w:val="26"/>
          <w:szCs w:val="26"/>
        </w:rPr>
        <w:t xml:space="preserve">’s request to amend its current DSP Plan to permit </w:t>
      </w:r>
      <w:r w:rsidR="004D7806">
        <w:rPr>
          <w:sz w:val="26"/>
          <w:szCs w:val="26"/>
        </w:rPr>
        <w:t>it</w:t>
      </w:r>
      <w:r w:rsidRPr="00580A66">
        <w:rPr>
          <w:sz w:val="26"/>
          <w:szCs w:val="26"/>
        </w:rPr>
        <w:t xml:space="preserve"> to procure a portion of its SRECs required under the Alternative Energy Portfolio Standards Act over a long term delivery period </w:t>
      </w:r>
      <w:r w:rsidR="00936DBD">
        <w:rPr>
          <w:sz w:val="26"/>
          <w:szCs w:val="26"/>
        </w:rPr>
        <w:t>should be</w:t>
      </w:r>
      <w:r w:rsidRPr="00580A66">
        <w:rPr>
          <w:sz w:val="26"/>
          <w:szCs w:val="26"/>
        </w:rPr>
        <w:t xml:space="preserve"> approved, as described in the Solar Petition and subject to the f</w:t>
      </w:r>
      <w:r w:rsidR="000C2088">
        <w:rPr>
          <w:sz w:val="26"/>
          <w:szCs w:val="26"/>
        </w:rPr>
        <w:t>ollowing terms and conditions:</w:t>
      </w:r>
    </w:p>
    <w:p w:rsidR="00580A66" w:rsidRPr="00580A66" w:rsidRDefault="00580A66" w:rsidP="00DE0148">
      <w:pPr>
        <w:pStyle w:val="ListNumber"/>
        <w:numPr>
          <w:ilvl w:val="0"/>
          <w:numId w:val="0"/>
        </w:numPr>
        <w:spacing w:line="360" w:lineRule="auto"/>
        <w:jc w:val="both"/>
        <w:rPr>
          <w:sz w:val="26"/>
          <w:szCs w:val="26"/>
        </w:rPr>
      </w:pPr>
    </w:p>
    <w:p w:rsidR="00580A66" w:rsidRPr="00580A66" w:rsidRDefault="000C2088" w:rsidP="00DE0148">
      <w:pPr>
        <w:pStyle w:val="ListNumber"/>
        <w:numPr>
          <w:ilvl w:val="0"/>
          <w:numId w:val="0"/>
        </w:numPr>
        <w:spacing w:line="240" w:lineRule="auto"/>
        <w:ind w:left="1440" w:right="1440"/>
        <w:rPr>
          <w:sz w:val="26"/>
          <w:szCs w:val="26"/>
        </w:rPr>
      </w:pPr>
      <w:r>
        <w:rPr>
          <w:sz w:val="26"/>
          <w:szCs w:val="26"/>
        </w:rPr>
        <w:t>(a)</w:t>
      </w:r>
      <w:r>
        <w:rPr>
          <w:sz w:val="26"/>
          <w:szCs w:val="26"/>
        </w:rPr>
        <w:tab/>
      </w:r>
      <w:r w:rsidR="00580A66" w:rsidRPr="00580A66">
        <w:rPr>
          <w:sz w:val="26"/>
          <w:szCs w:val="26"/>
        </w:rPr>
        <w:t>The Company shall use the RFP process, as described in its Solar Petition, to purchase long-term SRECs to meet the SREC requirements of residential customers based upon the purchase of 3,000 SRECs per year, resulting in target quantities of 27,000 SRECs for Solicitation 1 (a delivery period of 9 years), 24,000 SRECs for Solicitation 2 (a delivery period of 8 years), and 21,000 SRECs for Solicitation 3 (a delivery period of 7 years).  These represent initial target quantities that are subject to revision as provided in Section 2.3.2 of the SREC RFP Process and Rules.  The Small C&amp;I and Large C&amp;I procurements for SRECs approved in the DSP Plan Settlement shall remain unchanged.</w:t>
      </w:r>
    </w:p>
    <w:p w:rsidR="00580A66" w:rsidRPr="00580A66" w:rsidRDefault="00580A66" w:rsidP="00DE0148">
      <w:pPr>
        <w:pStyle w:val="ListNumber"/>
        <w:numPr>
          <w:ilvl w:val="0"/>
          <w:numId w:val="0"/>
        </w:numPr>
        <w:spacing w:line="240" w:lineRule="auto"/>
        <w:ind w:left="1440" w:right="1440"/>
        <w:rPr>
          <w:sz w:val="26"/>
          <w:szCs w:val="26"/>
        </w:rPr>
      </w:pPr>
    </w:p>
    <w:p w:rsidR="001B32BE" w:rsidRDefault="000C2088" w:rsidP="00DE0148">
      <w:pPr>
        <w:pStyle w:val="ListNumber"/>
        <w:numPr>
          <w:ilvl w:val="0"/>
          <w:numId w:val="0"/>
        </w:numPr>
        <w:spacing w:line="240" w:lineRule="auto"/>
        <w:ind w:left="1440" w:right="1440"/>
        <w:rPr>
          <w:sz w:val="26"/>
          <w:szCs w:val="26"/>
        </w:rPr>
      </w:pPr>
      <w:r>
        <w:rPr>
          <w:sz w:val="26"/>
          <w:szCs w:val="26"/>
        </w:rPr>
        <w:t>(b)</w:t>
      </w:r>
      <w:r>
        <w:rPr>
          <w:sz w:val="26"/>
          <w:szCs w:val="26"/>
        </w:rPr>
        <w:tab/>
      </w:r>
      <w:r w:rsidR="00580A66" w:rsidRPr="00580A66">
        <w:rPr>
          <w:sz w:val="26"/>
          <w:szCs w:val="26"/>
        </w:rPr>
        <w:t>To reflect the terms and conditions of the Settlement, the Company shall adopt and implement the following, modified consistent with the terms of this Settlement:  (i) the SREC RFP Process and Rules, attached as Appendix A to the Petition; (ii) the SREC SMA, attached as Appendix B to the Petition; (iii) the Addendum to DSP Plan SMA, attached as Appendix C to the Petition; and (iv) the Revisions to Generation Supply Charge-1, attached as Appendix D to the Petition.</w:t>
      </w:r>
    </w:p>
    <w:p w:rsidR="00D141FA" w:rsidRPr="008E4EC3" w:rsidRDefault="00D141FA" w:rsidP="00DE0148">
      <w:pPr>
        <w:pStyle w:val="ListNumber"/>
        <w:numPr>
          <w:ilvl w:val="0"/>
          <w:numId w:val="0"/>
        </w:numPr>
        <w:spacing w:line="240" w:lineRule="auto"/>
        <w:ind w:left="1440" w:right="1440"/>
        <w:rPr>
          <w:sz w:val="26"/>
          <w:szCs w:val="26"/>
        </w:rPr>
      </w:pPr>
    </w:p>
    <w:p w:rsidR="00580A66" w:rsidRDefault="000C2088" w:rsidP="00DE0148">
      <w:pPr>
        <w:pStyle w:val="ListNumber"/>
        <w:numPr>
          <w:ilvl w:val="0"/>
          <w:numId w:val="0"/>
        </w:numPr>
        <w:spacing w:line="240" w:lineRule="auto"/>
        <w:ind w:left="1440" w:right="1440"/>
        <w:rPr>
          <w:sz w:val="26"/>
          <w:szCs w:val="26"/>
        </w:rPr>
      </w:pPr>
      <w:r>
        <w:rPr>
          <w:sz w:val="26"/>
          <w:szCs w:val="26"/>
        </w:rPr>
        <w:t>(c)</w:t>
      </w:r>
      <w:r>
        <w:rPr>
          <w:sz w:val="26"/>
          <w:szCs w:val="26"/>
        </w:rPr>
        <w:tab/>
      </w:r>
      <w:r w:rsidR="00580A66" w:rsidRPr="00580A66">
        <w:rPr>
          <w:sz w:val="26"/>
          <w:szCs w:val="26"/>
        </w:rPr>
        <w:t>The initial solicitation may be undertaken at any time, in the Company’s discretion, following Commission approval of the Settlement.</w:t>
      </w:r>
    </w:p>
    <w:p w:rsidR="008E4EC3" w:rsidRPr="001B32BE" w:rsidRDefault="008E4EC3" w:rsidP="00DE0148">
      <w:pPr>
        <w:pStyle w:val="ListNumber"/>
        <w:numPr>
          <w:ilvl w:val="0"/>
          <w:numId w:val="0"/>
        </w:numPr>
        <w:spacing w:line="240" w:lineRule="auto"/>
        <w:ind w:left="1440" w:right="1440"/>
        <w:rPr>
          <w:sz w:val="26"/>
          <w:szCs w:val="26"/>
        </w:rPr>
      </w:pPr>
    </w:p>
    <w:p w:rsidR="00580A66" w:rsidRPr="00580A66" w:rsidRDefault="000C2088" w:rsidP="00DE0148">
      <w:pPr>
        <w:pStyle w:val="ListNumber"/>
        <w:numPr>
          <w:ilvl w:val="0"/>
          <w:numId w:val="0"/>
        </w:numPr>
        <w:spacing w:line="240" w:lineRule="auto"/>
        <w:ind w:left="1440" w:right="1440"/>
        <w:rPr>
          <w:sz w:val="26"/>
          <w:szCs w:val="26"/>
        </w:rPr>
      </w:pPr>
      <w:r>
        <w:rPr>
          <w:sz w:val="26"/>
          <w:szCs w:val="26"/>
        </w:rPr>
        <w:lastRenderedPageBreak/>
        <w:t>(d)</w:t>
      </w:r>
      <w:r>
        <w:rPr>
          <w:sz w:val="26"/>
          <w:szCs w:val="26"/>
        </w:rPr>
        <w:tab/>
      </w:r>
      <w:r w:rsidR="00580A66" w:rsidRPr="00580A66">
        <w:rPr>
          <w:sz w:val="26"/>
          <w:szCs w:val="26"/>
        </w:rPr>
        <w:t>All DSP Plan transaction confirmations entered into prior to implementation of this long-term SREC procurement process shall remain unchanged and obligations set forth therein, in amount and by customer class, shall continue.</w:t>
      </w:r>
    </w:p>
    <w:p w:rsidR="00580A66" w:rsidRPr="00580A66" w:rsidRDefault="00580A66" w:rsidP="00DE0148">
      <w:pPr>
        <w:pStyle w:val="ListNumber"/>
        <w:numPr>
          <w:ilvl w:val="0"/>
          <w:numId w:val="0"/>
        </w:numPr>
        <w:spacing w:line="240" w:lineRule="auto"/>
        <w:ind w:left="1440" w:right="1440"/>
        <w:rPr>
          <w:sz w:val="26"/>
          <w:szCs w:val="26"/>
        </w:rPr>
      </w:pPr>
    </w:p>
    <w:p w:rsidR="00580A66" w:rsidRDefault="000C2088" w:rsidP="00DE0148">
      <w:pPr>
        <w:pStyle w:val="ListNumber"/>
        <w:numPr>
          <w:ilvl w:val="0"/>
          <w:numId w:val="0"/>
        </w:numPr>
        <w:spacing w:line="240" w:lineRule="auto"/>
        <w:ind w:left="1440" w:right="1440"/>
        <w:rPr>
          <w:sz w:val="26"/>
          <w:szCs w:val="26"/>
        </w:rPr>
      </w:pPr>
      <w:r>
        <w:rPr>
          <w:sz w:val="26"/>
          <w:szCs w:val="26"/>
        </w:rPr>
        <w:t>(e)</w:t>
      </w:r>
      <w:r>
        <w:rPr>
          <w:sz w:val="26"/>
          <w:szCs w:val="26"/>
        </w:rPr>
        <w:tab/>
      </w:r>
      <w:r w:rsidR="00580A66" w:rsidRPr="00580A66">
        <w:rPr>
          <w:sz w:val="26"/>
          <w:szCs w:val="26"/>
        </w:rPr>
        <w:t>Fol</w:t>
      </w:r>
      <w:r w:rsidR="006B455F">
        <w:rPr>
          <w:sz w:val="26"/>
          <w:szCs w:val="26"/>
        </w:rPr>
        <w:t xml:space="preserve">lowing implementation of </w:t>
      </w:r>
      <w:r w:rsidR="00580A66" w:rsidRPr="00580A66">
        <w:rPr>
          <w:sz w:val="26"/>
          <w:szCs w:val="26"/>
        </w:rPr>
        <w:t>this long-term SREC procurement process, the Company shall issue an Addendum to the Default Service SMAs, in the form set forth in Appendix C, to be applicable to Transaction Confirmations issued subsequent to Commission approval of this Settlement.  Pursuant to the Addendum, “Exhibit B” to the SMA shall specify the Seller’s AEPS Obligation for each prospective solicitation.  A form of the modification to “Exhibit B” is attached hereto as Appendix F.  Initially, the Company intends to reduce the percentage obligation of SRECs under the Default Service SMA for procurements related to residential customers to one-half the statutorily required amounts.</w:t>
      </w:r>
    </w:p>
    <w:p w:rsidR="00D141FA" w:rsidRPr="00580A66" w:rsidRDefault="00D141FA" w:rsidP="00DE0148">
      <w:pPr>
        <w:pStyle w:val="ListNumber"/>
        <w:numPr>
          <w:ilvl w:val="0"/>
          <w:numId w:val="0"/>
        </w:numPr>
        <w:spacing w:line="360" w:lineRule="auto"/>
        <w:ind w:left="2880"/>
        <w:rPr>
          <w:sz w:val="26"/>
          <w:szCs w:val="26"/>
        </w:rPr>
      </w:pPr>
    </w:p>
    <w:p w:rsidR="00507ECE" w:rsidRDefault="00E320E4" w:rsidP="00DE0148">
      <w:pPr>
        <w:pStyle w:val="ListNumber"/>
        <w:numPr>
          <w:ilvl w:val="0"/>
          <w:numId w:val="0"/>
        </w:numPr>
        <w:spacing w:line="360" w:lineRule="auto"/>
        <w:jc w:val="both"/>
        <w:rPr>
          <w:sz w:val="26"/>
          <w:szCs w:val="26"/>
        </w:rPr>
      </w:pPr>
      <w:r>
        <w:rPr>
          <w:sz w:val="26"/>
          <w:szCs w:val="26"/>
        </w:rPr>
        <w:t xml:space="preserve">Joint Partial Settlement Petition </w:t>
      </w:r>
      <w:r w:rsidR="00507ECE">
        <w:rPr>
          <w:sz w:val="26"/>
          <w:szCs w:val="26"/>
        </w:rPr>
        <w:t>at 5-6.</w:t>
      </w:r>
    </w:p>
    <w:p w:rsidR="00507ECE" w:rsidRDefault="00507ECE" w:rsidP="00DE0148">
      <w:pPr>
        <w:pStyle w:val="ListNumber"/>
        <w:numPr>
          <w:ilvl w:val="0"/>
          <w:numId w:val="0"/>
        </w:numPr>
        <w:spacing w:line="360" w:lineRule="auto"/>
        <w:jc w:val="both"/>
        <w:rPr>
          <w:sz w:val="26"/>
          <w:szCs w:val="26"/>
        </w:rPr>
      </w:pPr>
    </w:p>
    <w:p w:rsidR="00580A66" w:rsidRPr="00580A66" w:rsidRDefault="00580A66" w:rsidP="00DE0148">
      <w:pPr>
        <w:pStyle w:val="ListNumber"/>
        <w:numPr>
          <w:ilvl w:val="0"/>
          <w:numId w:val="0"/>
        </w:numPr>
        <w:spacing w:line="360" w:lineRule="auto"/>
        <w:ind w:left="1440"/>
        <w:jc w:val="both"/>
        <w:rPr>
          <w:sz w:val="26"/>
          <w:szCs w:val="26"/>
        </w:rPr>
      </w:pPr>
      <w:r w:rsidRPr="00580A66">
        <w:rPr>
          <w:sz w:val="26"/>
          <w:szCs w:val="26"/>
        </w:rPr>
        <w:t>In addition to the foregoing, the Joint Petitioners agree to the following:</w:t>
      </w:r>
    </w:p>
    <w:p w:rsidR="00580A66" w:rsidRPr="00580A66" w:rsidRDefault="00580A66" w:rsidP="00DE0148">
      <w:pPr>
        <w:pStyle w:val="ListNumber"/>
        <w:numPr>
          <w:ilvl w:val="0"/>
          <w:numId w:val="0"/>
        </w:numPr>
        <w:spacing w:line="360" w:lineRule="auto"/>
        <w:jc w:val="both"/>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The independent RFP Manager will submit a confidential solar market benchmarking analysis to the Commission prior to each SREC bid closing date.  The RFP Manager will provide the solar market benchmarking analysis to OCA and PPL (if they so desire), on a confidential basis, five days prior to the date that the analysis is submitted to the Commission.  OCA will have three (3) days to submit, on a confidential basis, any comments on th</w:t>
      </w:r>
      <w:r w:rsidR="00F83033">
        <w:rPr>
          <w:sz w:val="26"/>
          <w:szCs w:val="26"/>
        </w:rPr>
        <w:t xml:space="preserve">e benchmarking analysis to PPL </w:t>
      </w:r>
      <w:r w:rsidRPr="00580A66">
        <w:rPr>
          <w:sz w:val="26"/>
          <w:szCs w:val="26"/>
        </w:rPr>
        <w:t>and the RFP Manager.  The RFP Manager will retain the discretion to take into account or respond to the comments as it believes appropriate in preparation of its report to the Commission on the results of the SREC procurement.  The RFP Manager will append any comments submitted by OCA to its analysis submitted to the Commission.</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lastRenderedPageBreak/>
        <w:t>Bidders must have the ability to deliver, at a minimum, 3,000 SRECs over the contracted delivery period, and meet all other eligibility requirements to participate in these solicitations.</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 xml:space="preserve">PPL will release the average weighted price of the winning bids no later than fourteen (14) calendar days after all executed transaction confirmations for a solicitation have been returned.  The average weighted price will be released regardless of the number of winning bidders, but the number of winning bidders will not be released.  </w:t>
      </w:r>
    </w:p>
    <w:p w:rsidR="00580A66" w:rsidRDefault="00580A66" w:rsidP="00DE0148">
      <w:pPr>
        <w:pStyle w:val="ListNumber"/>
        <w:numPr>
          <w:ilvl w:val="0"/>
          <w:numId w:val="0"/>
        </w:numPr>
        <w:spacing w:line="240" w:lineRule="auto"/>
        <w:ind w:left="1440" w:right="1440"/>
        <w:rPr>
          <w:sz w:val="26"/>
          <w:szCs w:val="26"/>
        </w:rPr>
      </w:pPr>
    </w:p>
    <w:p w:rsidR="00C122EA" w:rsidRPr="00580A66" w:rsidRDefault="00C122EA" w:rsidP="00DE0148">
      <w:pPr>
        <w:pStyle w:val="ListNumber"/>
        <w:numPr>
          <w:ilvl w:val="0"/>
          <w:numId w:val="0"/>
        </w:numPr>
        <w:spacing w:line="240" w:lineRule="auto"/>
        <w:ind w:left="1440" w:right="1440"/>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In any given Compliance Period, a Sell</w:t>
      </w:r>
      <w:r w:rsidR="008B336F">
        <w:rPr>
          <w:sz w:val="26"/>
          <w:szCs w:val="26"/>
        </w:rPr>
        <w:t>er must transfer SRECs into PPL</w:t>
      </w:r>
      <w:r w:rsidRPr="00580A66">
        <w:rPr>
          <w:sz w:val="26"/>
          <w:szCs w:val="26"/>
        </w:rPr>
        <w:t>’s PJM Generation Attributes Tracking System (“GATS”) account in accordance with the following minimum supply schedule:</w:t>
      </w:r>
    </w:p>
    <w:p w:rsidR="008E5723" w:rsidRPr="00580A66" w:rsidRDefault="008E5723" w:rsidP="00DE0148">
      <w:pPr>
        <w:pStyle w:val="ListNumber"/>
        <w:numPr>
          <w:ilvl w:val="0"/>
          <w:numId w:val="0"/>
        </w:numPr>
        <w:spacing w:line="240" w:lineRule="auto"/>
        <w:jc w:val="both"/>
        <w:rPr>
          <w:sz w:val="26"/>
          <w:szCs w:val="26"/>
        </w:rPr>
      </w:pPr>
    </w:p>
    <w:tbl>
      <w:tblPr>
        <w:tblW w:w="0" w:type="auto"/>
        <w:tblLook w:val="01E0"/>
      </w:tblPr>
      <w:tblGrid>
        <w:gridCol w:w="1401"/>
        <w:gridCol w:w="664"/>
        <w:gridCol w:w="657"/>
        <w:gridCol w:w="703"/>
        <w:gridCol w:w="730"/>
        <w:gridCol w:w="651"/>
        <w:gridCol w:w="690"/>
        <w:gridCol w:w="663"/>
        <w:gridCol w:w="651"/>
        <w:gridCol w:w="663"/>
        <w:gridCol w:w="730"/>
        <w:gridCol w:w="690"/>
        <w:gridCol w:w="683"/>
      </w:tblGrid>
      <w:tr w:rsidR="00580A66" w:rsidRPr="00EA34C1" w:rsidTr="00580A66">
        <w:tc>
          <w:tcPr>
            <w:tcW w:w="1128" w:type="dxa"/>
          </w:tcPr>
          <w:p w:rsidR="00580A66" w:rsidRPr="00580A66" w:rsidRDefault="00580A66" w:rsidP="00DE0148">
            <w:pPr>
              <w:pStyle w:val="ListNumber"/>
              <w:numPr>
                <w:ilvl w:val="0"/>
                <w:numId w:val="0"/>
              </w:numPr>
              <w:spacing w:before="120" w:after="120" w:line="240" w:lineRule="auto"/>
              <w:jc w:val="center"/>
              <w:rPr>
                <w:b/>
                <w:sz w:val="26"/>
                <w:szCs w:val="26"/>
              </w:rPr>
            </w:pPr>
          </w:p>
        </w:tc>
        <w:tc>
          <w:tcPr>
            <w:tcW w:w="706" w:type="dxa"/>
          </w:tcPr>
          <w:p w:rsidR="00580A66" w:rsidRPr="00EA34C1" w:rsidRDefault="00580A66" w:rsidP="00DE0148">
            <w:pPr>
              <w:pStyle w:val="ListNumber"/>
              <w:numPr>
                <w:ilvl w:val="0"/>
                <w:numId w:val="0"/>
              </w:numPr>
              <w:spacing w:before="120" w:after="120" w:line="240" w:lineRule="auto"/>
              <w:jc w:val="center"/>
              <w:rPr>
                <w:b/>
              </w:rPr>
            </w:pPr>
            <w:r w:rsidRPr="00EA34C1">
              <w:rPr>
                <w:b/>
              </w:rPr>
              <w:t>Jun.</w:t>
            </w:r>
          </w:p>
        </w:tc>
        <w:tc>
          <w:tcPr>
            <w:tcW w:w="706" w:type="dxa"/>
          </w:tcPr>
          <w:p w:rsidR="00580A66" w:rsidRPr="00EA34C1" w:rsidRDefault="00580A66" w:rsidP="00DE0148">
            <w:pPr>
              <w:pStyle w:val="ListNumber"/>
              <w:numPr>
                <w:ilvl w:val="0"/>
                <w:numId w:val="0"/>
              </w:numPr>
              <w:spacing w:before="120" w:after="120" w:line="240" w:lineRule="auto"/>
              <w:jc w:val="center"/>
              <w:rPr>
                <w:b/>
              </w:rPr>
            </w:pPr>
            <w:r w:rsidRPr="00EA34C1">
              <w:rPr>
                <w:b/>
              </w:rPr>
              <w:t>Jul.</w:t>
            </w:r>
          </w:p>
        </w:tc>
        <w:tc>
          <w:tcPr>
            <w:tcW w:w="707" w:type="dxa"/>
          </w:tcPr>
          <w:p w:rsidR="00580A66" w:rsidRPr="00EA34C1" w:rsidRDefault="00580A66" w:rsidP="00DE0148">
            <w:pPr>
              <w:pStyle w:val="ListNumber"/>
              <w:numPr>
                <w:ilvl w:val="0"/>
                <w:numId w:val="0"/>
              </w:numPr>
              <w:spacing w:before="120" w:after="120" w:line="240" w:lineRule="auto"/>
              <w:jc w:val="center"/>
              <w:rPr>
                <w:b/>
              </w:rPr>
            </w:pPr>
            <w:r w:rsidRPr="00EA34C1">
              <w:rPr>
                <w:b/>
              </w:rPr>
              <w:t>Aug.</w:t>
            </w:r>
          </w:p>
        </w:tc>
        <w:tc>
          <w:tcPr>
            <w:tcW w:w="709" w:type="dxa"/>
          </w:tcPr>
          <w:p w:rsidR="00580A66" w:rsidRPr="00EA34C1" w:rsidRDefault="00580A66" w:rsidP="00DE0148">
            <w:pPr>
              <w:pStyle w:val="ListNumber"/>
              <w:numPr>
                <w:ilvl w:val="0"/>
                <w:numId w:val="0"/>
              </w:numPr>
              <w:spacing w:before="120" w:after="120" w:line="240" w:lineRule="auto"/>
              <w:jc w:val="center"/>
              <w:rPr>
                <w:b/>
              </w:rPr>
            </w:pPr>
            <w:r w:rsidRPr="00EA34C1">
              <w:rPr>
                <w:b/>
              </w:rPr>
              <w:t>Sept.</w:t>
            </w:r>
          </w:p>
        </w:tc>
        <w:tc>
          <w:tcPr>
            <w:tcW w:w="697" w:type="dxa"/>
          </w:tcPr>
          <w:p w:rsidR="00580A66" w:rsidRPr="00EA34C1" w:rsidRDefault="00580A66" w:rsidP="00DE0148">
            <w:pPr>
              <w:pStyle w:val="ListNumber"/>
              <w:numPr>
                <w:ilvl w:val="0"/>
                <w:numId w:val="0"/>
              </w:numPr>
              <w:spacing w:before="120" w:after="120" w:line="240" w:lineRule="auto"/>
              <w:jc w:val="center"/>
              <w:rPr>
                <w:b/>
              </w:rPr>
            </w:pPr>
            <w:r w:rsidRPr="00EA34C1">
              <w:rPr>
                <w:b/>
              </w:rPr>
              <w:t>Oct.</w:t>
            </w:r>
          </w:p>
        </w:tc>
        <w:tc>
          <w:tcPr>
            <w:tcW w:w="703" w:type="dxa"/>
          </w:tcPr>
          <w:p w:rsidR="00580A66" w:rsidRPr="00EA34C1" w:rsidRDefault="00580A66" w:rsidP="00DE0148">
            <w:pPr>
              <w:pStyle w:val="ListNumber"/>
              <w:numPr>
                <w:ilvl w:val="0"/>
                <w:numId w:val="0"/>
              </w:numPr>
              <w:spacing w:before="120" w:after="120" w:line="240" w:lineRule="auto"/>
              <w:jc w:val="center"/>
              <w:rPr>
                <w:b/>
              </w:rPr>
            </w:pPr>
            <w:r w:rsidRPr="00EA34C1">
              <w:rPr>
                <w:b/>
              </w:rPr>
              <w:t>Nov.</w:t>
            </w:r>
          </w:p>
        </w:tc>
        <w:tc>
          <w:tcPr>
            <w:tcW w:w="699" w:type="dxa"/>
          </w:tcPr>
          <w:p w:rsidR="00580A66" w:rsidRPr="00EA34C1" w:rsidRDefault="00580A66" w:rsidP="00DE0148">
            <w:pPr>
              <w:pStyle w:val="ListNumber"/>
              <w:numPr>
                <w:ilvl w:val="0"/>
                <w:numId w:val="0"/>
              </w:numPr>
              <w:spacing w:before="120" w:after="120" w:line="240" w:lineRule="auto"/>
              <w:jc w:val="center"/>
              <w:rPr>
                <w:b/>
              </w:rPr>
            </w:pPr>
            <w:r w:rsidRPr="00EA34C1">
              <w:rPr>
                <w:b/>
              </w:rPr>
              <w:t>Dec.</w:t>
            </w:r>
          </w:p>
        </w:tc>
        <w:tc>
          <w:tcPr>
            <w:tcW w:w="697" w:type="dxa"/>
          </w:tcPr>
          <w:p w:rsidR="00580A66" w:rsidRPr="00EA34C1" w:rsidRDefault="00580A66" w:rsidP="00DE0148">
            <w:pPr>
              <w:pStyle w:val="ListNumber"/>
              <w:numPr>
                <w:ilvl w:val="0"/>
                <w:numId w:val="0"/>
              </w:numPr>
              <w:spacing w:before="120" w:after="120" w:line="240" w:lineRule="auto"/>
              <w:jc w:val="center"/>
              <w:rPr>
                <w:b/>
              </w:rPr>
            </w:pPr>
            <w:r w:rsidRPr="00EA34C1">
              <w:rPr>
                <w:b/>
              </w:rPr>
              <w:t>Jan.</w:t>
            </w:r>
          </w:p>
        </w:tc>
        <w:tc>
          <w:tcPr>
            <w:tcW w:w="699" w:type="dxa"/>
          </w:tcPr>
          <w:p w:rsidR="00580A66" w:rsidRPr="00EA34C1" w:rsidRDefault="00580A66" w:rsidP="00DE0148">
            <w:pPr>
              <w:pStyle w:val="ListNumber"/>
              <w:numPr>
                <w:ilvl w:val="0"/>
                <w:numId w:val="0"/>
              </w:numPr>
              <w:spacing w:before="120" w:after="120" w:line="240" w:lineRule="auto"/>
              <w:jc w:val="center"/>
              <w:rPr>
                <w:b/>
              </w:rPr>
            </w:pPr>
            <w:r w:rsidRPr="00EA34C1">
              <w:rPr>
                <w:b/>
              </w:rPr>
              <w:t>Feb.</w:t>
            </w:r>
          </w:p>
        </w:tc>
        <w:tc>
          <w:tcPr>
            <w:tcW w:w="710" w:type="dxa"/>
          </w:tcPr>
          <w:p w:rsidR="00580A66" w:rsidRPr="00EA34C1" w:rsidRDefault="00580A66" w:rsidP="00DE0148">
            <w:pPr>
              <w:pStyle w:val="ListNumber"/>
              <w:numPr>
                <w:ilvl w:val="0"/>
                <w:numId w:val="0"/>
              </w:numPr>
              <w:spacing w:before="120" w:after="120" w:line="240" w:lineRule="auto"/>
              <w:jc w:val="center"/>
              <w:rPr>
                <w:b/>
              </w:rPr>
            </w:pPr>
            <w:r w:rsidRPr="00EA34C1">
              <w:rPr>
                <w:b/>
              </w:rPr>
              <w:t>Mar.</w:t>
            </w:r>
          </w:p>
        </w:tc>
        <w:tc>
          <w:tcPr>
            <w:tcW w:w="703" w:type="dxa"/>
          </w:tcPr>
          <w:p w:rsidR="00580A66" w:rsidRPr="00EA34C1" w:rsidRDefault="00580A66" w:rsidP="00DE0148">
            <w:pPr>
              <w:pStyle w:val="ListNumber"/>
              <w:numPr>
                <w:ilvl w:val="0"/>
                <w:numId w:val="0"/>
              </w:numPr>
              <w:spacing w:before="120" w:after="120" w:line="240" w:lineRule="auto"/>
              <w:jc w:val="center"/>
              <w:rPr>
                <w:b/>
              </w:rPr>
            </w:pPr>
            <w:r w:rsidRPr="00EA34C1">
              <w:rPr>
                <w:b/>
              </w:rPr>
              <w:t>Apr.</w:t>
            </w:r>
          </w:p>
        </w:tc>
        <w:tc>
          <w:tcPr>
            <w:tcW w:w="712" w:type="dxa"/>
          </w:tcPr>
          <w:p w:rsidR="00580A66" w:rsidRPr="00EA34C1" w:rsidRDefault="00580A66" w:rsidP="00DE0148">
            <w:pPr>
              <w:pStyle w:val="ListNumber"/>
              <w:numPr>
                <w:ilvl w:val="0"/>
                <w:numId w:val="0"/>
              </w:numPr>
              <w:spacing w:before="120" w:after="120" w:line="240" w:lineRule="auto"/>
              <w:jc w:val="center"/>
              <w:rPr>
                <w:b/>
              </w:rPr>
            </w:pPr>
            <w:r w:rsidRPr="00EA34C1">
              <w:rPr>
                <w:b/>
              </w:rPr>
              <w:t>May</w:t>
            </w:r>
          </w:p>
        </w:tc>
      </w:tr>
      <w:tr w:rsidR="00580A66" w:rsidRPr="00EA34C1" w:rsidTr="00580A66">
        <w:tc>
          <w:tcPr>
            <w:tcW w:w="1128" w:type="dxa"/>
          </w:tcPr>
          <w:p w:rsidR="00580A66" w:rsidRPr="00580A66" w:rsidRDefault="00580A66" w:rsidP="00DE0148">
            <w:pPr>
              <w:pStyle w:val="ListNumber"/>
              <w:numPr>
                <w:ilvl w:val="0"/>
                <w:numId w:val="0"/>
              </w:numPr>
              <w:spacing w:before="120" w:after="120" w:line="240" w:lineRule="auto"/>
              <w:jc w:val="both"/>
              <w:rPr>
                <w:b/>
                <w:sz w:val="26"/>
                <w:szCs w:val="26"/>
              </w:rPr>
            </w:pPr>
            <w:r w:rsidRPr="00580A66">
              <w:rPr>
                <w:b/>
                <w:sz w:val="26"/>
                <w:szCs w:val="26"/>
              </w:rPr>
              <w:t>Percent Obligatio</w:t>
            </w:r>
            <w:r w:rsidR="006B455F">
              <w:rPr>
                <w:b/>
                <w:sz w:val="26"/>
                <w:szCs w:val="26"/>
              </w:rPr>
              <w:t>n</w:t>
            </w:r>
          </w:p>
        </w:tc>
        <w:tc>
          <w:tcPr>
            <w:tcW w:w="706" w:type="dxa"/>
          </w:tcPr>
          <w:p w:rsidR="00580A66" w:rsidRPr="00EA34C1" w:rsidRDefault="00580A66" w:rsidP="00DE0148">
            <w:pPr>
              <w:pStyle w:val="ListNumber"/>
              <w:numPr>
                <w:ilvl w:val="0"/>
                <w:numId w:val="0"/>
              </w:numPr>
              <w:spacing w:before="120" w:after="120" w:line="240" w:lineRule="auto"/>
              <w:jc w:val="center"/>
            </w:pPr>
            <w:r w:rsidRPr="00EA34C1">
              <w:t>10%</w:t>
            </w:r>
          </w:p>
        </w:tc>
        <w:tc>
          <w:tcPr>
            <w:tcW w:w="706" w:type="dxa"/>
          </w:tcPr>
          <w:p w:rsidR="00580A66" w:rsidRPr="00EA34C1" w:rsidRDefault="00580A66" w:rsidP="00DE0148">
            <w:pPr>
              <w:pStyle w:val="ListNumber"/>
              <w:numPr>
                <w:ilvl w:val="0"/>
                <w:numId w:val="0"/>
              </w:numPr>
              <w:spacing w:before="120" w:after="120" w:line="240" w:lineRule="auto"/>
              <w:jc w:val="center"/>
            </w:pPr>
            <w:r w:rsidRPr="00EA34C1">
              <w:t>10%</w:t>
            </w:r>
          </w:p>
        </w:tc>
        <w:tc>
          <w:tcPr>
            <w:tcW w:w="707" w:type="dxa"/>
          </w:tcPr>
          <w:p w:rsidR="00580A66" w:rsidRPr="00EA34C1" w:rsidRDefault="00580A66" w:rsidP="00DE0148">
            <w:pPr>
              <w:pStyle w:val="ListNumber"/>
              <w:numPr>
                <w:ilvl w:val="0"/>
                <w:numId w:val="0"/>
              </w:numPr>
              <w:spacing w:before="120" w:after="120" w:line="240" w:lineRule="auto"/>
              <w:jc w:val="center"/>
            </w:pPr>
            <w:r w:rsidRPr="00EA34C1">
              <w:t>10%</w:t>
            </w:r>
          </w:p>
        </w:tc>
        <w:tc>
          <w:tcPr>
            <w:tcW w:w="709" w:type="dxa"/>
          </w:tcPr>
          <w:p w:rsidR="00580A66" w:rsidRPr="00EA34C1" w:rsidRDefault="00580A66" w:rsidP="00DE0148">
            <w:pPr>
              <w:pStyle w:val="ListNumber"/>
              <w:numPr>
                <w:ilvl w:val="0"/>
                <w:numId w:val="0"/>
              </w:numPr>
              <w:spacing w:before="120" w:after="120" w:line="240" w:lineRule="auto"/>
              <w:jc w:val="center"/>
            </w:pPr>
            <w:r w:rsidRPr="00EA34C1">
              <w:t>9%</w:t>
            </w:r>
          </w:p>
        </w:tc>
        <w:tc>
          <w:tcPr>
            <w:tcW w:w="697" w:type="dxa"/>
          </w:tcPr>
          <w:p w:rsidR="00580A66" w:rsidRPr="00EA34C1" w:rsidRDefault="00580A66" w:rsidP="00DE0148">
            <w:pPr>
              <w:pStyle w:val="ListNumber"/>
              <w:numPr>
                <w:ilvl w:val="0"/>
                <w:numId w:val="0"/>
              </w:numPr>
              <w:spacing w:before="120" w:after="120" w:line="240" w:lineRule="auto"/>
              <w:jc w:val="center"/>
            </w:pPr>
            <w:r w:rsidRPr="00EA34C1">
              <w:t>9%</w:t>
            </w:r>
          </w:p>
        </w:tc>
        <w:tc>
          <w:tcPr>
            <w:tcW w:w="703" w:type="dxa"/>
          </w:tcPr>
          <w:p w:rsidR="00580A66" w:rsidRPr="00EA34C1" w:rsidRDefault="00580A66" w:rsidP="00DE0148">
            <w:pPr>
              <w:pStyle w:val="ListNumber"/>
              <w:numPr>
                <w:ilvl w:val="0"/>
                <w:numId w:val="0"/>
              </w:numPr>
              <w:spacing w:before="120" w:after="120" w:line="240" w:lineRule="auto"/>
              <w:jc w:val="center"/>
            </w:pPr>
            <w:r w:rsidRPr="00EA34C1">
              <w:t>6%</w:t>
            </w:r>
          </w:p>
        </w:tc>
        <w:tc>
          <w:tcPr>
            <w:tcW w:w="699" w:type="dxa"/>
          </w:tcPr>
          <w:p w:rsidR="00580A66" w:rsidRPr="00EA34C1" w:rsidRDefault="00580A66" w:rsidP="00DE0148">
            <w:pPr>
              <w:pStyle w:val="ListNumber"/>
              <w:numPr>
                <w:ilvl w:val="0"/>
                <w:numId w:val="0"/>
              </w:numPr>
              <w:spacing w:before="120" w:after="120" w:line="240" w:lineRule="auto"/>
              <w:jc w:val="center"/>
            </w:pPr>
            <w:r w:rsidRPr="00EA34C1">
              <w:t>6%</w:t>
            </w:r>
          </w:p>
        </w:tc>
        <w:tc>
          <w:tcPr>
            <w:tcW w:w="697" w:type="dxa"/>
          </w:tcPr>
          <w:p w:rsidR="00580A66" w:rsidRPr="00EA34C1" w:rsidRDefault="00580A66" w:rsidP="00DE0148">
            <w:pPr>
              <w:pStyle w:val="ListNumber"/>
              <w:numPr>
                <w:ilvl w:val="0"/>
                <w:numId w:val="0"/>
              </w:numPr>
              <w:spacing w:before="120" w:after="120" w:line="240" w:lineRule="auto"/>
              <w:jc w:val="center"/>
            </w:pPr>
            <w:r w:rsidRPr="00EA34C1">
              <w:t>6%</w:t>
            </w:r>
          </w:p>
        </w:tc>
        <w:tc>
          <w:tcPr>
            <w:tcW w:w="699" w:type="dxa"/>
          </w:tcPr>
          <w:p w:rsidR="00580A66" w:rsidRPr="00EA34C1" w:rsidRDefault="00580A66" w:rsidP="00DE0148">
            <w:pPr>
              <w:pStyle w:val="ListNumber"/>
              <w:numPr>
                <w:ilvl w:val="0"/>
                <w:numId w:val="0"/>
              </w:numPr>
              <w:spacing w:before="120" w:after="120" w:line="240" w:lineRule="auto"/>
              <w:jc w:val="center"/>
            </w:pPr>
            <w:r w:rsidRPr="00EA34C1">
              <w:t>6%</w:t>
            </w:r>
          </w:p>
        </w:tc>
        <w:tc>
          <w:tcPr>
            <w:tcW w:w="710" w:type="dxa"/>
          </w:tcPr>
          <w:p w:rsidR="00580A66" w:rsidRPr="00EA34C1" w:rsidRDefault="00580A66" w:rsidP="00DE0148">
            <w:pPr>
              <w:pStyle w:val="ListNumber"/>
              <w:numPr>
                <w:ilvl w:val="0"/>
                <w:numId w:val="0"/>
              </w:numPr>
              <w:spacing w:before="120" w:after="120" w:line="240" w:lineRule="auto"/>
              <w:jc w:val="center"/>
            </w:pPr>
            <w:r w:rsidRPr="00EA34C1">
              <w:t>9%</w:t>
            </w:r>
          </w:p>
        </w:tc>
        <w:tc>
          <w:tcPr>
            <w:tcW w:w="703" w:type="dxa"/>
          </w:tcPr>
          <w:p w:rsidR="00580A66" w:rsidRPr="00EA34C1" w:rsidRDefault="00580A66" w:rsidP="00DE0148">
            <w:pPr>
              <w:pStyle w:val="ListNumber"/>
              <w:numPr>
                <w:ilvl w:val="0"/>
                <w:numId w:val="0"/>
              </w:numPr>
              <w:spacing w:before="120" w:after="120" w:line="240" w:lineRule="auto"/>
              <w:jc w:val="center"/>
            </w:pPr>
            <w:r w:rsidRPr="00EA34C1">
              <w:t>9%</w:t>
            </w:r>
          </w:p>
        </w:tc>
        <w:tc>
          <w:tcPr>
            <w:tcW w:w="712" w:type="dxa"/>
          </w:tcPr>
          <w:p w:rsidR="00580A66" w:rsidRPr="00EA34C1" w:rsidRDefault="00580A66" w:rsidP="00DE0148">
            <w:pPr>
              <w:pStyle w:val="ListNumber"/>
              <w:numPr>
                <w:ilvl w:val="0"/>
                <w:numId w:val="0"/>
              </w:numPr>
              <w:spacing w:before="120" w:after="120" w:line="240" w:lineRule="auto"/>
              <w:jc w:val="center"/>
            </w:pPr>
            <w:r w:rsidRPr="00EA34C1">
              <w:t>10%</w:t>
            </w:r>
          </w:p>
        </w:tc>
      </w:tr>
    </w:tbl>
    <w:p w:rsidR="00580A66" w:rsidRPr="00580A66" w:rsidRDefault="00580A66" w:rsidP="00DE0148">
      <w:pPr>
        <w:widowControl/>
        <w:ind w:left="1440" w:right="1440"/>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Sellers may transfer excess credits, above the minimum monthly required percentage, but not to exceed 200% of the required monthly percentage.  Excess credits will be applied to future monthly obligations on a rolling basis.  The aggregate quantity of SRECs transferred may not exceed the annual obligation for a Compliance Period.  No credits may be transferred to PPL in advance of a future Compliance Period.  Sellers will be paid for actual SRECs delivered.</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Article 2.3(c) of the SMA shall be revised to read as follows:</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580A66" w:rsidP="00DE0148">
      <w:pPr>
        <w:pStyle w:val="IndentDouble"/>
        <w:spacing w:after="0" w:line="240" w:lineRule="auto"/>
        <w:ind w:left="1440" w:right="1440"/>
        <w:jc w:val="left"/>
        <w:rPr>
          <w:sz w:val="26"/>
          <w:szCs w:val="26"/>
        </w:rPr>
      </w:pPr>
      <w:r w:rsidRPr="00580A66">
        <w:rPr>
          <w:sz w:val="26"/>
          <w:szCs w:val="26"/>
        </w:rPr>
        <w:t>Within 70 days after the end of each calendar month during the Delivery Period, but not to exceed 50 days after the end of the Delivery Period per Article 2.3 (e), the Seller shall transfer SRECs into the Buyer’s GATS account(s) in an amount commensurate with Specified Amount provided by the Seller during said calendar month.</w:t>
      </w:r>
    </w:p>
    <w:p w:rsidR="00580A66" w:rsidRPr="00580A66" w:rsidRDefault="00580A66" w:rsidP="00DE0148">
      <w:pPr>
        <w:pStyle w:val="BodyText"/>
        <w:spacing w:after="0" w:line="240" w:lineRule="auto"/>
        <w:ind w:left="1440" w:right="1440" w:firstLine="0"/>
        <w:jc w:val="left"/>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lastRenderedPageBreak/>
        <w:t>Article 3.1 of the SREC SMA shall be revised to read as follows:</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580A66" w:rsidP="00DE0148">
      <w:pPr>
        <w:pStyle w:val="IndentDouble"/>
        <w:spacing w:after="0" w:line="240" w:lineRule="auto"/>
        <w:ind w:left="1800" w:right="1800"/>
        <w:jc w:val="left"/>
        <w:rPr>
          <w:sz w:val="26"/>
          <w:szCs w:val="26"/>
        </w:rPr>
      </w:pPr>
      <w:r w:rsidRPr="00580A66">
        <w:rPr>
          <w:sz w:val="26"/>
          <w:szCs w:val="26"/>
        </w:rPr>
        <w:t>3.1</w:t>
      </w:r>
      <w:r w:rsidRPr="00580A66">
        <w:rPr>
          <w:sz w:val="26"/>
          <w:szCs w:val="26"/>
        </w:rPr>
        <w:tab/>
      </w:r>
      <w:r w:rsidRPr="00580A66">
        <w:rPr>
          <w:i/>
          <w:sz w:val="26"/>
          <w:szCs w:val="26"/>
        </w:rPr>
        <w:t xml:space="preserve">Recovery of SREC Costs.  </w:t>
      </w:r>
      <w:r w:rsidRPr="00580A66">
        <w:rPr>
          <w:sz w:val="26"/>
          <w:szCs w:val="26"/>
        </w:rPr>
        <w:t xml:space="preserve"> Buyer’s obligations under this agreement are premised upon Buyer’s ability to recover all costs incurred by it under this Agreement from its retail customers in full on a current basis, as recognized by the AEPS Act.  In the event that the Buyer has previously filed for and received regulatory approval for the SREC procurement plan underlying this Agreement, and any subsequent Order of the Pennsylvania Public Utility Commission has the effect of suspending, limiting, or denying Buyer’s ability to recover fully such costs from its retail customers on a current basis, Buyer may exercise one of the following two options, but only after undertaking reasonable best efforts to challenge such action before the Pennsylvania Public Utility Commission: </w:t>
      </w:r>
    </w:p>
    <w:p w:rsidR="00580A66" w:rsidRPr="00580A66" w:rsidRDefault="00580A66" w:rsidP="00DE0148">
      <w:pPr>
        <w:pStyle w:val="BodyText"/>
        <w:spacing w:after="0" w:line="240" w:lineRule="auto"/>
        <w:ind w:left="1800" w:right="1800" w:firstLine="0"/>
        <w:jc w:val="left"/>
        <w:rPr>
          <w:sz w:val="26"/>
          <w:szCs w:val="26"/>
        </w:rPr>
      </w:pPr>
    </w:p>
    <w:p w:rsidR="00580A66" w:rsidRPr="00580A66" w:rsidRDefault="00E23100" w:rsidP="00DE0148">
      <w:pPr>
        <w:pStyle w:val="IndentDouble"/>
        <w:spacing w:after="0" w:line="240" w:lineRule="auto"/>
        <w:ind w:left="1800" w:right="1800"/>
        <w:jc w:val="left"/>
        <w:rPr>
          <w:sz w:val="26"/>
          <w:szCs w:val="26"/>
        </w:rPr>
      </w:pPr>
      <w:r>
        <w:rPr>
          <w:sz w:val="26"/>
          <w:szCs w:val="26"/>
        </w:rPr>
        <w:tab/>
        <w:t xml:space="preserve">(1) </w:t>
      </w:r>
      <w:proofErr w:type="gramStart"/>
      <w:r w:rsidR="00580A66" w:rsidRPr="00580A66">
        <w:rPr>
          <w:sz w:val="26"/>
          <w:szCs w:val="26"/>
        </w:rPr>
        <w:t>terminate</w:t>
      </w:r>
      <w:proofErr w:type="gramEnd"/>
      <w:r w:rsidR="00580A66" w:rsidRPr="00580A66">
        <w:rPr>
          <w:sz w:val="26"/>
          <w:szCs w:val="26"/>
        </w:rPr>
        <w:t xml:space="preserve"> this Agreement upon 30 calendar days notice; or </w:t>
      </w:r>
    </w:p>
    <w:p w:rsidR="00580A66" w:rsidRPr="00580A66" w:rsidRDefault="00580A66" w:rsidP="00DE0148">
      <w:pPr>
        <w:pStyle w:val="BodyText"/>
        <w:spacing w:after="0" w:line="240" w:lineRule="auto"/>
        <w:ind w:left="1800" w:right="1800" w:firstLine="0"/>
        <w:jc w:val="left"/>
        <w:rPr>
          <w:sz w:val="26"/>
          <w:szCs w:val="26"/>
        </w:rPr>
      </w:pPr>
    </w:p>
    <w:p w:rsidR="00580A66" w:rsidRDefault="00580A66" w:rsidP="00DE0148">
      <w:pPr>
        <w:pStyle w:val="IndentDouble"/>
        <w:spacing w:after="0" w:line="240" w:lineRule="auto"/>
        <w:ind w:left="1800" w:right="1800"/>
        <w:jc w:val="left"/>
        <w:rPr>
          <w:sz w:val="26"/>
          <w:szCs w:val="26"/>
          <w:highlight w:val="green"/>
        </w:rPr>
      </w:pPr>
      <w:r w:rsidRPr="00580A66">
        <w:rPr>
          <w:sz w:val="26"/>
          <w:szCs w:val="26"/>
        </w:rPr>
        <w:tab/>
        <w:t xml:space="preserve">(2) </w:t>
      </w:r>
      <w:proofErr w:type="gramStart"/>
      <w:r w:rsidRPr="00580A66">
        <w:rPr>
          <w:sz w:val="26"/>
          <w:szCs w:val="26"/>
        </w:rPr>
        <w:t>elect</w:t>
      </w:r>
      <w:proofErr w:type="gramEnd"/>
      <w:r w:rsidRPr="00580A66">
        <w:rPr>
          <w:sz w:val="26"/>
          <w:szCs w:val="26"/>
        </w:rPr>
        <w:t xml:space="preserve"> to continue performing under the Agreement and pay the Seller only the costs for the SRECs which the Buyer is permitted to recover on a current basis from its retail customers.  However, if Buyer elects to reduce its payments under this Agreement to that which it is permitted to recover on a current basis from its retail customers as a result of an action of the Public Utility Commission, Seller may terminate this Agreement upon not less than 30 calendar days notice.</w:t>
      </w:r>
      <w:r w:rsidRPr="00580A66">
        <w:rPr>
          <w:sz w:val="26"/>
          <w:szCs w:val="26"/>
          <w:highlight w:val="green"/>
        </w:rPr>
        <w:t xml:space="preserve"> </w:t>
      </w:r>
    </w:p>
    <w:p w:rsidR="001B32BE" w:rsidRPr="001B32BE" w:rsidRDefault="001B32BE" w:rsidP="00DE0148">
      <w:pPr>
        <w:pStyle w:val="BodyText"/>
        <w:spacing w:line="240" w:lineRule="auto"/>
        <w:ind w:left="1440" w:right="1440" w:firstLine="0"/>
        <w:jc w:val="left"/>
        <w:rPr>
          <w:highlight w:val="green"/>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Article 12.3 of the SREC SMA shall be revised to read as follows:</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580A66" w:rsidP="00DE0148">
      <w:pPr>
        <w:pStyle w:val="ListNumber"/>
        <w:numPr>
          <w:ilvl w:val="0"/>
          <w:numId w:val="0"/>
        </w:numPr>
        <w:spacing w:line="240" w:lineRule="auto"/>
        <w:ind w:left="1800" w:right="1800"/>
        <w:rPr>
          <w:sz w:val="26"/>
          <w:szCs w:val="26"/>
        </w:rPr>
      </w:pPr>
      <w:r w:rsidRPr="00580A66">
        <w:rPr>
          <w:rStyle w:val="Heading2Char"/>
          <w:i/>
          <w:szCs w:val="26"/>
          <w:u w:val="single"/>
        </w:rPr>
        <w:t>Unsecured Credit</w:t>
      </w:r>
      <w:r w:rsidRPr="00580A66">
        <w:rPr>
          <w:sz w:val="26"/>
          <w:szCs w:val="26"/>
        </w:rPr>
        <w:t xml:space="preserve">. During the term of this Agreement, Buyer shall extend, solely with respect to the Performance Assurance set forth in Section 12.1 (Requirement for Performance Assurance), Unsecured Credit, as defined in Article 1 of this Agreement, to </w:t>
      </w:r>
      <w:r w:rsidRPr="00580A66">
        <w:rPr>
          <w:sz w:val="26"/>
          <w:szCs w:val="26"/>
        </w:rPr>
        <w:lastRenderedPageBreak/>
        <w:t xml:space="preserve">Seller in an amount initially determined on the Effective Date and redetermined each Business Day thereafter pursuant to this Section 12.3. </w:t>
      </w:r>
    </w:p>
    <w:p w:rsidR="00580A66" w:rsidRPr="00580A66" w:rsidRDefault="00580A66" w:rsidP="00DE0148">
      <w:pPr>
        <w:pStyle w:val="CM13"/>
        <w:keepNext/>
        <w:keepLines/>
        <w:widowControl/>
        <w:spacing w:line="240" w:lineRule="auto"/>
        <w:ind w:left="1800" w:right="1800"/>
        <w:rPr>
          <w:sz w:val="26"/>
          <w:szCs w:val="26"/>
        </w:rPr>
      </w:pPr>
    </w:p>
    <w:p w:rsidR="00580A66" w:rsidRPr="00580A66" w:rsidRDefault="00580A66" w:rsidP="00DE0148">
      <w:pPr>
        <w:pStyle w:val="CM54"/>
        <w:widowControl/>
        <w:spacing w:after="0"/>
        <w:ind w:left="1800" w:right="1800"/>
        <w:rPr>
          <w:sz w:val="26"/>
          <w:szCs w:val="26"/>
        </w:rPr>
      </w:pPr>
      <w:r w:rsidRPr="00580A66">
        <w:rPr>
          <w:sz w:val="26"/>
          <w:szCs w:val="26"/>
        </w:rPr>
        <w:t xml:space="preserve">For purposes of determining Unsecured Credit for Sellers with credit ratings, the relevant Unsecured Credit Limit for Aggregate Transactions shall not exceed the Unsecured Credit Limit listed in the following table that corresponds to Seller’s (or Seller’s Guarantor’s) lowest Credit Rating most recently published by S&amp;P, Fitch and/or Moody’s. The relevant </w:t>
      </w:r>
      <w:r w:rsidR="00C37FD5">
        <w:rPr>
          <w:sz w:val="26"/>
          <w:szCs w:val="26"/>
        </w:rPr>
        <w:t>Tangible Net Worth (</w:t>
      </w:r>
      <w:r w:rsidRPr="00580A66">
        <w:rPr>
          <w:sz w:val="26"/>
          <w:szCs w:val="26"/>
        </w:rPr>
        <w:t>TNW</w:t>
      </w:r>
      <w:r w:rsidR="00C37FD5">
        <w:rPr>
          <w:sz w:val="26"/>
          <w:szCs w:val="26"/>
        </w:rPr>
        <w:t>)</w:t>
      </w:r>
      <w:r w:rsidRPr="00580A66">
        <w:rPr>
          <w:sz w:val="26"/>
          <w:szCs w:val="26"/>
        </w:rPr>
        <w:t xml:space="preserve"> Amount shall be calculated using the TNW Percentage listed in the following table that corresponds to Seller’s (or Seller’s Guarantor’s) lowest Credit Rating most recently published by S&amp;P, Fitch and/or Moody’s.  </w:t>
      </w:r>
    </w:p>
    <w:p w:rsidR="001B32BE" w:rsidRPr="00580A66" w:rsidRDefault="001B32BE" w:rsidP="00DE0148">
      <w:pPr>
        <w:pStyle w:val="Default"/>
        <w:widowControl/>
        <w:spacing w:line="360" w:lineRule="auto"/>
        <w:rPr>
          <w:sz w:val="26"/>
          <w:szCs w:val="26"/>
        </w:rPr>
      </w:pPr>
    </w:p>
    <w:tbl>
      <w:tblPr>
        <w:tblpPr w:leftFromText="180" w:rightFromText="180" w:vertAnchor="text" w:tblpXSpec="center" w:tblpY="1"/>
        <w:tblOverlap w:val="never"/>
        <w:tblW w:w="7110" w:type="dxa"/>
        <w:tblLayout w:type="fixed"/>
        <w:tblLook w:val="0000"/>
      </w:tblPr>
      <w:tblGrid>
        <w:gridCol w:w="945"/>
        <w:gridCol w:w="236"/>
        <w:gridCol w:w="1354"/>
        <w:gridCol w:w="1233"/>
        <w:gridCol w:w="1470"/>
        <w:gridCol w:w="1872"/>
      </w:tblGrid>
      <w:tr w:rsidR="00580A66" w:rsidRPr="00580A66" w:rsidTr="00E56952">
        <w:trPr>
          <w:trHeight w:val="555"/>
        </w:trPr>
        <w:tc>
          <w:tcPr>
            <w:tcW w:w="3768" w:type="dxa"/>
            <w:gridSpan w:val="4"/>
            <w:tcBorders>
              <w:top w:val="double" w:sz="4" w:space="0" w:color="auto"/>
              <w:left w:val="double" w:sz="4" w:space="0" w:color="auto"/>
              <w:bottom w:val="double" w:sz="4" w:space="0" w:color="auto"/>
              <w:right w:val="double" w:sz="4" w:space="0" w:color="auto"/>
            </w:tcBorders>
            <w:shd w:val="clear" w:color="auto" w:fill="CCCCCC"/>
            <w:vAlign w:val="center"/>
          </w:tcPr>
          <w:p w:rsidR="00580A66" w:rsidRPr="00580A66" w:rsidRDefault="00580A66" w:rsidP="00DE0148">
            <w:pPr>
              <w:pStyle w:val="Default"/>
              <w:keepNext/>
              <w:keepLines/>
              <w:widowControl/>
              <w:jc w:val="center"/>
              <w:rPr>
                <w:color w:val="auto"/>
                <w:sz w:val="26"/>
                <w:szCs w:val="26"/>
              </w:rPr>
            </w:pPr>
            <w:r w:rsidRPr="00580A66">
              <w:rPr>
                <w:b/>
                <w:bCs/>
                <w:sz w:val="26"/>
                <w:szCs w:val="26"/>
              </w:rPr>
              <w:t>CREDIT RATING</w:t>
            </w:r>
          </w:p>
        </w:tc>
        <w:tc>
          <w:tcPr>
            <w:tcW w:w="3342" w:type="dxa"/>
            <w:gridSpan w:val="2"/>
            <w:tcBorders>
              <w:top w:val="double" w:sz="4" w:space="0" w:color="auto"/>
              <w:left w:val="double" w:sz="4" w:space="0" w:color="auto"/>
              <w:bottom w:val="double" w:sz="4" w:space="0" w:color="auto"/>
              <w:right w:val="double" w:sz="4" w:space="0" w:color="auto"/>
            </w:tcBorders>
            <w:shd w:val="clear" w:color="auto" w:fill="CCCCCC"/>
            <w:vAlign w:val="center"/>
          </w:tcPr>
          <w:p w:rsidR="00580A66" w:rsidRPr="00580A66" w:rsidRDefault="00580A66" w:rsidP="00DE0148">
            <w:pPr>
              <w:pStyle w:val="Default"/>
              <w:keepNext/>
              <w:keepLines/>
              <w:widowControl/>
              <w:jc w:val="center"/>
              <w:rPr>
                <w:color w:val="auto"/>
                <w:sz w:val="26"/>
                <w:szCs w:val="26"/>
              </w:rPr>
            </w:pPr>
          </w:p>
        </w:tc>
      </w:tr>
      <w:tr w:rsidR="00580A66" w:rsidRPr="00580A66" w:rsidTr="00B30615">
        <w:trPr>
          <w:trHeight w:val="555"/>
        </w:trPr>
        <w:tc>
          <w:tcPr>
            <w:tcW w:w="945" w:type="dxa"/>
            <w:tcBorders>
              <w:top w:val="double" w:sz="4" w:space="0" w:color="auto"/>
              <w:left w:val="double" w:sz="4" w:space="0" w:color="auto"/>
              <w:bottom w:val="double" w:sz="4" w:space="0" w:color="auto"/>
              <w:right w:val="nil"/>
            </w:tcBorders>
            <w:vAlign w:val="center"/>
          </w:tcPr>
          <w:p w:rsidR="00580A66" w:rsidRPr="00580A66" w:rsidRDefault="00580A66" w:rsidP="00DE0148">
            <w:pPr>
              <w:pStyle w:val="Default"/>
              <w:keepNext/>
              <w:keepLines/>
              <w:widowControl/>
              <w:jc w:val="center"/>
              <w:rPr>
                <w:sz w:val="26"/>
                <w:szCs w:val="26"/>
              </w:rPr>
            </w:pPr>
            <w:r w:rsidRPr="00580A66">
              <w:rPr>
                <w:b/>
                <w:bCs/>
                <w:sz w:val="26"/>
                <w:szCs w:val="26"/>
              </w:rPr>
              <w:t xml:space="preserve">S&amp;P </w:t>
            </w:r>
          </w:p>
        </w:tc>
        <w:tc>
          <w:tcPr>
            <w:tcW w:w="236" w:type="dxa"/>
            <w:tcBorders>
              <w:top w:val="double" w:sz="4" w:space="0" w:color="auto"/>
              <w:left w:val="nil"/>
              <w:bottom w:val="double" w:sz="4" w:space="0" w:color="auto"/>
              <w:right w:val="single" w:sz="6" w:space="0" w:color="000000"/>
            </w:tcBorders>
          </w:tcPr>
          <w:p w:rsidR="00580A66" w:rsidRPr="00580A66" w:rsidRDefault="00580A66" w:rsidP="00DE0148">
            <w:pPr>
              <w:pStyle w:val="Default"/>
              <w:keepNext/>
              <w:keepLines/>
              <w:widowControl/>
              <w:rPr>
                <w:color w:val="auto"/>
                <w:sz w:val="26"/>
                <w:szCs w:val="26"/>
              </w:rPr>
            </w:pPr>
          </w:p>
        </w:tc>
        <w:tc>
          <w:tcPr>
            <w:tcW w:w="1354" w:type="dxa"/>
            <w:tcBorders>
              <w:top w:val="double" w:sz="4" w:space="0" w:color="auto"/>
              <w:left w:val="single" w:sz="6" w:space="0" w:color="000000"/>
              <w:bottom w:val="double" w:sz="4" w:space="0" w:color="auto"/>
              <w:right w:val="single" w:sz="6" w:space="0" w:color="000000"/>
            </w:tcBorders>
            <w:vAlign w:val="center"/>
          </w:tcPr>
          <w:p w:rsidR="00580A66" w:rsidRPr="00580A66" w:rsidRDefault="00580A66" w:rsidP="00DE0148">
            <w:pPr>
              <w:pStyle w:val="Default"/>
              <w:keepNext/>
              <w:keepLines/>
              <w:widowControl/>
              <w:jc w:val="center"/>
              <w:rPr>
                <w:sz w:val="26"/>
                <w:szCs w:val="26"/>
              </w:rPr>
            </w:pPr>
            <w:r w:rsidRPr="00580A66">
              <w:rPr>
                <w:b/>
                <w:bCs/>
                <w:sz w:val="26"/>
                <w:szCs w:val="26"/>
              </w:rPr>
              <w:t xml:space="preserve">Fitch </w:t>
            </w:r>
          </w:p>
        </w:tc>
        <w:tc>
          <w:tcPr>
            <w:tcW w:w="1233" w:type="dxa"/>
            <w:tcBorders>
              <w:top w:val="double" w:sz="4" w:space="0" w:color="auto"/>
              <w:left w:val="single" w:sz="6" w:space="0" w:color="000000"/>
              <w:bottom w:val="double" w:sz="4" w:space="0" w:color="auto"/>
              <w:right w:val="double" w:sz="4" w:space="0" w:color="auto"/>
            </w:tcBorders>
            <w:vAlign w:val="center"/>
          </w:tcPr>
          <w:p w:rsidR="00580A66" w:rsidRPr="00580A66" w:rsidRDefault="00580A66" w:rsidP="00DE0148">
            <w:pPr>
              <w:pStyle w:val="Default"/>
              <w:keepNext/>
              <w:keepLines/>
              <w:widowControl/>
              <w:jc w:val="center"/>
              <w:rPr>
                <w:sz w:val="26"/>
                <w:szCs w:val="26"/>
              </w:rPr>
            </w:pPr>
            <w:r w:rsidRPr="00580A66">
              <w:rPr>
                <w:b/>
                <w:bCs/>
                <w:sz w:val="26"/>
                <w:szCs w:val="26"/>
              </w:rPr>
              <w:t xml:space="preserve">Moody’s </w:t>
            </w:r>
          </w:p>
        </w:tc>
        <w:tc>
          <w:tcPr>
            <w:tcW w:w="1470" w:type="dxa"/>
            <w:tcBorders>
              <w:top w:val="double" w:sz="4" w:space="0" w:color="auto"/>
              <w:left w:val="double" w:sz="4" w:space="0" w:color="auto"/>
              <w:bottom w:val="double" w:sz="4" w:space="0" w:color="auto"/>
              <w:right w:val="single" w:sz="6" w:space="0" w:color="000000"/>
            </w:tcBorders>
            <w:vAlign w:val="center"/>
          </w:tcPr>
          <w:p w:rsidR="00580A66" w:rsidRPr="00580A66" w:rsidRDefault="00580A66" w:rsidP="00DE0148">
            <w:pPr>
              <w:pStyle w:val="Default"/>
              <w:keepNext/>
              <w:keepLines/>
              <w:widowControl/>
              <w:jc w:val="center"/>
              <w:rPr>
                <w:sz w:val="26"/>
                <w:szCs w:val="26"/>
              </w:rPr>
            </w:pPr>
            <w:r w:rsidRPr="00580A66">
              <w:rPr>
                <w:b/>
                <w:bCs/>
                <w:sz w:val="26"/>
                <w:szCs w:val="26"/>
              </w:rPr>
              <w:t xml:space="preserve">TNW Percentage </w:t>
            </w:r>
          </w:p>
        </w:tc>
        <w:tc>
          <w:tcPr>
            <w:tcW w:w="1872" w:type="dxa"/>
            <w:tcBorders>
              <w:top w:val="double" w:sz="4" w:space="0" w:color="auto"/>
              <w:left w:val="single" w:sz="6" w:space="0" w:color="000000"/>
              <w:bottom w:val="double" w:sz="4" w:space="0" w:color="auto"/>
              <w:right w:val="double" w:sz="4" w:space="0" w:color="auto"/>
            </w:tcBorders>
            <w:vAlign w:val="center"/>
          </w:tcPr>
          <w:p w:rsidR="00580A66" w:rsidRPr="00580A66" w:rsidRDefault="00580A66" w:rsidP="00DE0148">
            <w:pPr>
              <w:pStyle w:val="Default"/>
              <w:keepNext/>
              <w:keepLines/>
              <w:widowControl/>
              <w:jc w:val="center"/>
              <w:rPr>
                <w:sz w:val="26"/>
                <w:szCs w:val="26"/>
              </w:rPr>
            </w:pPr>
            <w:r w:rsidRPr="00580A66">
              <w:rPr>
                <w:b/>
                <w:bCs/>
                <w:sz w:val="26"/>
                <w:szCs w:val="26"/>
              </w:rPr>
              <w:t>Unsecured Credit Limit</w:t>
            </w:r>
          </w:p>
        </w:tc>
      </w:tr>
      <w:tr w:rsidR="00580A66" w:rsidRPr="00580A66" w:rsidTr="00B30615">
        <w:trPr>
          <w:trHeight w:val="555"/>
        </w:trPr>
        <w:tc>
          <w:tcPr>
            <w:tcW w:w="945" w:type="dxa"/>
            <w:tcBorders>
              <w:top w:val="double" w:sz="4" w:space="0" w:color="auto"/>
              <w:left w:val="double" w:sz="4" w:space="0" w:color="auto"/>
              <w:bottom w:val="single" w:sz="6" w:space="0" w:color="000000"/>
              <w:right w:val="nil"/>
            </w:tcBorders>
          </w:tcPr>
          <w:p w:rsidR="00580A66" w:rsidRPr="00580A66" w:rsidRDefault="00580A66" w:rsidP="00A61D86">
            <w:pPr>
              <w:pStyle w:val="Default"/>
              <w:keepNext/>
              <w:keepLines/>
              <w:widowControl/>
              <w:rPr>
                <w:sz w:val="26"/>
                <w:szCs w:val="26"/>
              </w:rPr>
            </w:pPr>
            <w:r w:rsidRPr="00580A66">
              <w:rPr>
                <w:sz w:val="26"/>
                <w:szCs w:val="26"/>
              </w:rPr>
              <w:t xml:space="preserve">A- or above </w:t>
            </w:r>
          </w:p>
        </w:tc>
        <w:tc>
          <w:tcPr>
            <w:tcW w:w="236" w:type="dxa"/>
            <w:tcBorders>
              <w:top w:val="double" w:sz="4" w:space="0" w:color="auto"/>
              <w:left w:val="nil"/>
              <w:bottom w:val="single" w:sz="6" w:space="0" w:color="000000"/>
              <w:right w:val="single" w:sz="6" w:space="0" w:color="000000"/>
            </w:tcBorders>
          </w:tcPr>
          <w:p w:rsidR="00580A66" w:rsidRPr="00580A66" w:rsidRDefault="00580A66" w:rsidP="00DE0148">
            <w:pPr>
              <w:pStyle w:val="Default"/>
              <w:keepNext/>
              <w:keepLines/>
              <w:widowControl/>
              <w:rPr>
                <w:color w:val="auto"/>
                <w:sz w:val="26"/>
                <w:szCs w:val="26"/>
              </w:rPr>
            </w:pPr>
          </w:p>
        </w:tc>
        <w:tc>
          <w:tcPr>
            <w:tcW w:w="1354" w:type="dxa"/>
            <w:tcBorders>
              <w:top w:val="double" w:sz="4" w:space="0" w:color="auto"/>
              <w:left w:val="single" w:sz="6" w:space="0" w:color="000000"/>
              <w:bottom w:val="single" w:sz="6" w:space="0" w:color="000000"/>
              <w:right w:val="single" w:sz="6" w:space="0" w:color="000000"/>
            </w:tcBorders>
          </w:tcPr>
          <w:p w:rsidR="00580A66" w:rsidRPr="00580A66" w:rsidRDefault="00580A66" w:rsidP="00DE0148">
            <w:pPr>
              <w:pStyle w:val="Default"/>
              <w:keepNext/>
              <w:keepLines/>
              <w:widowControl/>
              <w:jc w:val="center"/>
              <w:rPr>
                <w:sz w:val="26"/>
                <w:szCs w:val="26"/>
              </w:rPr>
            </w:pPr>
            <w:r w:rsidRPr="00580A66">
              <w:rPr>
                <w:sz w:val="26"/>
                <w:szCs w:val="26"/>
              </w:rPr>
              <w:t xml:space="preserve">A- or above </w:t>
            </w:r>
          </w:p>
        </w:tc>
        <w:tc>
          <w:tcPr>
            <w:tcW w:w="1233" w:type="dxa"/>
            <w:tcBorders>
              <w:top w:val="double" w:sz="4" w:space="0" w:color="auto"/>
              <w:left w:val="single" w:sz="6" w:space="0" w:color="000000"/>
              <w:bottom w:val="single" w:sz="6" w:space="0" w:color="000000"/>
              <w:right w:val="double" w:sz="4" w:space="0" w:color="auto"/>
            </w:tcBorders>
            <w:vAlign w:val="center"/>
          </w:tcPr>
          <w:p w:rsidR="00580A66" w:rsidRPr="00580A66" w:rsidRDefault="00580A66" w:rsidP="00DE0148">
            <w:pPr>
              <w:pStyle w:val="Default"/>
              <w:keepNext/>
              <w:keepLines/>
              <w:widowControl/>
              <w:jc w:val="center"/>
              <w:rPr>
                <w:sz w:val="26"/>
                <w:szCs w:val="26"/>
              </w:rPr>
            </w:pPr>
            <w:r w:rsidRPr="00580A66">
              <w:rPr>
                <w:sz w:val="26"/>
                <w:szCs w:val="26"/>
              </w:rPr>
              <w:t xml:space="preserve">A3 or above </w:t>
            </w:r>
          </w:p>
        </w:tc>
        <w:tc>
          <w:tcPr>
            <w:tcW w:w="1470" w:type="dxa"/>
            <w:tcBorders>
              <w:top w:val="double" w:sz="4" w:space="0" w:color="auto"/>
              <w:left w:val="double" w:sz="4" w:space="0" w:color="auto"/>
              <w:bottom w:val="single" w:sz="6" w:space="0" w:color="000000"/>
              <w:right w:val="single" w:sz="6" w:space="0" w:color="000000"/>
            </w:tcBorders>
          </w:tcPr>
          <w:p w:rsidR="00580A66" w:rsidRPr="00580A66" w:rsidRDefault="00580A66" w:rsidP="00DE0148">
            <w:pPr>
              <w:pStyle w:val="Default"/>
              <w:keepNext/>
              <w:keepLines/>
              <w:widowControl/>
              <w:jc w:val="center"/>
              <w:rPr>
                <w:sz w:val="26"/>
                <w:szCs w:val="26"/>
              </w:rPr>
            </w:pPr>
            <w:r w:rsidRPr="00580A66">
              <w:rPr>
                <w:sz w:val="26"/>
                <w:szCs w:val="26"/>
              </w:rPr>
              <w:t xml:space="preserve">5% </w:t>
            </w:r>
          </w:p>
        </w:tc>
        <w:tc>
          <w:tcPr>
            <w:tcW w:w="1872" w:type="dxa"/>
            <w:tcBorders>
              <w:top w:val="double" w:sz="4" w:space="0" w:color="auto"/>
              <w:left w:val="single" w:sz="6" w:space="0" w:color="000000"/>
              <w:bottom w:val="single" w:sz="6" w:space="0" w:color="000000"/>
              <w:right w:val="double" w:sz="4" w:space="0" w:color="auto"/>
            </w:tcBorders>
          </w:tcPr>
          <w:p w:rsidR="00580A66" w:rsidRPr="00580A66" w:rsidRDefault="00580A66" w:rsidP="00DE0148">
            <w:pPr>
              <w:pStyle w:val="Default"/>
              <w:keepNext/>
              <w:keepLines/>
              <w:widowControl/>
              <w:jc w:val="center"/>
              <w:rPr>
                <w:sz w:val="26"/>
                <w:szCs w:val="26"/>
              </w:rPr>
            </w:pPr>
            <w:r w:rsidRPr="00580A66">
              <w:rPr>
                <w:sz w:val="26"/>
                <w:szCs w:val="26"/>
              </w:rPr>
              <w:t xml:space="preserve">$75,000,000 </w:t>
            </w:r>
          </w:p>
        </w:tc>
      </w:tr>
      <w:tr w:rsidR="00580A66" w:rsidRPr="00580A66" w:rsidTr="00B30615">
        <w:trPr>
          <w:trHeight w:val="555"/>
        </w:trPr>
        <w:tc>
          <w:tcPr>
            <w:tcW w:w="945" w:type="dxa"/>
            <w:tcBorders>
              <w:top w:val="single" w:sz="6" w:space="0" w:color="000000"/>
              <w:left w:val="double" w:sz="4" w:space="0" w:color="auto"/>
              <w:bottom w:val="single" w:sz="6" w:space="0" w:color="000000"/>
              <w:right w:val="nil"/>
            </w:tcBorders>
          </w:tcPr>
          <w:p w:rsidR="00580A66" w:rsidRPr="00580A66" w:rsidRDefault="00580A66" w:rsidP="00A61D86">
            <w:pPr>
              <w:pStyle w:val="Default"/>
              <w:keepNext/>
              <w:keepLines/>
              <w:widowControl/>
              <w:rPr>
                <w:sz w:val="26"/>
                <w:szCs w:val="26"/>
              </w:rPr>
            </w:pPr>
            <w:r w:rsidRPr="00580A66">
              <w:rPr>
                <w:sz w:val="26"/>
                <w:szCs w:val="26"/>
              </w:rPr>
              <w:t xml:space="preserve">BBB+ </w:t>
            </w:r>
          </w:p>
        </w:tc>
        <w:tc>
          <w:tcPr>
            <w:tcW w:w="236" w:type="dxa"/>
            <w:tcBorders>
              <w:top w:val="single" w:sz="6" w:space="0" w:color="000000"/>
              <w:left w:val="nil"/>
              <w:bottom w:val="single" w:sz="6" w:space="0" w:color="000000"/>
              <w:right w:val="single" w:sz="6" w:space="0" w:color="000000"/>
            </w:tcBorders>
          </w:tcPr>
          <w:p w:rsidR="00580A66" w:rsidRPr="00580A66" w:rsidRDefault="00580A66" w:rsidP="00DE0148">
            <w:pPr>
              <w:pStyle w:val="Default"/>
              <w:keepNext/>
              <w:keepLines/>
              <w:widowControl/>
              <w:rPr>
                <w:color w:val="auto"/>
                <w:sz w:val="26"/>
                <w:szCs w:val="26"/>
              </w:rPr>
            </w:pPr>
          </w:p>
        </w:tc>
        <w:tc>
          <w:tcPr>
            <w:tcW w:w="1354" w:type="dxa"/>
            <w:tcBorders>
              <w:top w:val="single" w:sz="6" w:space="0" w:color="000000"/>
              <w:left w:val="single" w:sz="6" w:space="0" w:color="000000"/>
              <w:bottom w:val="single" w:sz="6" w:space="0" w:color="000000"/>
              <w:right w:val="single" w:sz="6" w:space="0" w:color="000000"/>
            </w:tcBorders>
          </w:tcPr>
          <w:p w:rsidR="00580A66" w:rsidRPr="00580A66" w:rsidRDefault="00580A66" w:rsidP="00DE0148">
            <w:pPr>
              <w:pStyle w:val="Default"/>
              <w:keepNext/>
              <w:keepLines/>
              <w:widowControl/>
              <w:jc w:val="center"/>
              <w:rPr>
                <w:sz w:val="26"/>
                <w:szCs w:val="26"/>
              </w:rPr>
            </w:pPr>
            <w:r w:rsidRPr="00580A66">
              <w:rPr>
                <w:sz w:val="26"/>
                <w:szCs w:val="26"/>
              </w:rPr>
              <w:t xml:space="preserve">BBB+ </w:t>
            </w:r>
          </w:p>
        </w:tc>
        <w:tc>
          <w:tcPr>
            <w:tcW w:w="1233" w:type="dxa"/>
            <w:tcBorders>
              <w:top w:val="single" w:sz="6" w:space="0" w:color="000000"/>
              <w:left w:val="single" w:sz="6" w:space="0" w:color="000000"/>
              <w:bottom w:val="single" w:sz="6" w:space="0" w:color="000000"/>
              <w:right w:val="double" w:sz="4" w:space="0" w:color="auto"/>
            </w:tcBorders>
          </w:tcPr>
          <w:p w:rsidR="00580A66" w:rsidRPr="00580A66" w:rsidRDefault="00580A66" w:rsidP="00DE0148">
            <w:pPr>
              <w:pStyle w:val="Default"/>
              <w:keepNext/>
              <w:keepLines/>
              <w:widowControl/>
              <w:jc w:val="center"/>
              <w:rPr>
                <w:sz w:val="26"/>
                <w:szCs w:val="26"/>
              </w:rPr>
            </w:pPr>
            <w:r w:rsidRPr="00580A66">
              <w:rPr>
                <w:sz w:val="26"/>
                <w:szCs w:val="26"/>
              </w:rPr>
              <w:t xml:space="preserve">Baa1 </w:t>
            </w:r>
          </w:p>
        </w:tc>
        <w:tc>
          <w:tcPr>
            <w:tcW w:w="1470" w:type="dxa"/>
            <w:tcBorders>
              <w:top w:val="single" w:sz="6" w:space="0" w:color="000000"/>
              <w:left w:val="double" w:sz="4" w:space="0" w:color="auto"/>
              <w:bottom w:val="single" w:sz="6" w:space="0" w:color="000000"/>
              <w:right w:val="single" w:sz="6" w:space="0" w:color="000000"/>
            </w:tcBorders>
          </w:tcPr>
          <w:p w:rsidR="00580A66" w:rsidRPr="00580A66" w:rsidRDefault="00580A66" w:rsidP="00DE0148">
            <w:pPr>
              <w:pStyle w:val="Default"/>
              <w:keepNext/>
              <w:keepLines/>
              <w:widowControl/>
              <w:jc w:val="center"/>
              <w:rPr>
                <w:sz w:val="26"/>
                <w:szCs w:val="26"/>
              </w:rPr>
            </w:pPr>
            <w:r w:rsidRPr="00580A66">
              <w:rPr>
                <w:sz w:val="26"/>
                <w:szCs w:val="26"/>
              </w:rPr>
              <w:t xml:space="preserve">5% </w:t>
            </w:r>
          </w:p>
        </w:tc>
        <w:tc>
          <w:tcPr>
            <w:tcW w:w="1872" w:type="dxa"/>
            <w:tcBorders>
              <w:top w:val="single" w:sz="6" w:space="0" w:color="000000"/>
              <w:left w:val="single" w:sz="6" w:space="0" w:color="000000"/>
              <w:bottom w:val="single" w:sz="6" w:space="0" w:color="000000"/>
              <w:right w:val="double" w:sz="4" w:space="0" w:color="auto"/>
            </w:tcBorders>
          </w:tcPr>
          <w:p w:rsidR="00580A66" w:rsidRPr="00580A66" w:rsidRDefault="00580A66" w:rsidP="00DE0148">
            <w:pPr>
              <w:pStyle w:val="Default"/>
              <w:keepNext/>
              <w:keepLines/>
              <w:widowControl/>
              <w:jc w:val="center"/>
              <w:rPr>
                <w:sz w:val="26"/>
                <w:szCs w:val="26"/>
              </w:rPr>
            </w:pPr>
            <w:r w:rsidRPr="00580A66">
              <w:rPr>
                <w:sz w:val="26"/>
                <w:szCs w:val="26"/>
              </w:rPr>
              <w:t xml:space="preserve">$50,000,000 </w:t>
            </w:r>
          </w:p>
        </w:tc>
      </w:tr>
      <w:tr w:rsidR="00580A66" w:rsidRPr="00580A66" w:rsidTr="00B30615">
        <w:trPr>
          <w:trHeight w:val="555"/>
        </w:trPr>
        <w:tc>
          <w:tcPr>
            <w:tcW w:w="945" w:type="dxa"/>
            <w:tcBorders>
              <w:top w:val="single" w:sz="6" w:space="0" w:color="000000"/>
              <w:left w:val="double" w:sz="4" w:space="0" w:color="auto"/>
              <w:bottom w:val="single" w:sz="6" w:space="0" w:color="000000"/>
              <w:right w:val="nil"/>
            </w:tcBorders>
          </w:tcPr>
          <w:p w:rsidR="00580A66" w:rsidRPr="00580A66" w:rsidRDefault="00580A66" w:rsidP="00A61D86">
            <w:pPr>
              <w:pStyle w:val="Default"/>
              <w:widowControl/>
              <w:rPr>
                <w:sz w:val="26"/>
                <w:szCs w:val="26"/>
              </w:rPr>
            </w:pPr>
            <w:r w:rsidRPr="00580A66">
              <w:rPr>
                <w:sz w:val="26"/>
                <w:szCs w:val="26"/>
              </w:rPr>
              <w:t xml:space="preserve">BBB </w:t>
            </w:r>
          </w:p>
        </w:tc>
        <w:tc>
          <w:tcPr>
            <w:tcW w:w="236" w:type="dxa"/>
            <w:tcBorders>
              <w:top w:val="single" w:sz="6" w:space="0" w:color="000000"/>
              <w:left w:val="nil"/>
              <w:bottom w:val="single" w:sz="6" w:space="0" w:color="000000"/>
              <w:right w:val="single" w:sz="6" w:space="0" w:color="000000"/>
            </w:tcBorders>
          </w:tcPr>
          <w:p w:rsidR="00580A66" w:rsidRPr="00580A66" w:rsidRDefault="00580A66" w:rsidP="00DE0148">
            <w:pPr>
              <w:pStyle w:val="Default"/>
              <w:widowControl/>
              <w:rPr>
                <w:color w:val="auto"/>
                <w:sz w:val="26"/>
                <w:szCs w:val="26"/>
              </w:rPr>
            </w:pPr>
          </w:p>
        </w:tc>
        <w:tc>
          <w:tcPr>
            <w:tcW w:w="1354" w:type="dxa"/>
            <w:tcBorders>
              <w:top w:val="single" w:sz="6" w:space="0" w:color="000000"/>
              <w:left w:val="single" w:sz="6" w:space="0" w:color="000000"/>
              <w:bottom w:val="single" w:sz="6" w:space="0" w:color="000000"/>
              <w:right w:val="single" w:sz="6" w:space="0" w:color="000000"/>
            </w:tcBorders>
          </w:tcPr>
          <w:p w:rsidR="00580A66" w:rsidRPr="00580A66" w:rsidRDefault="00580A66" w:rsidP="00DE0148">
            <w:pPr>
              <w:pStyle w:val="Default"/>
              <w:widowControl/>
              <w:jc w:val="center"/>
              <w:rPr>
                <w:sz w:val="26"/>
                <w:szCs w:val="26"/>
              </w:rPr>
            </w:pPr>
            <w:r w:rsidRPr="00580A66">
              <w:rPr>
                <w:sz w:val="26"/>
                <w:szCs w:val="26"/>
              </w:rPr>
              <w:t xml:space="preserve">BBB </w:t>
            </w:r>
          </w:p>
        </w:tc>
        <w:tc>
          <w:tcPr>
            <w:tcW w:w="1233" w:type="dxa"/>
            <w:tcBorders>
              <w:top w:val="single" w:sz="6" w:space="0" w:color="000000"/>
              <w:left w:val="single" w:sz="6" w:space="0" w:color="000000"/>
              <w:bottom w:val="single" w:sz="6" w:space="0" w:color="000000"/>
              <w:right w:val="double" w:sz="4" w:space="0" w:color="auto"/>
            </w:tcBorders>
          </w:tcPr>
          <w:p w:rsidR="00580A66" w:rsidRPr="00580A66" w:rsidRDefault="00580A66" w:rsidP="00DE0148">
            <w:pPr>
              <w:pStyle w:val="Default"/>
              <w:widowControl/>
              <w:jc w:val="center"/>
              <w:rPr>
                <w:sz w:val="26"/>
                <w:szCs w:val="26"/>
              </w:rPr>
            </w:pPr>
            <w:r w:rsidRPr="00580A66">
              <w:rPr>
                <w:sz w:val="26"/>
                <w:szCs w:val="26"/>
              </w:rPr>
              <w:t xml:space="preserve">Baa2 </w:t>
            </w:r>
          </w:p>
        </w:tc>
        <w:tc>
          <w:tcPr>
            <w:tcW w:w="1470" w:type="dxa"/>
            <w:tcBorders>
              <w:top w:val="single" w:sz="6" w:space="0" w:color="000000"/>
              <w:left w:val="double" w:sz="4" w:space="0" w:color="auto"/>
              <w:bottom w:val="single" w:sz="6" w:space="0" w:color="000000"/>
              <w:right w:val="single" w:sz="6" w:space="0" w:color="000000"/>
            </w:tcBorders>
          </w:tcPr>
          <w:p w:rsidR="00580A66" w:rsidRPr="00580A66" w:rsidRDefault="00580A66" w:rsidP="00DE0148">
            <w:pPr>
              <w:pStyle w:val="Default"/>
              <w:widowControl/>
              <w:jc w:val="center"/>
              <w:rPr>
                <w:sz w:val="26"/>
                <w:szCs w:val="26"/>
              </w:rPr>
            </w:pPr>
            <w:r w:rsidRPr="00580A66">
              <w:rPr>
                <w:sz w:val="26"/>
                <w:szCs w:val="26"/>
              </w:rPr>
              <w:t xml:space="preserve">5% </w:t>
            </w:r>
          </w:p>
        </w:tc>
        <w:tc>
          <w:tcPr>
            <w:tcW w:w="1872" w:type="dxa"/>
            <w:tcBorders>
              <w:top w:val="single" w:sz="6" w:space="0" w:color="000000"/>
              <w:left w:val="single" w:sz="6" w:space="0" w:color="000000"/>
              <w:bottom w:val="single" w:sz="6" w:space="0" w:color="000000"/>
              <w:right w:val="double" w:sz="4" w:space="0" w:color="auto"/>
            </w:tcBorders>
          </w:tcPr>
          <w:p w:rsidR="00580A66" w:rsidRPr="00580A66" w:rsidRDefault="00580A66" w:rsidP="00DE0148">
            <w:pPr>
              <w:pStyle w:val="Default"/>
              <w:widowControl/>
              <w:jc w:val="center"/>
              <w:rPr>
                <w:sz w:val="26"/>
                <w:szCs w:val="26"/>
              </w:rPr>
            </w:pPr>
            <w:r w:rsidRPr="00580A66">
              <w:rPr>
                <w:sz w:val="26"/>
                <w:szCs w:val="26"/>
              </w:rPr>
              <w:t xml:space="preserve">$35,000,000 </w:t>
            </w:r>
          </w:p>
        </w:tc>
      </w:tr>
      <w:tr w:rsidR="00580A66" w:rsidRPr="00580A66" w:rsidTr="00B30615">
        <w:trPr>
          <w:trHeight w:val="555"/>
        </w:trPr>
        <w:tc>
          <w:tcPr>
            <w:tcW w:w="945" w:type="dxa"/>
            <w:tcBorders>
              <w:top w:val="single" w:sz="6" w:space="0" w:color="000000"/>
              <w:left w:val="double" w:sz="4" w:space="0" w:color="auto"/>
              <w:bottom w:val="single" w:sz="6" w:space="0" w:color="000000"/>
              <w:right w:val="nil"/>
            </w:tcBorders>
          </w:tcPr>
          <w:p w:rsidR="00580A66" w:rsidRPr="00580A66" w:rsidRDefault="00580A66" w:rsidP="00DE0148">
            <w:pPr>
              <w:pStyle w:val="Default"/>
              <w:widowControl/>
              <w:jc w:val="center"/>
              <w:rPr>
                <w:sz w:val="26"/>
                <w:szCs w:val="26"/>
              </w:rPr>
            </w:pPr>
            <w:r w:rsidRPr="00580A66">
              <w:rPr>
                <w:sz w:val="26"/>
                <w:szCs w:val="26"/>
              </w:rPr>
              <w:t>BBB</w:t>
            </w:r>
            <w:r w:rsidRPr="00580A66">
              <w:rPr>
                <w:sz w:val="26"/>
                <w:szCs w:val="26"/>
              </w:rPr>
              <w:softHyphen/>
              <w:t>-</w:t>
            </w:r>
          </w:p>
        </w:tc>
        <w:tc>
          <w:tcPr>
            <w:tcW w:w="236" w:type="dxa"/>
            <w:tcBorders>
              <w:top w:val="single" w:sz="6" w:space="0" w:color="000000"/>
              <w:left w:val="nil"/>
              <w:bottom w:val="single" w:sz="6" w:space="0" w:color="000000"/>
              <w:right w:val="single" w:sz="6" w:space="0" w:color="000000"/>
            </w:tcBorders>
          </w:tcPr>
          <w:p w:rsidR="00580A66" w:rsidRPr="00580A66" w:rsidRDefault="00580A66" w:rsidP="00DE0148">
            <w:pPr>
              <w:pStyle w:val="Default"/>
              <w:widowControl/>
              <w:rPr>
                <w:color w:val="auto"/>
                <w:sz w:val="26"/>
                <w:szCs w:val="26"/>
              </w:rPr>
            </w:pPr>
          </w:p>
        </w:tc>
        <w:tc>
          <w:tcPr>
            <w:tcW w:w="1354" w:type="dxa"/>
            <w:tcBorders>
              <w:top w:val="single" w:sz="6" w:space="0" w:color="000000"/>
              <w:left w:val="single" w:sz="6" w:space="0" w:color="000000"/>
              <w:bottom w:val="single" w:sz="6" w:space="0" w:color="000000"/>
              <w:right w:val="single" w:sz="6" w:space="0" w:color="000000"/>
            </w:tcBorders>
          </w:tcPr>
          <w:p w:rsidR="00580A66" w:rsidRPr="00580A66" w:rsidRDefault="00580A66" w:rsidP="00DE0148">
            <w:pPr>
              <w:pStyle w:val="Default"/>
              <w:widowControl/>
              <w:jc w:val="center"/>
              <w:rPr>
                <w:sz w:val="26"/>
                <w:szCs w:val="26"/>
              </w:rPr>
            </w:pPr>
            <w:r w:rsidRPr="00580A66">
              <w:rPr>
                <w:sz w:val="26"/>
                <w:szCs w:val="26"/>
              </w:rPr>
              <w:t>BBB-</w:t>
            </w:r>
            <w:r w:rsidRPr="00580A66">
              <w:rPr>
                <w:sz w:val="26"/>
                <w:szCs w:val="26"/>
              </w:rPr>
              <w:softHyphen/>
            </w:r>
          </w:p>
        </w:tc>
        <w:tc>
          <w:tcPr>
            <w:tcW w:w="1233" w:type="dxa"/>
            <w:tcBorders>
              <w:top w:val="single" w:sz="6" w:space="0" w:color="000000"/>
              <w:left w:val="single" w:sz="6" w:space="0" w:color="000000"/>
              <w:bottom w:val="single" w:sz="6" w:space="0" w:color="000000"/>
              <w:right w:val="double" w:sz="4" w:space="0" w:color="auto"/>
            </w:tcBorders>
          </w:tcPr>
          <w:p w:rsidR="00580A66" w:rsidRPr="00580A66" w:rsidRDefault="00580A66" w:rsidP="00DE0148">
            <w:pPr>
              <w:pStyle w:val="Default"/>
              <w:widowControl/>
              <w:jc w:val="center"/>
              <w:rPr>
                <w:sz w:val="26"/>
                <w:szCs w:val="26"/>
              </w:rPr>
            </w:pPr>
            <w:r w:rsidRPr="00580A66">
              <w:rPr>
                <w:sz w:val="26"/>
                <w:szCs w:val="26"/>
              </w:rPr>
              <w:t xml:space="preserve">Baa3 </w:t>
            </w:r>
          </w:p>
        </w:tc>
        <w:tc>
          <w:tcPr>
            <w:tcW w:w="1470" w:type="dxa"/>
            <w:tcBorders>
              <w:top w:val="single" w:sz="6" w:space="0" w:color="000000"/>
              <w:left w:val="double" w:sz="4" w:space="0" w:color="auto"/>
              <w:bottom w:val="single" w:sz="6" w:space="0" w:color="000000"/>
              <w:right w:val="single" w:sz="6" w:space="0" w:color="000000"/>
            </w:tcBorders>
          </w:tcPr>
          <w:p w:rsidR="00580A66" w:rsidRPr="00580A66" w:rsidRDefault="00580A66" w:rsidP="00DE0148">
            <w:pPr>
              <w:pStyle w:val="Default"/>
              <w:widowControl/>
              <w:jc w:val="center"/>
              <w:rPr>
                <w:sz w:val="26"/>
                <w:szCs w:val="26"/>
              </w:rPr>
            </w:pPr>
            <w:r w:rsidRPr="00580A66">
              <w:rPr>
                <w:sz w:val="26"/>
                <w:szCs w:val="26"/>
              </w:rPr>
              <w:t xml:space="preserve">5% </w:t>
            </w:r>
          </w:p>
        </w:tc>
        <w:tc>
          <w:tcPr>
            <w:tcW w:w="1872" w:type="dxa"/>
            <w:tcBorders>
              <w:top w:val="single" w:sz="6" w:space="0" w:color="000000"/>
              <w:left w:val="single" w:sz="6" w:space="0" w:color="000000"/>
              <w:bottom w:val="single" w:sz="6" w:space="0" w:color="000000"/>
              <w:right w:val="double" w:sz="4" w:space="0" w:color="auto"/>
            </w:tcBorders>
          </w:tcPr>
          <w:p w:rsidR="00580A66" w:rsidRPr="00580A66" w:rsidRDefault="00580A66" w:rsidP="00DE0148">
            <w:pPr>
              <w:pStyle w:val="Default"/>
              <w:widowControl/>
              <w:jc w:val="center"/>
              <w:rPr>
                <w:sz w:val="26"/>
                <w:szCs w:val="26"/>
              </w:rPr>
            </w:pPr>
            <w:r w:rsidRPr="00580A66">
              <w:rPr>
                <w:sz w:val="26"/>
                <w:szCs w:val="26"/>
              </w:rPr>
              <w:t xml:space="preserve">$20,000,000 </w:t>
            </w:r>
          </w:p>
        </w:tc>
      </w:tr>
      <w:tr w:rsidR="00580A66" w:rsidRPr="00580A66" w:rsidTr="00B30615">
        <w:trPr>
          <w:trHeight w:val="555"/>
        </w:trPr>
        <w:tc>
          <w:tcPr>
            <w:tcW w:w="945" w:type="dxa"/>
            <w:tcBorders>
              <w:top w:val="single" w:sz="6" w:space="0" w:color="000000"/>
              <w:left w:val="double" w:sz="4" w:space="0" w:color="auto"/>
              <w:bottom w:val="double" w:sz="4" w:space="0" w:color="auto"/>
              <w:right w:val="nil"/>
            </w:tcBorders>
          </w:tcPr>
          <w:p w:rsidR="00580A66" w:rsidRPr="00580A66" w:rsidRDefault="00580A66" w:rsidP="00A61D86">
            <w:pPr>
              <w:pStyle w:val="Default"/>
              <w:widowControl/>
              <w:rPr>
                <w:sz w:val="26"/>
                <w:szCs w:val="26"/>
              </w:rPr>
            </w:pPr>
            <w:r w:rsidRPr="00580A66">
              <w:rPr>
                <w:sz w:val="26"/>
                <w:szCs w:val="26"/>
              </w:rPr>
              <w:t>Below BBB-</w:t>
            </w:r>
          </w:p>
        </w:tc>
        <w:tc>
          <w:tcPr>
            <w:tcW w:w="236" w:type="dxa"/>
            <w:tcBorders>
              <w:top w:val="single" w:sz="6" w:space="0" w:color="000000"/>
              <w:left w:val="nil"/>
              <w:bottom w:val="double" w:sz="4" w:space="0" w:color="auto"/>
              <w:right w:val="single" w:sz="6" w:space="0" w:color="000000"/>
            </w:tcBorders>
          </w:tcPr>
          <w:p w:rsidR="00580A66" w:rsidRPr="00580A66" w:rsidRDefault="00580A66" w:rsidP="00DE0148">
            <w:pPr>
              <w:pStyle w:val="Default"/>
              <w:widowControl/>
              <w:rPr>
                <w:color w:val="auto"/>
                <w:sz w:val="26"/>
                <w:szCs w:val="26"/>
              </w:rPr>
            </w:pPr>
          </w:p>
        </w:tc>
        <w:tc>
          <w:tcPr>
            <w:tcW w:w="1354" w:type="dxa"/>
            <w:tcBorders>
              <w:top w:val="single" w:sz="6" w:space="0" w:color="000000"/>
              <w:left w:val="single" w:sz="6" w:space="0" w:color="000000"/>
              <w:bottom w:val="double" w:sz="4" w:space="0" w:color="auto"/>
              <w:right w:val="single" w:sz="6" w:space="0" w:color="000000"/>
            </w:tcBorders>
          </w:tcPr>
          <w:p w:rsidR="00580A66" w:rsidRPr="00580A66" w:rsidRDefault="00580A66" w:rsidP="00DE0148">
            <w:pPr>
              <w:pStyle w:val="Default"/>
              <w:widowControl/>
              <w:jc w:val="center"/>
              <w:rPr>
                <w:sz w:val="26"/>
                <w:szCs w:val="26"/>
              </w:rPr>
            </w:pPr>
            <w:r w:rsidRPr="00580A66">
              <w:rPr>
                <w:sz w:val="26"/>
                <w:szCs w:val="26"/>
              </w:rPr>
              <w:t>Below BBB-</w:t>
            </w:r>
          </w:p>
        </w:tc>
        <w:tc>
          <w:tcPr>
            <w:tcW w:w="1233" w:type="dxa"/>
            <w:tcBorders>
              <w:top w:val="single" w:sz="6" w:space="0" w:color="000000"/>
              <w:left w:val="single" w:sz="6" w:space="0" w:color="000000"/>
              <w:bottom w:val="double" w:sz="4" w:space="0" w:color="auto"/>
              <w:right w:val="double" w:sz="4" w:space="0" w:color="auto"/>
            </w:tcBorders>
          </w:tcPr>
          <w:p w:rsidR="00580A66" w:rsidRPr="00580A66" w:rsidRDefault="00580A66" w:rsidP="00DE0148">
            <w:pPr>
              <w:pStyle w:val="Default"/>
              <w:widowControl/>
              <w:jc w:val="center"/>
              <w:rPr>
                <w:sz w:val="26"/>
                <w:szCs w:val="26"/>
              </w:rPr>
            </w:pPr>
            <w:r w:rsidRPr="00580A66">
              <w:rPr>
                <w:sz w:val="26"/>
                <w:szCs w:val="26"/>
              </w:rPr>
              <w:t xml:space="preserve">Below Baa3 </w:t>
            </w:r>
          </w:p>
        </w:tc>
        <w:tc>
          <w:tcPr>
            <w:tcW w:w="1470" w:type="dxa"/>
            <w:tcBorders>
              <w:top w:val="single" w:sz="6" w:space="0" w:color="000000"/>
              <w:left w:val="double" w:sz="4" w:space="0" w:color="auto"/>
              <w:bottom w:val="double" w:sz="4" w:space="0" w:color="auto"/>
              <w:right w:val="single" w:sz="6" w:space="0" w:color="000000"/>
            </w:tcBorders>
          </w:tcPr>
          <w:p w:rsidR="00580A66" w:rsidRPr="00580A66" w:rsidRDefault="00580A66" w:rsidP="00DE0148">
            <w:pPr>
              <w:pStyle w:val="Default"/>
              <w:widowControl/>
              <w:jc w:val="center"/>
              <w:rPr>
                <w:sz w:val="26"/>
                <w:szCs w:val="26"/>
              </w:rPr>
            </w:pPr>
            <w:r w:rsidRPr="00580A66">
              <w:rPr>
                <w:sz w:val="26"/>
                <w:szCs w:val="26"/>
              </w:rPr>
              <w:t>5%</w:t>
            </w:r>
          </w:p>
        </w:tc>
        <w:tc>
          <w:tcPr>
            <w:tcW w:w="1872" w:type="dxa"/>
            <w:tcBorders>
              <w:top w:val="single" w:sz="6" w:space="0" w:color="000000"/>
              <w:left w:val="single" w:sz="6" w:space="0" w:color="000000"/>
              <w:bottom w:val="double" w:sz="4" w:space="0" w:color="auto"/>
              <w:right w:val="double" w:sz="4" w:space="0" w:color="auto"/>
            </w:tcBorders>
          </w:tcPr>
          <w:p w:rsidR="00580A66" w:rsidRPr="00580A66" w:rsidRDefault="00580A66" w:rsidP="00DE0148">
            <w:pPr>
              <w:pStyle w:val="Default"/>
              <w:widowControl/>
              <w:jc w:val="center"/>
              <w:rPr>
                <w:sz w:val="26"/>
                <w:szCs w:val="26"/>
              </w:rPr>
            </w:pPr>
            <w:r w:rsidRPr="00580A66">
              <w:rPr>
                <w:sz w:val="26"/>
                <w:szCs w:val="26"/>
              </w:rPr>
              <w:t>$0</w:t>
            </w:r>
          </w:p>
        </w:tc>
      </w:tr>
    </w:tbl>
    <w:p w:rsidR="00580A66" w:rsidRPr="00580A66" w:rsidRDefault="00580A66" w:rsidP="00DE0148">
      <w:pPr>
        <w:pStyle w:val="Default"/>
        <w:widowControl/>
        <w:rPr>
          <w:color w:val="auto"/>
          <w:sz w:val="26"/>
          <w:szCs w:val="26"/>
        </w:rPr>
      </w:pPr>
    </w:p>
    <w:p w:rsidR="00580A66" w:rsidRPr="00580A66" w:rsidRDefault="00580A66" w:rsidP="00DE0148">
      <w:pPr>
        <w:pStyle w:val="BodyText"/>
        <w:ind w:left="720" w:firstLine="0"/>
        <w:jc w:val="left"/>
        <w:rPr>
          <w:sz w:val="26"/>
          <w:szCs w:val="26"/>
        </w:rPr>
      </w:pPr>
    </w:p>
    <w:p w:rsidR="00580A66" w:rsidRPr="00580A66" w:rsidRDefault="00580A66" w:rsidP="00DE0148">
      <w:pPr>
        <w:widowControl/>
        <w:ind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580A66" w:rsidRPr="00580A66" w:rsidRDefault="00580A66" w:rsidP="00DE0148">
      <w:pPr>
        <w:widowControl/>
        <w:ind w:left="3600" w:right="2160"/>
        <w:jc w:val="both"/>
        <w:rPr>
          <w:sz w:val="26"/>
          <w:szCs w:val="26"/>
        </w:rPr>
      </w:pPr>
    </w:p>
    <w:p w:rsidR="00A61D86" w:rsidRDefault="00A61D86" w:rsidP="00DE0148">
      <w:pPr>
        <w:widowControl/>
        <w:ind w:left="1800" w:right="1800"/>
        <w:rPr>
          <w:sz w:val="26"/>
          <w:szCs w:val="26"/>
        </w:rPr>
      </w:pPr>
    </w:p>
    <w:p w:rsidR="00B30615" w:rsidRDefault="00B30615" w:rsidP="00DE0148">
      <w:pPr>
        <w:widowControl/>
        <w:ind w:left="1800" w:right="1800"/>
        <w:rPr>
          <w:sz w:val="26"/>
          <w:szCs w:val="26"/>
        </w:rPr>
      </w:pPr>
    </w:p>
    <w:p w:rsidR="00580A66" w:rsidRPr="00580A66" w:rsidRDefault="00580A66" w:rsidP="00DE0148">
      <w:pPr>
        <w:widowControl/>
        <w:ind w:left="1800" w:right="1800"/>
        <w:rPr>
          <w:sz w:val="26"/>
          <w:szCs w:val="26"/>
        </w:rPr>
      </w:pPr>
      <w:r w:rsidRPr="00580A66">
        <w:rPr>
          <w:sz w:val="26"/>
          <w:szCs w:val="26"/>
        </w:rPr>
        <w:t>The Buyer also retains the discretion to extend Unsecured Credit to non-rated Sellers based on an evaluation of reasonable credit criteria, which shall at a minimum consist of a review of 3 (three) years of audited financial statements.</w:t>
      </w:r>
    </w:p>
    <w:p w:rsidR="00580A66" w:rsidRPr="00580A66" w:rsidRDefault="00580A66" w:rsidP="00DE0148">
      <w:pPr>
        <w:widowControl/>
        <w:ind w:left="1800" w:right="1800"/>
        <w:rPr>
          <w:sz w:val="26"/>
          <w:szCs w:val="26"/>
        </w:rPr>
      </w:pPr>
    </w:p>
    <w:p w:rsidR="00761342" w:rsidRDefault="00761342">
      <w:pPr>
        <w:widowControl/>
        <w:spacing w:after="200" w:line="276" w:lineRule="auto"/>
        <w:rPr>
          <w:sz w:val="26"/>
          <w:szCs w:val="26"/>
        </w:rPr>
      </w:pPr>
      <w:r>
        <w:rPr>
          <w:sz w:val="26"/>
          <w:szCs w:val="26"/>
        </w:rPr>
        <w:br w:type="page"/>
      </w:r>
    </w:p>
    <w:p w:rsidR="00580A66" w:rsidRPr="00580A66" w:rsidRDefault="00580A66" w:rsidP="00DE0148">
      <w:pPr>
        <w:pStyle w:val="IndentDouble"/>
        <w:spacing w:after="0" w:line="240" w:lineRule="auto"/>
        <w:ind w:left="1800" w:right="1800"/>
        <w:jc w:val="left"/>
        <w:rPr>
          <w:sz w:val="26"/>
          <w:szCs w:val="26"/>
        </w:rPr>
      </w:pPr>
      <w:r w:rsidRPr="00580A66">
        <w:rPr>
          <w:sz w:val="26"/>
          <w:szCs w:val="26"/>
        </w:rPr>
        <w:lastRenderedPageBreak/>
        <w:t>Pursuant to this Article 12 and Article 1, the analysis of Unsecured Credit will also include consideration of the Guaranty Agreement, if any, submitted by Seller in connection with this contract.</w:t>
      </w:r>
    </w:p>
    <w:p w:rsidR="00580A66" w:rsidRPr="00580A66" w:rsidRDefault="00580A66" w:rsidP="00DE0148">
      <w:pPr>
        <w:pStyle w:val="BodyText"/>
        <w:spacing w:after="0"/>
        <w:ind w:left="1440" w:right="1440" w:firstLine="0"/>
        <w:jc w:val="left"/>
        <w:rPr>
          <w:sz w:val="26"/>
          <w:szCs w:val="26"/>
        </w:rPr>
      </w:pPr>
    </w:p>
    <w:p w:rsidR="00580A66" w:rsidRPr="00580A66" w:rsidRDefault="00580A66" w:rsidP="00DE0148">
      <w:pPr>
        <w:pStyle w:val="ListNumber"/>
        <w:numPr>
          <w:ilvl w:val="0"/>
          <w:numId w:val="10"/>
        </w:numPr>
        <w:tabs>
          <w:tab w:val="clear" w:pos="2160"/>
        </w:tabs>
        <w:spacing w:line="240" w:lineRule="auto"/>
        <w:ind w:left="1440" w:right="1440" w:firstLine="0"/>
        <w:rPr>
          <w:sz w:val="26"/>
          <w:szCs w:val="26"/>
        </w:rPr>
      </w:pPr>
      <w:r w:rsidRPr="00580A66">
        <w:rPr>
          <w:sz w:val="26"/>
          <w:szCs w:val="26"/>
        </w:rPr>
        <w:t>In addition to the SREC RFP procurement amounts, additional amounts will be set aside for procurement, on a bilateral contract basis, from solar systems with a DC rating of 15 kW or less.  The form of bilateral contract shall be similar to the SREC SMA, revised to reflect the requirements set forth herein and to remove provisions not relevant to a bilateral procurement.  The set aside amount shall be equal to 1,000 SRECs for the 9-year term, 1,100 SRECs for the 8-year term and 1,600 SRECs for the</w:t>
      </w:r>
      <w:r w:rsidR="00C62128">
        <w:rPr>
          <w:sz w:val="26"/>
          <w:szCs w:val="26"/>
        </w:rPr>
        <w:t xml:space="preserve"> 7-year term.</w:t>
      </w:r>
    </w:p>
    <w:p w:rsidR="00580A66" w:rsidRPr="00580A66" w:rsidRDefault="00580A66" w:rsidP="00DE0148">
      <w:pPr>
        <w:pStyle w:val="ListNumber"/>
        <w:numPr>
          <w:ilvl w:val="0"/>
          <w:numId w:val="0"/>
        </w:numPr>
        <w:spacing w:line="240" w:lineRule="auto"/>
        <w:ind w:left="1440" w:right="1440"/>
        <w:rPr>
          <w:sz w:val="26"/>
          <w:szCs w:val="26"/>
        </w:rPr>
      </w:pPr>
    </w:p>
    <w:p w:rsidR="00580A66" w:rsidRPr="00580A66" w:rsidRDefault="00F95BF5" w:rsidP="00DE0148">
      <w:pPr>
        <w:pStyle w:val="ListNumber"/>
        <w:numPr>
          <w:ilvl w:val="0"/>
          <w:numId w:val="0"/>
        </w:numPr>
        <w:spacing w:line="240" w:lineRule="auto"/>
        <w:ind w:left="1800" w:right="1800"/>
        <w:rPr>
          <w:sz w:val="26"/>
          <w:szCs w:val="26"/>
        </w:rPr>
      </w:pPr>
      <w:r>
        <w:rPr>
          <w:sz w:val="26"/>
          <w:szCs w:val="26"/>
        </w:rPr>
        <w:t>(i)</w:t>
      </w:r>
      <w:r w:rsidR="008110FC">
        <w:rPr>
          <w:sz w:val="26"/>
          <w:szCs w:val="26"/>
        </w:rPr>
        <w:tab/>
      </w:r>
      <w:r>
        <w:rPr>
          <w:sz w:val="26"/>
          <w:szCs w:val="26"/>
        </w:rPr>
        <w:tab/>
      </w:r>
      <w:r w:rsidR="00580A66" w:rsidRPr="00580A66">
        <w:rPr>
          <w:sz w:val="26"/>
          <w:szCs w:val="26"/>
        </w:rPr>
        <w:t>Solar systems with a DC rating of 15 kW or less that desire to participate in the set aside shall be required to contract with a solar aggregator, which shall in turn contract with PPL.  The solar aggregator shall be required to certify that all credits are provided from solar systems installed on or after June 1, 2010.  A solar aggregator must demonstrate that it has a minimum of 100 SRECs from qualifying solar systems over the contracted delivery period to participate in the yearly set asides.</w:t>
      </w:r>
    </w:p>
    <w:p w:rsidR="00580A66" w:rsidRPr="00580A66" w:rsidRDefault="00580A66" w:rsidP="00DE0148">
      <w:pPr>
        <w:pStyle w:val="ListNumber"/>
        <w:numPr>
          <w:ilvl w:val="0"/>
          <w:numId w:val="0"/>
        </w:numPr>
        <w:spacing w:line="240" w:lineRule="auto"/>
        <w:ind w:left="1800" w:right="1800"/>
        <w:rPr>
          <w:sz w:val="26"/>
          <w:szCs w:val="26"/>
        </w:rPr>
      </w:pPr>
    </w:p>
    <w:p w:rsidR="00580A66" w:rsidRPr="00580A66" w:rsidRDefault="00F95BF5" w:rsidP="00DE0148">
      <w:pPr>
        <w:pStyle w:val="ListNumber"/>
        <w:numPr>
          <w:ilvl w:val="0"/>
          <w:numId w:val="0"/>
        </w:numPr>
        <w:spacing w:line="240" w:lineRule="auto"/>
        <w:ind w:left="1800" w:right="1800"/>
        <w:rPr>
          <w:sz w:val="26"/>
          <w:szCs w:val="26"/>
        </w:rPr>
      </w:pPr>
      <w:r>
        <w:rPr>
          <w:sz w:val="26"/>
          <w:szCs w:val="26"/>
        </w:rPr>
        <w:t>(ii)</w:t>
      </w:r>
      <w:r w:rsidR="008110FC">
        <w:rPr>
          <w:sz w:val="26"/>
          <w:szCs w:val="26"/>
        </w:rPr>
        <w:tab/>
      </w:r>
      <w:r w:rsidR="008110FC">
        <w:rPr>
          <w:sz w:val="26"/>
          <w:szCs w:val="26"/>
        </w:rPr>
        <w:tab/>
      </w:r>
      <w:r w:rsidR="00580A66" w:rsidRPr="00580A66">
        <w:rPr>
          <w:sz w:val="26"/>
          <w:szCs w:val="26"/>
        </w:rPr>
        <w:t xml:space="preserve">The price to be paid to solar aggregators under the set aside shall be equal to the average SREC price for the applicable SREC RFP, which shall be deemed to include any administrative fee retained by the solar aggregator.  The solar aggregator may retain an administrative fee not greater than 10% of the bid price for each SREC. </w:t>
      </w:r>
    </w:p>
    <w:p w:rsidR="00580A66" w:rsidRPr="00580A66" w:rsidRDefault="00580A66" w:rsidP="00DE0148">
      <w:pPr>
        <w:pStyle w:val="ListNumber"/>
        <w:numPr>
          <w:ilvl w:val="0"/>
          <w:numId w:val="0"/>
        </w:numPr>
        <w:spacing w:line="240" w:lineRule="auto"/>
        <w:ind w:left="1800" w:right="1800"/>
        <w:rPr>
          <w:sz w:val="26"/>
          <w:szCs w:val="26"/>
        </w:rPr>
      </w:pPr>
    </w:p>
    <w:p w:rsidR="00580A66" w:rsidRDefault="008110FC" w:rsidP="00DE0148">
      <w:pPr>
        <w:pStyle w:val="ListNumber"/>
        <w:numPr>
          <w:ilvl w:val="0"/>
          <w:numId w:val="0"/>
        </w:numPr>
        <w:spacing w:line="240" w:lineRule="auto"/>
        <w:ind w:left="1800" w:right="1800"/>
        <w:rPr>
          <w:sz w:val="26"/>
          <w:szCs w:val="26"/>
        </w:rPr>
      </w:pPr>
      <w:r>
        <w:rPr>
          <w:sz w:val="26"/>
          <w:szCs w:val="26"/>
        </w:rPr>
        <w:t>(iii)</w:t>
      </w:r>
      <w:r>
        <w:rPr>
          <w:sz w:val="26"/>
          <w:szCs w:val="26"/>
        </w:rPr>
        <w:tab/>
      </w:r>
      <w:r w:rsidR="00580A66" w:rsidRPr="00580A66">
        <w:rPr>
          <w:sz w:val="26"/>
          <w:szCs w:val="26"/>
        </w:rPr>
        <w:t xml:space="preserve">Solar aggregators must make offers to participate in the set aside in multiples of 100 SRECs, not to exceed the maximum set aside amount for each procurement.  Offers will be submitted through an electronic mailbox.  Following announcement of the applicable average SREC price, offers will be accepted on a first come-first serve basis.  Offers will be ranked based upon the e-mail submission time stamp.  If the </w:t>
      </w:r>
      <w:r w:rsidR="00580A66" w:rsidRPr="00580A66">
        <w:rPr>
          <w:sz w:val="26"/>
          <w:szCs w:val="26"/>
        </w:rPr>
        <w:lastRenderedPageBreak/>
        <w:t>final offering in a solicitation exceeds the number of SRECs remaining for solicitation, the accepted final offering will be limited to the number of SRECs remaining.</w:t>
      </w:r>
    </w:p>
    <w:p w:rsidR="00D141FA" w:rsidRDefault="00D141FA" w:rsidP="00DE0148">
      <w:pPr>
        <w:pStyle w:val="ListNumber"/>
        <w:numPr>
          <w:ilvl w:val="0"/>
          <w:numId w:val="0"/>
        </w:numPr>
        <w:spacing w:line="360" w:lineRule="auto"/>
        <w:ind w:left="3240"/>
        <w:rPr>
          <w:sz w:val="26"/>
          <w:szCs w:val="26"/>
        </w:rPr>
      </w:pPr>
    </w:p>
    <w:p w:rsidR="00507ECE" w:rsidRPr="00580A66" w:rsidRDefault="00837E8D" w:rsidP="00DE0148">
      <w:pPr>
        <w:pStyle w:val="ListNumber"/>
        <w:numPr>
          <w:ilvl w:val="0"/>
          <w:numId w:val="0"/>
        </w:numPr>
        <w:spacing w:line="360" w:lineRule="auto"/>
        <w:jc w:val="both"/>
        <w:rPr>
          <w:sz w:val="26"/>
          <w:szCs w:val="26"/>
        </w:rPr>
      </w:pPr>
      <w:r>
        <w:rPr>
          <w:sz w:val="26"/>
          <w:szCs w:val="26"/>
        </w:rPr>
        <w:t xml:space="preserve">Joint Partial Settlement Petition </w:t>
      </w:r>
      <w:r w:rsidR="00507ECE">
        <w:rPr>
          <w:sz w:val="26"/>
          <w:szCs w:val="26"/>
        </w:rPr>
        <w:t>at 6-12.</w:t>
      </w:r>
    </w:p>
    <w:p w:rsidR="00580A66" w:rsidRPr="00580A66" w:rsidRDefault="00580A66" w:rsidP="00DE0148">
      <w:pPr>
        <w:pStyle w:val="ListNumber"/>
        <w:numPr>
          <w:ilvl w:val="0"/>
          <w:numId w:val="0"/>
        </w:numPr>
        <w:spacing w:line="360" w:lineRule="auto"/>
        <w:jc w:val="both"/>
        <w:rPr>
          <w:sz w:val="26"/>
          <w:szCs w:val="26"/>
        </w:rPr>
      </w:pPr>
    </w:p>
    <w:p w:rsidR="00580A66" w:rsidRPr="00580A66" w:rsidRDefault="00580A66" w:rsidP="00DE0148">
      <w:pPr>
        <w:pStyle w:val="ListNumber"/>
        <w:numPr>
          <w:ilvl w:val="0"/>
          <w:numId w:val="0"/>
        </w:numPr>
        <w:spacing w:line="360" w:lineRule="auto"/>
        <w:ind w:left="720"/>
        <w:jc w:val="both"/>
        <w:rPr>
          <w:sz w:val="26"/>
          <w:szCs w:val="26"/>
        </w:rPr>
      </w:pPr>
      <w:r w:rsidRPr="00580A66">
        <w:rPr>
          <w:sz w:val="26"/>
          <w:szCs w:val="26"/>
        </w:rPr>
        <w:t>The Joint Petitioners further agree that:</w:t>
      </w:r>
    </w:p>
    <w:p w:rsidR="00580A66" w:rsidRPr="00580A66" w:rsidRDefault="00580A66" w:rsidP="00DE0148">
      <w:pPr>
        <w:pStyle w:val="ListNumber"/>
        <w:numPr>
          <w:ilvl w:val="0"/>
          <w:numId w:val="0"/>
        </w:numPr>
        <w:spacing w:line="360" w:lineRule="auto"/>
        <w:jc w:val="both"/>
        <w:rPr>
          <w:sz w:val="26"/>
          <w:szCs w:val="26"/>
        </w:rPr>
      </w:pPr>
    </w:p>
    <w:p w:rsidR="00580A66" w:rsidRPr="00580A66" w:rsidRDefault="00580A66" w:rsidP="00DE0148">
      <w:pPr>
        <w:pStyle w:val="ListNumber"/>
        <w:numPr>
          <w:ilvl w:val="0"/>
          <w:numId w:val="11"/>
        </w:numPr>
        <w:tabs>
          <w:tab w:val="clear" w:pos="2160"/>
        </w:tabs>
        <w:spacing w:line="240" w:lineRule="auto"/>
        <w:ind w:left="1440" w:right="1440" w:firstLine="0"/>
        <w:rPr>
          <w:sz w:val="26"/>
          <w:szCs w:val="26"/>
        </w:rPr>
      </w:pPr>
      <w:r w:rsidRPr="00580A66">
        <w:rPr>
          <w:sz w:val="26"/>
          <w:szCs w:val="26"/>
        </w:rPr>
        <w:t>SEF will not contend, in the 10-year unit entitlement procurement filing to be made pursuant to the DSP settlement,</w:t>
      </w:r>
      <w:r w:rsidRPr="00580A66">
        <w:rPr>
          <w:rStyle w:val="FootnoteReference"/>
          <w:sz w:val="26"/>
          <w:szCs w:val="26"/>
        </w:rPr>
        <w:footnoteReference w:id="2"/>
      </w:r>
      <w:r w:rsidRPr="00580A66">
        <w:rPr>
          <w:sz w:val="26"/>
          <w:szCs w:val="26"/>
        </w:rPr>
        <w:t xml:space="preserve"> that the 10-year unit entitlement procurement should be based upon a renewable energy system.</w:t>
      </w:r>
    </w:p>
    <w:p w:rsidR="00580A66" w:rsidRPr="00580A66" w:rsidRDefault="00580A66" w:rsidP="00DE0148">
      <w:pPr>
        <w:pStyle w:val="ListNumber"/>
        <w:numPr>
          <w:ilvl w:val="0"/>
          <w:numId w:val="0"/>
        </w:numPr>
        <w:spacing w:line="240" w:lineRule="auto"/>
        <w:ind w:left="1440" w:right="1440"/>
        <w:rPr>
          <w:sz w:val="26"/>
          <w:szCs w:val="26"/>
        </w:rPr>
      </w:pPr>
    </w:p>
    <w:p w:rsidR="00D141FA" w:rsidRDefault="00580A66" w:rsidP="00DE0148">
      <w:pPr>
        <w:pStyle w:val="ListNumber"/>
        <w:numPr>
          <w:ilvl w:val="0"/>
          <w:numId w:val="11"/>
        </w:numPr>
        <w:tabs>
          <w:tab w:val="clear" w:pos="2160"/>
        </w:tabs>
        <w:spacing w:line="240" w:lineRule="auto"/>
        <w:ind w:left="1440" w:right="1440" w:firstLine="0"/>
        <w:rPr>
          <w:sz w:val="26"/>
          <w:szCs w:val="26"/>
        </w:rPr>
      </w:pPr>
      <w:r w:rsidRPr="00580A66">
        <w:rPr>
          <w:sz w:val="26"/>
          <w:szCs w:val="26"/>
        </w:rPr>
        <w:t>The intervention of Solar Alliance is limited to the proposal to add a new form of procurement for SRECs into the DSP Plan, and shall not be precedent for parties that were not part of the original DSP Plan proceeding to intervene after the fact in any future proceeding involving the DSP Plan.</w:t>
      </w:r>
    </w:p>
    <w:p w:rsidR="00E320E4" w:rsidRPr="00D141FA" w:rsidRDefault="00E320E4" w:rsidP="00DE0148">
      <w:pPr>
        <w:pStyle w:val="ListNumber"/>
        <w:numPr>
          <w:ilvl w:val="0"/>
          <w:numId w:val="0"/>
        </w:numPr>
        <w:spacing w:line="240" w:lineRule="auto"/>
        <w:ind w:left="2880"/>
        <w:rPr>
          <w:sz w:val="26"/>
          <w:szCs w:val="26"/>
        </w:rPr>
      </w:pPr>
    </w:p>
    <w:p w:rsidR="00C122EA" w:rsidRDefault="00E320E4" w:rsidP="00DE0148">
      <w:pPr>
        <w:pStyle w:val="ListNumber"/>
        <w:numPr>
          <w:ilvl w:val="0"/>
          <w:numId w:val="0"/>
        </w:numPr>
        <w:spacing w:line="360" w:lineRule="auto"/>
        <w:jc w:val="both"/>
        <w:rPr>
          <w:sz w:val="26"/>
          <w:szCs w:val="26"/>
        </w:rPr>
      </w:pPr>
      <w:r>
        <w:rPr>
          <w:sz w:val="26"/>
          <w:szCs w:val="26"/>
        </w:rPr>
        <w:t xml:space="preserve">Joint Partial Settlement </w:t>
      </w:r>
      <w:r w:rsidR="00507ECE">
        <w:rPr>
          <w:sz w:val="26"/>
          <w:szCs w:val="26"/>
        </w:rPr>
        <w:t>Petition at 12.</w:t>
      </w:r>
    </w:p>
    <w:p w:rsidR="00E320E4" w:rsidRPr="00580A66" w:rsidRDefault="00E320E4" w:rsidP="00DE0148">
      <w:pPr>
        <w:pStyle w:val="ListNumber"/>
        <w:numPr>
          <w:ilvl w:val="0"/>
          <w:numId w:val="0"/>
        </w:numPr>
        <w:spacing w:line="360" w:lineRule="auto"/>
        <w:ind w:firstLine="720"/>
        <w:jc w:val="both"/>
        <w:rPr>
          <w:sz w:val="26"/>
          <w:szCs w:val="26"/>
        </w:rPr>
      </w:pPr>
    </w:p>
    <w:p w:rsidR="00013566" w:rsidRPr="00013566" w:rsidRDefault="006A4EFE" w:rsidP="00DE0148">
      <w:pPr>
        <w:pStyle w:val="ListNumber"/>
        <w:numPr>
          <w:ilvl w:val="0"/>
          <w:numId w:val="0"/>
        </w:numPr>
        <w:spacing w:line="360" w:lineRule="auto"/>
        <w:ind w:firstLine="1440"/>
        <w:rPr>
          <w:sz w:val="26"/>
          <w:szCs w:val="26"/>
        </w:rPr>
      </w:pPr>
      <w:r>
        <w:rPr>
          <w:sz w:val="26"/>
          <w:szCs w:val="26"/>
        </w:rPr>
        <w:t>The Joint Petitioners asse</w:t>
      </w:r>
      <w:r w:rsidR="000C2088">
        <w:rPr>
          <w:sz w:val="26"/>
          <w:szCs w:val="26"/>
        </w:rPr>
        <w:t>r</w:t>
      </w:r>
      <w:r>
        <w:rPr>
          <w:sz w:val="26"/>
          <w:szCs w:val="26"/>
        </w:rPr>
        <w:t>t that t</w:t>
      </w:r>
      <w:r w:rsidR="008B336F">
        <w:rPr>
          <w:sz w:val="26"/>
          <w:szCs w:val="26"/>
        </w:rPr>
        <w:t>he modification of PPL</w:t>
      </w:r>
      <w:r w:rsidR="00580A66" w:rsidRPr="00580A66">
        <w:rPr>
          <w:sz w:val="26"/>
          <w:szCs w:val="26"/>
        </w:rPr>
        <w:t xml:space="preserve">’s DSP Plan to authorize a revised procedure for prospective acquisition of SRECs, subject to the terms and conditions set forth above, reflects a carefully balanced compromise of the interests of all the Joint Petitioners in this proceeding.  </w:t>
      </w:r>
      <w:r w:rsidR="00124E49">
        <w:rPr>
          <w:sz w:val="26"/>
          <w:szCs w:val="26"/>
        </w:rPr>
        <w:t>The Joint Petitioners conclude that t</w:t>
      </w:r>
      <w:r w:rsidR="00482AEC">
        <w:rPr>
          <w:sz w:val="26"/>
          <w:szCs w:val="26"/>
        </w:rPr>
        <w:t xml:space="preserve">he </w:t>
      </w:r>
      <w:r w:rsidR="00580A66" w:rsidRPr="00580A66">
        <w:rPr>
          <w:sz w:val="26"/>
          <w:szCs w:val="26"/>
        </w:rPr>
        <w:t>Settlement is in the public interest.</w:t>
      </w:r>
      <w:r>
        <w:rPr>
          <w:sz w:val="26"/>
          <w:szCs w:val="26"/>
        </w:rPr>
        <w:t xml:space="preserve">  Petition at 12.</w:t>
      </w:r>
    </w:p>
    <w:p w:rsidR="00013566" w:rsidRDefault="00013566" w:rsidP="00DE0148">
      <w:pPr>
        <w:widowControl/>
        <w:spacing w:line="360" w:lineRule="auto"/>
        <w:rPr>
          <w:b/>
          <w:sz w:val="26"/>
          <w:szCs w:val="26"/>
          <w:u w:val="single"/>
        </w:rPr>
      </w:pPr>
    </w:p>
    <w:p w:rsidR="00C70324" w:rsidRDefault="00C70324" w:rsidP="00A61D86">
      <w:pPr>
        <w:keepNext/>
        <w:widowControl/>
        <w:suppressAutoHyphens/>
        <w:spacing w:line="360" w:lineRule="auto"/>
        <w:jc w:val="center"/>
        <w:rPr>
          <w:b/>
          <w:spacing w:val="-3"/>
          <w:sz w:val="26"/>
          <w:szCs w:val="26"/>
        </w:rPr>
      </w:pPr>
      <w:r w:rsidRPr="00A66535">
        <w:rPr>
          <w:b/>
          <w:spacing w:val="-3"/>
          <w:sz w:val="26"/>
          <w:szCs w:val="26"/>
        </w:rPr>
        <w:lastRenderedPageBreak/>
        <w:t>Discussion</w:t>
      </w:r>
    </w:p>
    <w:p w:rsidR="001D3A7F" w:rsidRDefault="001D3A7F" w:rsidP="00A61D86">
      <w:pPr>
        <w:keepNext/>
        <w:widowControl/>
        <w:suppressAutoHyphens/>
        <w:spacing w:line="360" w:lineRule="auto"/>
        <w:jc w:val="center"/>
        <w:rPr>
          <w:b/>
          <w:spacing w:val="-3"/>
          <w:sz w:val="26"/>
          <w:szCs w:val="26"/>
        </w:rPr>
      </w:pPr>
    </w:p>
    <w:p w:rsidR="001D3A7F" w:rsidRDefault="001D3A7F" w:rsidP="00DE0148">
      <w:pPr>
        <w:widowControl/>
        <w:suppressAutoHyphens/>
        <w:spacing w:line="360" w:lineRule="auto"/>
        <w:ind w:firstLine="1440"/>
        <w:rPr>
          <w:spacing w:val="-3"/>
          <w:sz w:val="26"/>
          <w:szCs w:val="26"/>
        </w:rPr>
      </w:pPr>
      <w:r>
        <w:rPr>
          <w:spacing w:val="-3"/>
          <w:sz w:val="26"/>
          <w:szCs w:val="26"/>
        </w:rPr>
        <w:t>Pursuant to our Regulations at 52 Pa. Code § 5.231, it is the Commission’s policy to promote settlements.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C70324" w:rsidRDefault="00C70324" w:rsidP="00DE0148">
      <w:pPr>
        <w:widowControl/>
        <w:spacing w:line="360" w:lineRule="auto"/>
        <w:rPr>
          <w:rFonts w:ascii="Times New (W1)" w:hAnsi="Times New (W1)"/>
          <w:sz w:val="26"/>
          <w:szCs w:val="26"/>
        </w:rPr>
      </w:pPr>
    </w:p>
    <w:p w:rsidR="00C70324" w:rsidRDefault="00C70324" w:rsidP="00DE0148">
      <w:pPr>
        <w:widowControl/>
        <w:spacing w:line="360" w:lineRule="auto"/>
        <w:ind w:firstLine="1440"/>
        <w:rPr>
          <w:rFonts w:ascii="Times New (W1)" w:hAnsi="Times New (W1)"/>
          <w:sz w:val="26"/>
        </w:rPr>
      </w:pPr>
      <w:r>
        <w:rPr>
          <w:rFonts w:ascii="Times New (W1)" w:hAnsi="Times New (W1)"/>
          <w:sz w:val="26"/>
        </w:rPr>
        <w:t>The ALJ made seventeen Findings of Fact and reached eleven Conclusions of Law.  The Findings of Fact and Conclusions of Law are incorporated herein by reference and are adopted without comment unless they are either expressly or by necessary implication rejected or modified by this Opinion and Order.</w:t>
      </w:r>
    </w:p>
    <w:p w:rsidR="00C122EA" w:rsidRDefault="00C122EA" w:rsidP="00DE0148">
      <w:pPr>
        <w:widowControl/>
        <w:tabs>
          <w:tab w:val="left" w:pos="-1440"/>
          <w:tab w:val="left" w:pos="-720"/>
        </w:tabs>
        <w:suppressAutoHyphens/>
        <w:spacing w:line="360" w:lineRule="auto"/>
        <w:rPr>
          <w:spacing w:val="-3"/>
          <w:sz w:val="26"/>
          <w:szCs w:val="26"/>
        </w:rPr>
      </w:pPr>
    </w:p>
    <w:p w:rsidR="00C70324" w:rsidRDefault="00C70324" w:rsidP="00DE0148">
      <w:pPr>
        <w:widowControl/>
        <w:spacing w:line="360" w:lineRule="auto"/>
        <w:ind w:firstLine="1440"/>
        <w:rPr>
          <w:rFonts w:ascii="Times New (W1)" w:hAnsi="Times New (W1)"/>
          <w:sz w:val="26"/>
        </w:rPr>
      </w:pPr>
      <w:r w:rsidRPr="0066037B">
        <w:rPr>
          <w:rFonts w:ascii="Times New (W1)" w:hAnsi="Times New (W1)"/>
          <w:sz w:val="26"/>
        </w:rPr>
        <w:t xml:space="preserve">Before addressing the Exceptions, it is noted that any issue or Exception that we do not specifically </w:t>
      </w:r>
      <w:r>
        <w:rPr>
          <w:rFonts w:ascii="Times New (W1)" w:hAnsi="Times New (W1)"/>
          <w:sz w:val="26"/>
        </w:rPr>
        <w:t>discuss</w:t>
      </w:r>
      <w:r w:rsidRPr="0066037B">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66037B">
        <w:rPr>
          <w:rFonts w:ascii="Times New (W1)" w:hAnsi="Times New (W1)"/>
          <w:i/>
          <w:sz w:val="26"/>
        </w:rPr>
        <w:t xml:space="preserve"> Consolidated Rail Corp. v. </w:t>
      </w:r>
      <w:smartTag w:uri="urn:schemas-microsoft-com:office:smarttags" w:element="State">
        <w:r w:rsidRPr="0066037B">
          <w:rPr>
            <w:rFonts w:ascii="Times New (W1)" w:hAnsi="Times New (W1)"/>
            <w:i/>
            <w:sz w:val="26"/>
          </w:rPr>
          <w:t>Pennsylvania</w:t>
        </w:r>
      </w:smartTag>
      <w:r w:rsidRPr="0066037B">
        <w:rPr>
          <w:rFonts w:ascii="Times New (W1)" w:hAnsi="Times New (W1)"/>
          <w:i/>
          <w:sz w:val="26"/>
        </w:rPr>
        <w:t xml:space="preserve"> Public Utility Commission</w:t>
      </w:r>
      <w:r w:rsidRPr="0066037B">
        <w:rPr>
          <w:rFonts w:ascii="Times New (W1)" w:hAnsi="Times New (W1)"/>
          <w:sz w:val="26"/>
        </w:rPr>
        <w:t>, 625 A.2d 741 (</w:t>
      </w:r>
      <w:smartTag w:uri="urn:schemas-microsoft-com:office:smarttags" w:element="State">
        <w:smartTag w:uri="urn:schemas-microsoft-com:office:smarttags" w:element="PostalCode">
          <w:r w:rsidRPr="0066037B">
            <w:rPr>
              <w:rFonts w:ascii="Times New (W1)" w:hAnsi="Times New (W1)"/>
              <w:sz w:val="26"/>
            </w:rPr>
            <w:t>Pa.</w:t>
          </w:r>
        </w:smartTag>
      </w:smartTag>
      <w:r>
        <w:rPr>
          <w:rFonts w:ascii="Times New (W1)" w:hAnsi="Times New (W1)"/>
          <w:sz w:val="26"/>
        </w:rPr>
        <w:t xml:space="preserve"> Cmwlth. 1993).</w:t>
      </w:r>
    </w:p>
    <w:p w:rsidR="00B57FA7" w:rsidRDefault="00B57FA7" w:rsidP="00DE0148">
      <w:pPr>
        <w:widowControl/>
        <w:autoSpaceDE w:val="0"/>
        <w:autoSpaceDN w:val="0"/>
        <w:adjustRightInd w:val="0"/>
        <w:spacing w:line="360" w:lineRule="auto"/>
        <w:ind w:left="1440" w:right="1440" w:firstLine="720"/>
        <w:rPr>
          <w:sz w:val="26"/>
          <w:szCs w:val="26"/>
        </w:rPr>
      </w:pPr>
    </w:p>
    <w:p w:rsidR="00B57FA7" w:rsidRDefault="000F07CA" w:rsidP="00DE0148">
      <w:pPr>
        <w:widowControl/>
        <w:spacing w:line="360" w:lineRule="auto"/>
        <w:ind w:firstLine="1440"/>
        <w:rPr>
          <w:sz w:val="26"/>
          <w:szCs w:val="26"/>
        </w:rPr>
      </w:pPr>
      <w:r>
        <w:rPr>
          <w:sz w:val="26"/>
          <w:szCs w:val="26"/>
        </w:rPr>
        <w:t xml:space="preserve">In its </w:t>
      </w:r>
      <w:r w:rsidR="00BB39FB">
        <w:rPr>
          <w:sz w:val="26"/>
          <w:szCs w:val="26"/>
        </w:rPr>
        <w:t xml:space="preserve">first </w:t>
      </w:r>
      <w:r>
        <w:rPr>
          <w:sz w:val="26"/>
          <w:szCs w:val="26"/>
        </w:rPr>
        <w:t xml:space="preserve">Exception, SEF submits that the ALJ erred in determining that solar aggregators under the </w:t>
      </w:r>
      <w:r w:rsidR="00A7710F">
        <w:rPr>
          <w:sz w:val="26"/>
          <w:szCs w:val="26"/>
        </w:rPr>
        <w:t xml:space="preserve">small-scale solar set aside program should not be required to certify that they have a long-term purchase agreement or agreements for SRECs equivalent to or longer than the solicitation contract delivery period.  </w:t>
      </w:r>
      <w:r w:rsidR="00C44ADE">
        <w:rPr>
          <w:sz w:val="26"/>
          <w:szCs w:val="26"/>
        </w:rPr>
        <w:t xml:space="preserve">SEF states that if the policy and goals of the Commission’s Solar Policy Statement are to be met then the solar aggregator should also be required </w:t>
      </w:r>
      <w:r w:rsidR="00AE2794">
        <w:rPr>
          <w:sz w:val="26"/>
          <w:szCs w:val="26"/>
        </w:rPr>
        <w:t>to certify that it has long term contracts with qualifying solar systems for SRECs equal to or longer in term length of the bilateral contract between the aggregator and PPL.  Exc. at 5-6.</w:t>
      </w:r>
    </w:p>
    <w:p w:rsidR="00AE2794" w:rsidRDefault="00AE2794" w:rsidP="00DE0148">
      <w:pPr>
        <w:widowControl/>
        <w:spacing w:line="360" w:lineRule="auto"/>
        <w:ind w:firstLine="1440"/>
        <w:rPr>
          <w:sz w:val="26"/>
          <w:szCs w:val="26"/>
        </w:rPr>
      </w:pPr>
    </w:p>
    <w:p w:rsidR="00AE2794" w:rsidRDefault="00957E03" w:rsidP="00DE0148">
      <w:pPr>
        <w:widowControl/>
        <w:spacing w:line="360" w:lineRule="auto"/>
        <w:ind w:firstLine="1440"/>
        <w:rPr>
          <w:sz w:val="26"/>
          <w:szCs w:val="26"/>
        </w:rPr>
      </w:pPr>
      <w:r>
        <w:rPr>
          <w:sz w:val="26"/>
          <w:szCs w:val="26"/>
        </w:rPr>
        <w:lastRenderedPageBreak/>
        <w:t>SEF agrees that</w:t>
      </w:r>
      <w:r w:rsidR="00B128C3">
        <w:rPr>
          <w:sz w:val="26"/>
          <w:szCs w:val="26"/>
        </w:rPr>
        <w:t>,</w:t>
      </w:r>
      <w:r>
        <w:rPr>
          <w:sz w:val="26"/>
          <w:szCs w:val="26"/>
        </w:rPr>
        <w:t xml:space="preserve"> while the certification by aggregators that all SREC credits are provided from solar systems installed on or after June 1, 2010</w:t>
      </w:r>
      <w:r w:rsidR="006A4EFE">
        <w:rPr>
          <w:sz w:val="26"/>
          <w:szCs w:val="26"/>
        </w:rPr>
        <w:t>,</w:t>
      </w:r>
      <w:r>
        <w:rPr>
          <w:sz w:val="26"/>
          <w:szCs w:val="26"/>
        </w:rPr>
        <w:t xml:space="preserve"> is a necessary beginning step in meeting the need for long-term revenue stability, </w:t>
      </w:r>
      <w:r w:rsidR="00B128C3">
        <w:rPr>
          <w:sz w:val="26"/>
          <w:szCs w:val="26"/>
        </w:rPr>
        <w:t xml:space="preserve">such </w:t>
      </w:r>
      <w:r>
        <w:rPr>
          <w:sz w:val="26"/>
          <w:szCs w:val="26"/>
        </w:rPr>
        <w:t>certification alone does not go far enough in meeting the Commission’s goals.</w:t>
      </w:r>
      <w:r w:rsidR="001C7823">
        <w:rPr>
          <w:sz w:val="26"/>
          <w:szCs w:val="26"/>
        </w:rPr>
        <w:t xml:space="preserve">  SEF points out that this is a critical flaw in the long-term small-scale set aside program.  </w:t>
      </w:r>
      <w:proofErr w:type="gramStart"/>
      <w:r w:rsidR="001C7823">
        <w:rPr>
          <w:sz w:val="26"/>
          <w:szCs w:val="26"/>
        </w:rPr>
        <w:t>Exc. at 8.</w:t>
      </w:r>
      <w:proofErr w:type="gramEnd"/>
    </w:p>
    <w:p w:rsidR="001C7823" w:rsidRDefault="001C7823" w:rsidP="00DE0148">
      <w:pPr>
        <w:widowControl/>
        <w:spacing w:line="360" w:lineRule="auto"/>
        <w:ind w:firstLine="1440"/>
        <w:rPr>
          <w:sz w:val="26"/>
          <w:szCs w:val="26"/>
        </w:rPr>
      </w:pPr>
    </w:p>
    <w:p w:rsidR="001C7823" w:rsidRDefault="001C7823" w:rsidP="00DE0148">
      <w:pPr>
        <w:widowControl/>
        <w:spacing w:line="360" w:lineRule="auto"/>
        <w:ind w:firstLine="1440"/>
        <w:rPr>
          <w:sz w:val="26"/>
          <w:szCs w:val="26"/>
        </w:rPr>
      </w:pPr>
      <w:r>
        <w:rPr>
          <w:sz w:val="26"/>
          <w:szCs w:val="26"/>
        </w:rPr>
        <w:t xml:space="preserve">SEF argues that </w:t>
      </w:r>
      <w:r w:rsidR="00073152">
        <w:rPr>
          <w:sz w:val="26"/>
          <w:szCs w:val="26"/>
        </w:rPr>
        <w:t>without the requirement that aggregators enter into long-term contracts with developers of solar systems under the small-scale set aside program, the public benefit resulting from the set aside procurement will be severely mitigated or destroyed.</w:t>
      </w:r>
      <w:r w:rsidR="007B7FC3">
        <w:rPr>
          <w:sz w:val="26"/>
          <w:szCs w:val="26"/>
        </w:rPr>
        <w:t xml:space="preserve">  </w:t>
      </w:r>
      <w:proofErr w:type="gramStart"/>
      <w:r w:rsidR="007B7FC3">
        <w:rPr>
          <w:sz w:val="26"/>
          <w:szCs w:val="26"/>
        </w:rPr>
        <w:t>Exc. at 9.</w:t>
      </w:r>
      <w:proofErr w:type="gramEnd"/>
    </w:p>
    <w:p w:rsidR="007B7FC3" w:rsidRDefault="007B7FC3" w:rsidP="00DE0148">
      <w:pPr>
        <w:widowControl/>
        <w:spacing w:line="360" w:lineRule="auto"/>
        <w:ind w:firstLine="1440"/>
        <w:rPr>
          <w:sz w:val="26"/>
          <w:szCs w:val="26"/>
        </w:rPr>
      </w:pPr>
    </w:p>
    <w:p w:rsidR="001B32BE" w:rsidRDefault="007B7FC3" w:rsidP="00DE0148">
      <w:pPr>
        <w:widowControl/>
        <w:spacing w:line="360" w:lineRule="auto"/>
        <w:ind w:firstLine="1440"/>
        <w:rPr>
          <w:sz w:val="26"/>
          <w:szCs w:val="26"/>
        </w:rPr>
      </w:pPr>
      <w:r>
        <w:rPr>
          <w:sz w:val="26"/>
          <w:szCs w:val="26"/>
        </w:rPr>
        <w:t>SEF avers that without a certification of long-term contracts, aggregators will simply purchase SRECs from small-scale systems and therefore the Commission’s goal of fostering new solar project development will not be met.</w:t>
      </w:r>
      <w:r w:rsidR="002E59F0">
        <w:rPr>
          <w:sz w:val="26"/>
          <w:szCs w:val="26"/>
        </w:rPr>
        <w:t xml:space="preserve">  SEF argues that the record demonstrates that the certification by aggregators under the small-scale solar set aside program that they have long-term purchase agreements for SRECs equivalent to or longer than the contract delivery period is necessary if the program </w:t>
      </w:r>
      <w:r w:rsidR="00521910">
        <w:rPr>
          <w:sz w:val="26"/>
          <w:szCs w:val="26"/>
        </w:rPr>
        <w:t>is to effectively meet the Commission’s Solar Policy Statement’s goal of developing new small-scale solar generation capacity.  Exc. at 11-12.</w:t>
      </w:r>
    </w:p>
    <w:p w:rsidR="00013566" w:rsidRDefault="00013566" w:rsidP="00DE0148">
      <w:pPr>
        <w:widowControl/>
        <w:spacing w:line="360" w:lineRule="auto"/>
        <w:ind w:firstLine="1440"/>
        <w:rPr>
          <w:sz w:val="26"/>
          <w:szCs w:val="26"/>
        </w:rPr>
      </w:pPr>
    </w:p>
    <w:p w:rsidR="001D7C19" w:rsidRDefault="001D7C19" w:rsidP="00DE0148">
      <w:pPr>
        <w:widowControl/>
        <w:spacing w:line="360" w:lineRule="auto"/>
        <w:ind w:firstLine="1440"/>
        <w:rPr>
          <w:sz w:val="26"/>
          <w:szCs w:val="26"/>
        </w:rPr>
      </w:pPr>
      <w:r>
        <w:rPr>
          <w:sz w:val="26"/>
          <w:szCs w:val="26"/>
        </w:rPr>
        <w:t xml:space="preserve">SEF </w:t>
      </w:r>
      <w:r w:rsidR="009E4B4E">
        <w:rPr>
          <w:sz w:val="26"/>
          <w:szCs w:val="26"/>
        </w:rPr>
        <w:t xml:space="preserve">also </w:t>
      </w:r>
      <w:r>
        <w:rPr>
          <w:sz w:val="26"/>
          <w:szCs w:val="26"/>
        </w:rPr>
        <w:t>submits that PPL does not demonstrate that the certification of aggregators that they have long-term contracts with qualifying small-scale solar providers will create a barrier to entry, or that aggregators will not participate in the program.  SEF points out that the same speculation could apply to aggregators purchasing small-scale SRECs.</w:t>
      </w:r>
      <w:r w:rsidR="00144BD3">
        <w:rPr>
          <w:sz w:val="26"/>
          <w:szCs w:val="26"/>
        </w:rPr>
        <w:t xml:space="preserve">  </w:t>
      </w:r>
      <w:proofErr w:type="gramStart"/>
      <w:r w:rsidR="00144BD3">
        <w:rPr>
          <w:sz w:val="26"/>
          <w:szCs w:val="26"/>
        </w:rPr>
        <w:t>Exc. at 13.</w:t>
      </w:r>
      <w:proofErr w:type="gramEnd"/>
    </w:p>
    <w:p w:rsidR="00144BD3" w:rsidRDefault="00144BD3" w:rsidP="00DE0148">
      <w:pPr>
        <w:widowControl/>
        <w:spacing w:line="360" w:lineRule="auto"/>
        <w:ind w:firstLine="1440"/>
        <w:rPr>
          <w:sz w:val="26"/>
          <w:szCs w:val="26"/>
        </w:rPr>
      </w:pPr>
    </w:p>
    <w:p w:rsidR="00144BD3" w:rsidRDefault="00D4058D" w:rsidP="00DE0148">
      <w:pPr>
        <w:widowControl/>
        <w:spacing w:line="360" w:lineRule="auto"/>
        <w:ind w:firstLine="1440"/>
        <w:rPr>
          <w:sz w:val="26"/>
          <w:szCs w:val="26"/>
        </w:rPr>
      </w:pPr>
      <w:r>
        <w:rPr>
          <w:sz w:val="26"/>
          <w:szCs w:val="26"/>
        </w:rPr>
        <w:t xml:space="preserve">SEF submits </w:t>
      </w:r>
      <w:r w:rsidR="003C5B63">
        <w:rPr>
          <w:sz w:val="26"/>
          <w:szCs w:val="26"/>
        </w:rPr>
        <w:t xml:space="preserve">in </w:t>
      </w:r>
      <w:r w:rsidR="00440900">
        <w:rPr>
          <w:sz w:val="26"/>
          <w:szCs w:val="26"/>
        </w:rPr>
        <w:t>its second</w:t>
      </w:r>
      <w:r w:rsidR="003C5B63">
        <w:rPr>
          <w:sz w:val="26"/>
          <w:szCs w:val="26"/>
        </w:rPr>
        <w:t xml:space="preserve"> Exception, </w:t>
      </w:r>
      <w:r>
        <w:rPr>
          <w:sz w:val="26"/>
          <w:szCs w:val="26"/>
        </w:rPr>
        <w:t xml:space="preserve">that the ALJ </w:t>
      </w:r>
      <w:r w:rsidR="00440900">
        <w:rPr>
          <w:sz w:val="26"/>
          <w:szCs w:val="26"/>
        </w:rPr>
        <w:t xml:space="preserve">subjected it to an inappropriate burden of proof.  </w:t>
      </w:r>
      <w:r w:rsidR="00270E82">
        <w:rPr>
          <w:sz w:val="26"/>
          <w:szCs w:val="26"/>
        </w:rPr>
        <w:t xml:space="preserve">SEF argues that the ALJ is requiring a stricter standard of </w:t>
      </w:r>
      <w:r w:rsidR="00270E82">
        <w:rPr>
          <w:sz w:val="26"/>
          <w:szCs w:val="26"/>
        </w:rPr>
        <w:lastRenderedPageBreak/>
        <w:t>proof than has been applied to any of the issues inherent in PPL’s DSP Plan or its Act</w:t>
      </w:r>
      <w:r w:rsidR="00761342">
        <w:rPr>
          <w:sz w:val="26"/>
          <w:szCs w:val="26"/>
        </w:rPr>
        <w:t> </w:t>
      </w:r>
      <w:r w:rsidR="00270E82">
        <w:rPr>
          <w:sz w:val="26"/>
          <w:szCs w:val="26"/>
        </w:rPr>
        <w:t>129 Plan.</w:t>
      </w:r>
      <w:r w:rsidR="004C2DD3">
        <w:rPr>
          <w:sz w:val="26"/>
          <w:szCs w:val="26"/>
        </w:rPr>
        <w:t xml:space="preserve">  Exc. at 1</w:t>
      </w:r>
      <w:r w:rsidR="00440900">
        <w:rPr>
          <w:sz w:val="26"/>
          <w:szCs w:val="26"/>
        </w:rPr>
        <w:t>5-</w:t>
      </w:r>
      <w:r w:rsidR="004C2DD3">
        <w:rPr>
          <w:sz w:val="26"/>
          <w:szCs w:val="26"/>
        </w:rPr>
        <w:t>16.</w:t>
      </w:r>
    </w:p>
    <w:p w:rsidR="000773E5" w:rsidRDefault="000773E5" w:rsidP="00DE0148">
      <w:pPr>
        <w:widowControl/>
        <w:spacing w:line="360" w:lineRule="auto"/>
        <w:ind w:firstLine="1440"/>
        <w:rPr>
          <w:sz w:val="26"/>
          <w:szCs w:val="26"/>
        </w:rPr>
      </w:pPr>
    </w:p>
    <w:p w:rsidR="000773E5" w:rsidRDefault="00DA1CF1" w:rsidP="00DE0148">
      <w:pPr>
        <w:widowControl/>
        <w:spacing w:line="360" w:lineRule="auto"/>
        <w:ind w:firstLine="1440"/>
        <w:rPr>
          <w:sz w:val="26"/>
          <w:szCs w:val="26"/>
        </w:rPr>
      </w:pPr>
      <w:r>
        <w:rPr>
          <w:sz w:val="26"/>
          <w:szCs w:val="26"/>
        </w:rPr>
        <w:t xml:space="preserve">In reply, </w:t>
      </w:r>
      <w:r w:rsidR="000773E5">
        <w:rPr>
          <w:sz w:val="26"/>
          <w:szCs w:val="26"/>
        </w:rPr>
        <w:t>PPL avers that SEF’s proposal to require aggregators to offer only long-term contracts to purchase SRECs from small system owners is not supported by the Commission’s prior determination or by the record evidence.</w:t>
      </w:r>
      <w:r w:rsidR="008141F3">
        <w:rPr>
          <w:sz w:val="26"/>
          <w:szCs w:val="26"/>
        </w:rPr>
        <w:t xml:space="preserve">  PPL </w:t>
      </w:r>
      <w:r w:rsidR="00596906">
        <w:rPr>
          <w:sz w:val="26"/>
          <w:szCs w:val="26"/>
        </w:rPr>
        <w:t>argues</w:t>
      </w:r>
      <w:r w:rsidR="008141F3">
        <w:rPr>
          <w:sz w:val="26"/>
          <w:szCs w:val="26"/>
        </w:rPr>
        <w:t xml:space="preserve"> that SEF’s contention that the Solar Policy Statement requires the certification of long-term contracts between aggregators and small-scale solar facilities is not supported by the language of the Solar Policy Statement.  PPL </w:t>
      </w:r>
      <w:r w:rsidR="00C2151F">
        <w:rPr>
          <w:sz w:val="26"/>
          <w:szCs w:val="26"/>
        </w:rPr>
        <w:t xml:space="preserve">opines that </w:t>
      </w:r>
      <w:r w:rsidR="00244564">
        <w:rPr>
          <w:sz w:val="26"/>
          <w:szCs w:val="26"/>
        </w:rPr>
        <w:t xml:space="preserve">granting </w:t>
      </w:r>
      <w:r w:rsidR="00C2151F">
        <w:rPr>
          <w:sz w:val="26"/>
          <w:szCs w:val="26"/>
        </w:rPr>
        <w:t xml:space="preserve">the </w:t>
      </w:r>
      <w:r w:rsidR="00244564">
        <w:rPr>
          <w:sz w:val="26"/>
          <w:szCs w:val="26"/>
        </w:rPr>
        <w:t xml:space="preserve">Joint </w:t>
      </w:r>
      <w:r w:rsidR="00C2151F">
        <w:rPr>
          <w:sz w:val="26"/>
          <w:szCs w:val="26"/>
        </w:rPr>
        <w:t xml:space="preserve">Partial Settlement </w:t>
      </w:r>
      <w:r w:rsidR="00244564">
        <w:rPr>
          <w:sz w:val="26"/>
          <w:szCs w:val="26"/>
        </w:rPr>
        <w:t xml:space="preserve">Petition </w:t>
      </w:r>
      <w:r w:rsidR="00C2151F">
        <w:rPr>
          <w:sz w:val="26"/>
          <w:szCs w:val="26"/>
        </w:rPr>
        <w:t>will provide long-term revenue stability to encourage the development of small-scale solar projects.  R. Exc. at 2-3.</w:t>
      </w:r>
    </w:p>
    <w:p w:rsidR="00630190" w:rsidRDefault="00630190" w:rsidP="00DE0148">
      <w:pPr>
        <w:widowControl/>
        <w:spacing w:line="360" w:lineRule="auto"/>
        <w:ind w:firstLine="1440"/>
        <w:rPr>
          <w:sz w:val="26"/>
          <w:szCs w:val="26"/>
        </w:rPr>
      </w:pPr>
    </w:p>
    <w:p w:rsidR="00630190" w:rsidRDefault="00630190" w:rsidP="00DE0148">
      <w:pPr>
        <w:widowControl/>
        <w:spacing w:line="360" w:lineRule="auto"/>
        <w:ind w:firstLine="1440"/>
        <w:rPr>
          <w:sz w:val="26"/>
          <w:szCs w:val="26"/>
        </w:rPr>
      </w:pPr>
      <w:r>
        <w:rPr>
          <w:sz w:val="26"/>
          <w:szCs w:val="26"/>
        </w:rPr>
        <w:t xml:space="preserve">PPL posits that solar aggregators should be given </w:t>
      </w:r>
      <w:r w:rsidR="00954644">
        <w:rPr>
          <w:sz w:val="26"/>
          <w:szCs w:val="26"/>
        </w:rPr>
        <w:t>the flexibility to acquire SRECs from small-scale facilities using a variety of approaches.  PPL argues that market uncertainty increases the need for flexibility in contract terms, so that market participants can adjust to unforeseen situations.</w:t>
      </w:r>
      <w:r w:rsidR="000340DC">
        <w:rPr>
          <w:sz w:val="26"/>
          <w:szCs w:val="26"/>
        </w:rPr>
        <w:t xml:space="preserve">  R. Exc. at 5.</w:t>
      </w:r>
    </w:p>
    <w:p w:rsidR="000340DC" w:rsidRDefault="000340DC" w:rsidP="00DE0148">
      <w:pPr>
        <w:widowControl/>
        <w:spacing w:line="360" w:lineRule="auto"/>
        <w:ind w:firstLine="1440"/>
        <w:rPr>
          <w:sz w:val="26"/>
          <w:szCs w:val="26"/>
        </w:rPr>
      </w:pPr>
    </w:p>
    <w:p w:rsidR="004D000B" w:rsidRDefault="000340DC" w:rsidP="00DE0148">
      <w:pPr>
        <w:widowControl/>
        <w:spacing w:line="360" w:lineRule="auto"/>
        <w:ind w:firstLine="1440"/>
        <w:rPr>
          <w:sz w:val="26"/>
          <w:szCs w:val="26"/>
        </w:rPr>
      </w:pPr>
      <w:r>
        <w:rPr>
          <w:sz w:val="26"/>
          <w:szCs w:val="26"/>
        </w:rPr>
        <w:t xml:space="preserve">PPL contends that </w:t>
      </w:r>
      <w:r w:rsidR="00D8352B">
        <w:rPr>
          <w:sz w:val="26"/>
          <w:szCs w:val="26"/>
        </w:rPr>
        <w:t>its</w:t>
      </w:r>
      <w:r>
        <w:rPr>
          <w:sz w:val="26"/>
          <w:szCs w:val="26"/>
        </w:rPr>
        <w:t xml:space="preserve"> position in this proceeding does not inhibit the use of long-term contracts provided that is the option that small-scale solar systems prefer.</w:t>
      </w:r>
      <w:r w:rsidR="00A36605">
        <w:rPr>
          <w:sz w:val="26"/>
          <w:szCs w:val="26"/>
        </w:rPr>
        <w:t xml:space="preserve">  PPL points to the record evidence that shows that solar aggregators are currently offering a variety of contract lengths ranging from one to ten years.  Thus, PPL argues that long-term contracts are available to market participants who prefer that option.</w:t>
      </w:r>
      <w:r>
        <w:rPr>
          <w:sz w:val="26"/>
          <w:szCs w:val="26"/>
        </w:rPr>
        <w:t xml:space="preserve"> </w:t>
      </w:r>
      <w:r w:rsidR="00D8352B">
        <w:rPr>
          <w:sz w:val="26"/>
          <w:szCs w:val="26"/>
        </w:rPr>
        <w:t xml:space="preserve"> </w:t>
      </w:r>
      <w:proofErr w:type="gramStart"/>
      <w:r w:rsidR="00D8352B">
        <w:rPr>
          <w:sz w:val="26"/>
          <w:szCs w:val="26"/>
        </w:rPr>
        <w:t>R.Exc. at 6.</w:t>
      </w:r>
      <w:proofErr w:type="gramEnd"/>
    </w:p>
    <w:p w:rsidR="00013566" w:rsidRPr="00294012" w:rsidRDefault="00013566" w:rsidP="00DE0148">
      <w:pPr>
        <w:widowControl/>
        <w:spacing w:line="360" w:lineRule="auto"/>
        <w:ind w:firstLine="1440"/>
        <w:rPr>
          <w:sz w:val="26"/>
          <w:szCs w:val="26"/>
        </w:rPr>
      </w:pPr>
    </w:p>
    <w:p w:rsidR="004D000B" w:rsidRDefault="00440900" w:rsidP="00DE0148">
      <w:pPr>
        <w:widowControl/>
        <w:spacing w:line="360" w:lineRule="auto"/>
        <w:ind w:firstLine="1440"/>
        <w:rPr>
          <w:sz w:val="26"/>
          <w:szCs w:val="26"/>
        </w:rPr>
      </w:pPr>
      <w:r>
        <w:rPr>
          <w:sz w:val="26"/>
          <w:szCs w:val="26"/>
        </w:rPr>
        <w:t xml:space="preserve">PPL opines that </w:t>
      </w:r>
      <w:r w:rsidR="005A6D8C">
        <w:rPr>
          <w:sz w:val="26"/>
          <w:szCs w:val="26"/>
        </w:rPr>
        <w:t>SEF in misinterpreting the Recommended Decision in that the ALJ did not require that SEF “guarantee that solar aggregators can meet the long-term contract requirements attendant with cer</w:t>
      </w:r>
      <w:r w:rsidR="00866D97">
        <w:rPr>
          <w:sz w:val="26"/>
          <w:szCs w:val="26"/>
        </w:rPr>
        <w:t>ti</w:t>
      </w:r>
      <w:r w:rsidR="005A6D8C">
        <w:rPr>
          <w:sz w:val="26"/>
          <w:szCs w:val="26"/>
        </w:rPr>
        <w:t xml:space="preserve">fication.”  PPL points out that the ALJ did require </w:t>
      </w:r>
      <w:r w:rsidR="007013DD">
        <w:rPr>
          <w:sz w:val="26"/>
          <w:szCs w:val="26"/>
        </w:rPr>
        <w:t xml:space="preserve">that </w:t>
      </w:r>
      <w:r w:rsidR="005A6D8C">
        <w:rPr>
          <w:sz w:val="26"/>
          <w:szCs w:val="26"/>
        </w:rPr>
        <w:t xml:space="preserve">SEF support its position with record evidence.  </w:t>
      </w:r>
      <w:r w:rsidR="00380542">
        <w:rPr>
          <w:sz w:val="26"/>
          <w:szCs w:val="26"/>
        </w:rPr>
        <w:t>PPL argues that SEF offered no evidence and therefore, failed to meet its burden of proof.  R. Exc. at 7.</w:t>
      </w:r>
    </w:p>
    <w:p w:rsidR="00380542" w:rsidRDefault="00380542" w:rsidP="00DE0148">
      <w:pPr>
        <w:widowControl/>
        <w:spacing w:line="360" w:lineRule="auto"/>
        <w:ind w:firstLine="1440"/>
        <w:rPr>
          <w:sz w:val="26"/>
          <w:szCs w:val="26"/>
        </w:rPr>
      </w:pPr>
    </w:p>
    <w:p w:rsidR="00380542" w:rsidRDefault="00380542" w:rsidP="00DE0148">
      <w:pPr>
        <w:widowControl/>
        <w:spacing w:line="360" w:lineRule="auto"/>
        <w:ind w:firstLine="1440"/>
        <w:rPr>
          <w:sz w:val="26"/>
          <w:szCs w:val="26"/>
        </w:rPr>
      </w:pPr>
      <w:r>
        <w:rPr>
          <w:sz w:val="26"/>
          <w:szCs w:val="26"/>
        </w:rPr>
        <w:lastRenderedPageBreak/>
        <w:t xml:space="preserve">PPL submits that it offered evidence to show that the proposed certification requirement is neither prudent </w:t>
      </w:r>
      <w:r w:rsidR="00866D97">
        <w:rPr>
          <w:sz w:val="26"/>
          <w:szCs w:val="26"/>
        </w:rPr>
        <w:t>nor necessary.  PPL argues that the imposition of the long-term contract requirement may create a new barrier to entry, as some owners of small-scale solar facilities may refuse to participate.</w:t>
      </w:r>
      <w:r w:rsidR="005A1185">
        <w:rPr>
          <w:sz w:val="26"/>
          <w:szCs w:val="26"/>
        </w:rPr>
        <w:t xml:space="preserve">  R. Exc. at 7.</w:t>
      </w:r>
    </w:p>
    <w:p w:rsidR="008D727F" w:rsidRDefault="008D727F" w:rsidP="00DE0148">
      <w:pPr>
        <w:widowControl/>
        <w:spacing w:line="360" w:lineRule="auto"/>
        <w:ind w:firstLine="1440"/>
        <w:rPr>
          <w:sz w:val="26"/>
          <w:szCs w:val="26"/>
        </w:rPr>
      </w:pPr>
    </w:p>
    <w:p w:rsidR="00B601A2" w:rsidRDefault="00B601A2" w:rsidP="00DE0148">
      <w:pPr>
        <w:widowControl/>
        <w:spacing w:line="360" w:lineRule="auto"/>
        <w:ind w:firstLine="1440"/>
        <w:rPr>
          <w:sz w:val="26"/>
          <w:szCs w:val="26"/>
        </w:rPr>
      </w:pPr>
      <w:r>
        <w:rPr>
          <w:sz w:val="26"/>
          <w:szCs w:val="26"/>
        </w:rPr>
        <w:t xml:space="preserve">As summarized by the ALJ, the SEF restriction would: (1) limit the options of small-scale solar owners; (2) discourage participation from those aggregators forced </w:t>
      </w:r>
      <w:r w:rsidR="006F223F">
        <w:rPr>
          <w:sz w:val="26"/>
          <w:szCs w:val="26"/>
        </w:rPr>
        <w:t xml:space="preserve">to comply; (3) bar the participation of new solar operators; and (4) require the Company to incur additional administrative costs (to be passed onto ratepayers) by forcing it to confirm that the aggregators’ contracts were </w:t>
      </w:r>
      <w:r w:rsidR="000E0E4D">
        <w:rPr>
          <w:sz w:val="26"/>
          <w:szCs w:val="26"/>
        </w:rPr>
        <w:t>long-term.</w:t>
      </w:r>
    </w:p>
    <w:p w:rsidR="006F223F" w:rsidRDefault="006F223F" w:rsidP="00DE0148">
      <w:pPr>
        <w:widowControl/>
        <w:spacing w:line="360" w:lineRule="auto"/>
        <w:ind w:firstLine="1440"/>
        <w:rPr>
          <w:sz w:val="26"/>
          <w:szCs w:val="26"/>
        </w:rPr>
      </w:pPr>
    </w:p>
    <w:p w:rsidR="00FC113A" w:rsidRDefault="008D727F" w:rsidP="00DE0148">
      <w:pPr>
        <w:widowControl/>
        <w:spacing w:line="360" w:lineRule="auto"/>
        <w:ind w:firstLine="1440"/>
        <w:rPr>
          <w:sz w:val="26"/>
          <w:szCs w:val="26"/>
        </w:rPr>
      </w:pPr>
      <w:r>
        <w:rPr>
          <w:sz w:val="26"/>
          <w:szCs w:val="26"/>
        </w:rPr>
        <w:t xml:space="preserve">We agree with </w:t>
      </w:r>
      <w:r w:rsidR="00F05E26">
        <w:rPr>
          <w:sz w:val="26"/>
          <w:szCs w:val="26"/>
        </w:rPr>
        <w:t xml:space="preserve">PPL that a long-term contract certification requirement on the aggregator, as proposed by SEF, may discourage solar aggregators from participating in the set aside program.  </w:t>
      </w:r>
      <w:r w:rsidR="004832EF">
        <w:rPr>
          <w:sz w:val="26"/>
          <w:szCs w:val="26"/>
        </w:rPr>
        <w:t xml:space="preserve">Requiring small-scale solar facility owners to enter into minimum length long-term agreements may limit the options available for all participants that cannot or do not wish to sign long-term contracts with a term at least as long as the specified procurement period.  </w:t>
      </w:r>
      <w:r w:rsidR="001D0891">
        <w:rPr>
          <w:sz w:val="26"/>
          <w:szCs w:val="26"/>
        </w:rPr>
        <w:t>Therefore, we shall deny SEF</w:t>
      </w:r>
      <w:r w:rsidR="007013DD">
        <w:rPr>
          <w:sz w:val="26"/>
          <w:szCs w:val="26"/>
        </w:rPr>
        <w:t>’s</w:t>
      </w:r>
      <w:r w:rsidR="001D0891">
        <w:rPr>
          <w:sz w:val="26"/>
          <w:szCs w:val="26"/>
        </w:rPr>
        <w:t xml:space="preserve"> proposed long-term contract certification requirement on aggregators as this additional requirement is not in the best interest of the solar facility owner, aggregators, the competitive SREC market or PPL.</w:t>
      </w:r>
    </w:p>
    <w:p w:rsidR="00D375BF" w:rsidRDefault="00D375BF" w:rsidP="00DE0148">
      <w:pPr>
        <w:widowControl/>
        <w:spacing w:line="360" w:lineRule="auto"/>
        <w:ind w:firstLine="1440"/>
        <w:rPr>
          <w:sz w:val="26"/>
          <w:szCs w:val="26"/>
        </w:rPr>
      </w:pPr>
    </w:p>
    <w:p w:rsidR="00FC113A" w:rsidRPr="00574C64" w:rsidRDefault="007013DD" w:rsidP="00DE0148">
      <w:pPr>
        <w:widowControl/>
        <w:spacing w:line="360" w:lineRule="auto"/>
        <w:ind w:firstLine="1440"/>
        <w:rPr>
          <w:sz w:val="26"/>
          <w:szCs w:val="26"/>
        </w:rPr>
      </w:pPr>
      <w:r>
        <w:rPr>
          <w:sz w:val="26"/>
          <w:szCs w:val="26"/>
        </w:rPr>
        <w:t>With regard to the burden of proof issue, w</w:t>
      </w:r>
      <w:r w:rsidR="00FC113A">
        <w:rPr>
          <w:sz w:val="26"/>
          <w:szCs w:val="26"/>
        </w:rPr>
        <w:t>e agree with the ALJ and PPL that SEF has not provided any evidence that solar aggregators can meet the long-term</w:t>
      </w:r>
      <w:r w:rsidR="00BA3B6F">
        <w:rPr>
          <w:sz w:val="26"/>
          <w:szCs w:val="26"/>
        </w:rPr>
        <w:t xml:space="preserve"> contract requirement, nor has it produced any evidence that aggregators or small system owners want long-term contracts.  Th</w:t>
      </w:r>
      <w:r w:rsidR="00C34E91">
        <w:rPr>
          <w:sz w:val="26"/>
          <w:szCs w:val="26"/>
        </w:rPr>
        <w:t>erefore,</w:t>
      </w:r>
      <w:r w:rsidR="00BA3B6F">
        <w:rPr>
          <w:sz w:val="26"/>
          <w:szCs w:val="26"/>
        </w:rPr>
        <w:t xml:space="preserve"> </w:t>
      </w:r>
      <w:r w:rsidR="008D727F">
        <w:rPr>
          <w:sz w:val="26"/>
          <w:szCs w:val="26"/>
        </w:rPr>
        <w:t>we agree with the ALJ</w:t>
      </w:r>
      <w:r w:rsidR="009E262F">
        <w:rPr>
          <w:sz w:val="26"/>
          <w:szCs w:val="26"/>
        </w:rPr>
        <w:t>’s conclusion</w:t>
      </w:r>
      <w:r w:rsidR="008D727F">
        <w:rPr>
          <w:sz w:val="26"/>
          <w:szCs w:val="26"/>
        </w:rPr>
        <w:t xml:space="preserve"> that </w:t>
      </w:r>
      <w:r w:rsidR="00BA3B6F">
        <w:rPr>
          <w:sz w:val="26"/>
          <w:szCs w:val="26"/>
        </w:rPr>
        <w:t xml:space="preserve">SEF has failed to sustain its burden of proof. </w:t>
      </w:r>
    </w:p>
    <w:p w:rsidR="004B671F" w:rsidRDefault="004B671F" w:rsidP="00DE0148">
      <w:pPr>
        <w:widowControl/>
        <w:spacing w:line="360" w:lineRule="auto"/>
        <w:rPr>
          <w:sz w:val="26"/>
          <w:szCs w:val="26"/>
        </w:rPr>
      </w:pPr>
      <w:bookmarkStart w:id="0" w:name="_Toc278283263"/>
    </w:p>
    <w:p w:rsidR="001D0D5B" w:rsidRDefault="00B74984" w:rsidP="00A61D86">
      <w:pPr>
        <w:keepNext/>
        <w:widowControl/>
        <w:spacing w:after="200"/>
        <w:jc w:val="center"/>
        <w:rPr>
          <w:b/>
          <w:sz w:val="26"/>
          <w:szCs w:val="26"/>
        </w:rPr>
      </w:pPr>
      <w:r w:rsidRPr="000C4DA0">
        <w:rPr>
          <w:b/>
          <w:sz w:val="26"/>
          <w:szCs w:val="26"/>
        </w:rPr>
        <w:lastRenderedPageBreak/>
        <w:t>Conclusion</w:t>
      </w:r>
      <w:bookmarkEnd w:id="0"/>
    </w:p>
    <w:p w:rsidR="00A61D86" w:rsidRDefault="00A61D86" w:rsidP="00A61D86">
      <w:pPr>
        <w:keepNext/>
        <w:widowControl/>
        <w:spacing w:after="200"/>
        <w:jc w:val="center"/>
        <w:rPr>
          <w:b/>
          <w:sz w:val="26"/>
          <w:szCs w:val="26"/>
        </w:rPr>
      </w:pPr>
    </w:p>
    <w:p w:rsidR="009E262F" w:rsidRDefault="009E262F" w:rsidP="00A61D86">
      <w:pPr>
        <w:widowControl/>
        <w:spacing w:line="360" w:lineRule="auto"/>
        <w:ind w:firstLine="1440"/>
        <w:rPr>
          <w:sz w:val="26"/>
          <w:szCs w:val="26"/>
        </w:rPr>
      </w:pPr>
      <w:r>
        <w:rPr>
          <w:spacing w:val="-3"/>
          <w:sz w:val="26"/>
          <w:szCs w:val="26"/>
        </w:rPr>
        <w:t xml:space="preserve">Based on the above discussion, we shall deny the Sustainable Energy Fund’s Exceptions and adopt the ALJ ’s Recommended Decision, which approves the </w:t>
      </w:r>
      <w:r w:rsidR="00244564">
        <w:rPr>
          <w:spacing w:val="-3"/>
          <w:sz w:val="26"/>
          <w:szCs w:val="26"/>
        </w:rPr>
        <w:t>Joint Partial Settlement Petition</w:t>
      </w:r>
      <w:r>
        <w:rPr>
          <w:spacing w:val="-3"/>
          <w:sz w:val="26"/>
          <w:szCs w:val="26"/>
        </w:rPr>
        <w:t xml:space="preserve">;  </w:t>
      </w:r>
      <w:r w:rsidRPr="001C7049">
        <w:rPr>
          <w:b/>
          <w:sz w:val="26"/>
          <w:szCs w:val="26"/>
        </w:rPr>
        <w:t>THEREFORE</w:t>
      </w:r>
      <w:r w:rsidRPr="001C7049">
        <w:rPr>
          <w:sz w:val="26"/>
          <w:szCs w:val="26"/>
        </w:rPr>
        <w:t>,</w:t>
      </w:r>
    </w:p>
    <w:p w:rsidR="003760D9" w:rsidRPr="003C51BF" w:rsidRDefault="003760D9" w:rsidP="00A61D86">
      <w:pPr>
        <w:widowControl/>
        <w:spacing w:line="360" w:lineRule="auto"/>
        <w:rPr>
          <w:sz w:val="26"/>
          <w:szCs w:val="26"/>
        </w:rPr>
      </w:pPr>
    </w:p>
    <w:p w:rsidR="003C51BF" w:rsidRPr="003C51BF" w:rsidRDefault="004B7C32" w:rsidP="00A61D86">
      <w:pPr>
        <w:widowControl/>
        <w:spacing w:line="360" w:lineRule="auto"/>
        <w:rPr>
          <w:b/>
          <w:sz w:val="26"/>
          <w:szCs w:val="26"/>
        </w:rPr>
      </w:pPr>
      <w:r>
        <w:rPr>
          <w:b/>
          <w:sz w:val="26"/>
          <w:szCs w:val="26"/>
        </w:rPr>
        <w:tab/>
      </w:r>
      <w:r>
        <w:rPr>
          <w:b/>
          <w:sz w:val="26"/>
          <w:szCs w:val="26"/>
        </w:rPr>
        <w:tab/>
      </w:r>
      <w:r w:rsidR="003C51BF" w:rsidRPr="003C51BF">
        <w:rPr>
          <w:b/>
          <w:sz w:val="26"/>
          <w:szCs w:val="26"/>
        </w:rPr>
        <w:t>IT IS ORDERED:</w:t>
      </w:r>
    </w:p>
    <w:p w:rsidR="003C51BF" w:rsidRPr="003C51BF" w:rsidRDefault="003C51BF" w:rsidP="00A61D86">
      <w:pPr>
        <w:widowControl/>
        <w:spacing w:line="360" w:lineRule="auto"/>
        <w:rPr>
          <w:sz w:val="26"/>
          <w:szCs w:val="26"/>
        </w:rPr>
      </w:pPr>
    </w:p>
    <w:p w:rsidR="00B3062E" w:rsidRDefault="003C51BF" w:rsidP="00DE0148">
      <w:pPr>
        <w:widowControl/>
        <w:spacing w:line="360" w:lineRule="auto"/>
        <w:rPr>
          <w:sz w:val="26"/>
          <w:szCs w:val="26"/>
        </w:rPr>
      </w:pPr>
      <w:r w:rsidRPr="003C51BF">
        <w:rPr>
          <w:b/>
          <w:sz w:val="26"/>
          <w:szCs w:val="26"/>
        </w:rPr>
        <w:tab/>
      </w:r>
      <w:r w:rsidRPr="003C51BF">
        <w:rPr>
          <w:b/>
          <w:sz w:val="26"/>
          <w:szCs w:val="26"/>
        </w:rPr>
        <w:tab/>
      </w:r>
      <w:r w:rsidRPr="003C51BF">
        <w:rPr>
          <w:sz w:val="26"/>
          <w:szCs w:val="26"/>
        </w:rPr>
        <w:t>1.</w:t>
      </w:r>
      <w:r w:rsidRPr="003C51BF">
        <w:rPr>
          <w:sz w:val="26"/>
          <w:szCs w:val="26"/>
        </w:rPr>
        <w:tab/>
        <w:t xml:space="preserve">That the </w:t>
      </w:r>
      <w:r w:rsidR="009E262F">
        <w:rPr>
          <w:sz w:val="26"/>
          <w:szCs w:val="26"/>
        </w:rPr>
        <w:t>Exceptions of the Sustainable Energy Fund</w:t>
      </w:r>
      <w:r w:rsidR="005222CA">
        <w:rPr>
          <w:sz w:val="26"/>
          <w:szCs w:val="26"/>
        </w:rPr>
        <w:t xml:space="preserve"> of Central Eastern Pennsylvania</w:t>
      </w:r>
      <w:r w:rsidR="0004195C">
        <w:rPr>
          <w:sz w:val="26"/>
          <w:szCs w:val="26"/>
        </w:rPr>
        <w:t>, filed on December 27, 2010,</w:t>
      </w:r>
      <w:r w:rsidR="009E262F">
        <w:rPr>
          <w:sz w:val="26"/>
          <w:szCs w:val="26"/>
        </w:rPr>
        <w:t xml:space="preserve"> </w:t>
      </w:r>
      <w:r w:rsidR="006E47AB">
        <w:rPr>
          <w:sz w:val="26"/>
          <w:szCs w:val="26"/>
        </w:rPr>
        <w:t xml:space="preserve">are </w:t>
      </w:r>
      <w:r w:rsidR="009E262F">
        <w:rPr>
          <w:sz w:val="26"/>
          <w:szCs w:val="26"/>
        </w:rPr>
        <w:t>denied.</w:t>
      </w:r>
    </w:p>
    <w:p w:rsidR="00C122EA" w:rsidRDefault="00C122EA" w:rsidP="00DE0148">
      <w:pPr>
        <w:widowControl/>
        <w:spacing w:line="360" w:lineRule="auto"/>
        <w:rPr>
          <w:sz w:val="26"/>
          <w:szCs w:val="26"/>
        </w:rPr>
      </w:pPr>
    </w:p>
    <w:p w:rsidR="00013566" w:rsidRDefault="00B3062E" w:rsidP="00DE0148">
      <w:pPr>
        <w:widowControl/>
        <w:spacing w:line="360" w:lineRule="auto"/>
        <w:ind w:firstLine="1440"/>
        <w:rPr>
          <w:sz w:val="26"/>
          <w:szCs w:val="26"/>
        </w:rPr>
      </w:pPr>
      <w:r>
        <w:rPr>
          <w:sz w:val="26"/>
          <w:szCs w:val="26"/>
        </w:rPr>
        <w:t>2.</w:t>
      </w:r>
      <w:r>
        <w:rPr>
          <w:sz w:val="26"/>
          <w:szCs w:val="26"/>
        </w:rPr>
        <w:tab/>
      </w:r>
      <w:r w:rsidR="00C00A3D">
        <w:rPr>
          <w:sz w:val="26"/>
          <w:szCs w:val="26"/>
        </w:rPr>
        <w:t xml:space="preserve">That </w:t>
      </w:r>
      <w:r w:rsidR="00D32E5E">
        <w:rPr>
          <w:sz w:val="26"/>
          <w:szCs w:val="26"/>
        </w:rPr>
        <w:t>the Recommended Decision of A</w:t>
      </w:r>
      <w:r w:rsidR="006E47AB">
        <w:rPr>
          <w:sz w:val="26"/>
          <w:szCs w:val="26"/>
        </w:rPr>
        <w:t xml:space="preserve">dministrative Law Judge </w:t>
      </w:r>
      <w:r w:rsidR="00D32E5E">
        <w:rPr>
          <w:sz w:val="26"/>
          <w:szCs w:val="26"/>
        </w:rPr>
        <w:t xml:space="preserve">Susan D. Colwell </w:t>
      </w:r>
      <w:r w:rsidR="00B30615">
        <w:rPr>
          <w:sz w:val="26"/>
          <w:szCs w:val="26"/>
        </w:rPr>
        <w:t>is adopted</w:t>
      </w:r>
      <w:r w:rsidR="00D32E5E">
        <w:rPr>
          <w:sz w:val="26"/>
          <w:szCs w:val="26"/>
        </w:rPr>
        <w:t>, consistent with this Opinion and Order.</w:t>
      </w:r>
    </w:p>
    <w:p w:rsidR="00B30615" w:rsidRDefault="00B30615" w:rsidP="00DE0148">
      <w:pPr>
        <w:widowControl/>
        <w:spacing w:line="360" w:lineRule="auto"/>
        <w:ind w:firstLine="1440"/>
        <w:rPr>
          <w:sz w:val="26"/>
          <w:szCs w:val="26"/>
        </w:rPr>
      </w:pPr>
    </w:p>
    <w:p w:rsidR="00B30615" w:rsidRDefault="00B30615" w:rsidP="00DE0148">
      <w:pPr>
        <w:widowControl/>
        <w:spacing w:line="360" w:lineRule="auto"/>
        <w:ind w:firstLine="1440"/>
        <w:rPr>
          <w:sz w:val="26"/>
          <w:szCs w:val="26"/>
        </w:rPr>
      </w:pPr>
      <w:r>
        <w:rPr>
          <w:sz w:val="26"/>
          <w:szCs w:val="26"/>
        </w:rPr>
        <w:t>3.</w:t>
      </w:r>
      <w:r>
        <w:rPr>
          <w:sz w:val="26"/>
          <w:szCs w:val="26"/>
        </w:rPr>
        <w:tab/>
      </w:r>
      <w:r w:rsidRPr="00B30615">
        <w:rPr>
          <w:sz w:val="26"/>
          <w:szCs w:val="26"/>
        </w:rPr>
        <w:t xml:space="preserve">That the </w:t>
      </w:r>
      <w:r w:rsidR="00D82D34">
        <w:rPr>
          <w:sz w:val="26"/>
          <w:szCs w:val="26"/>
        </w:rPr>
        <w:t xml:space="preserve">Joint Petition for Partial </w:t>
      </w:r>
      <w:r w:rsidRPr="00B30615">
        <w:rPr>
          <w:sz w:val="26"/>
          <w:szCs w:val="26"/>
        </w:rPr>
        <w:t xml:space="preserve">Settlement filed </w:t>
      </w:r>
      <w:r w:rsidR="00D82D34">
        <w:rPr>
          <w:sz w:val="26"/>
          <w:szCs w:val="26"/>
        </w:rPr>
        <w:t xml:space="preserve">on November 16, 2010, </w:t>
      </w:r>
      <w:r w:rsidRPr="00B30615">
        <w:rPr>
          <w:sz w:val="26"/>
          <w:szCs w:val="26"/>
        </w:rPr>
        <w:t>in the case captioned Petition of PPL Electric Utilities Corporation for Approval of a Default Service Program and Procurement Plan for the Period January 1, 2011 Through May 31, 2013 (Petition of PPL Electric Utilities for Approval to Modify its Procurement of Solar Alternative Energy Credits</w:t>
      </w:r>
      <w:r w:rsidR="0044540F">
        <w:rPr>
          <w:sz w:val="26"/>
          <w:szCs w:val="26"/>
        </w:rPr>
        <w:t>)</w:t>
      </w:r>
      <w:r w:rsidRPr="00B30615">
        <w:rPr>
          <w:sz w:val="26"/>
          <w:szCs w:val="26"/>
        </w:rPr>
        <w:t>, at Docket No. P-2008-</w:t>
      </w:r>
      <w:proofErr w:type="gramStart"/>
      <w:r w:rsidRPr="00B30615">
        <w:rPr>
          <w:sz w:val="26"/>
          <w:szCs w:val="26"/>
        </w:rPr>
        <w:t>2060309,</w:t>
      </w:r>
      <w:proofErr w:type="gramEnd"/>
      <w:r w:rsidRPr="00B30615">
        <w:rPr>
          <w:sz w:val="26"/>
          <w:szCs w:val="26"/>
        </w:rPr>
        <w:t xml:space="preserve"> is approved without modification.</w:t>
      </w:r>
    </w:p>
    <w:p w:rsidR="00B30615" w:rsidRDefault="00B30615" w:rsidP="00DE0148">
      <w:pPr>
        <w:widowControl/>
        <w:spacing w:line="360" w:lineRule="auto"/>
        <w:ind w:firstLine="1440"/>
        <w:rPr>
          <w:sz w:val="26"/>
          <w:szCs w:val="26"/>
        </w:rPr>
      </w:pPr>
    </w:p>
    <w:p w:rsidR="006E47AB" w:rsidRDefault="00B30615" w:rsidP="00DE0148">
      <w:pPr>
        <w:widowControl/>
        <w:spacing w:line="360" w:lineRule="auto"/>
        <w:ind w:firstLine="1440"/>
        <w:rPr>
          <w:sz w:val="26"/>
          <w:szCs w:val="26"/>
        </w:rPr>
      </w:pPr>
      <w:r>
        <w:rPr>
          <w:sz w:val="26"/>
          <w:szCs w:val="26"/>
        </w:rPr>
        <w:t>4</w:t>
      </w:r>
      <w:r w:rsidR="006E47AB">
        <w:rPr>
          <w:sz w:val="26"/>
          <w:szCs w:val="26"/>
        </w:rPr>
        <w:t>.</w:t>
      </w:r>
      <w:r w:rsidR="006E47AB">
        <w:rPr>
          <w:sz w:val="26"/>
          <w:szCs w:val="26"/>
        </w:rPr>
        <w:tab/>
      </w:r>
      <w:r w:rsidR="006E47AB" w:rsidRPr="006E47AB">
        <w:rPr>
          <w:sz w:val="26"/>
          <w:szCs w:val="26"/>
        </w:rPr>
        <w:t>That the Modification proposed by the Sustainable Energy Fund of Central Eastern Pennsylvania, to require that aggregators for participation in the small system set aside program be required to enter long-term contracts with solar renewable energy credit providers, is denied</w:t>
      </w:r>
      <w:r>
        <w:rPr>
          <w:sz w:val="26"/>
          <w:szCs w:val="26"/>
        </w:rPr>
        <w:t>, consistent with this Opinion and Order.</w:t>
      </w:r>
    </w:p>
    <w:p w:rsidR="00B30615" w:rsidRDefault="00B30615" w:rsidP="00DE0148">
      <w:pPr>
        <w:widowControl/>
        <w:spacing w:line="360" w:lineRule="auto"/>
        <w:ind w:firstLine="1440"/>
        <w:rPr>
          <w:sz w:val="26"/>
          <w:szCs w:val="26"/>
        </w:rPr>
      </w:pPr>
    </w:p>
    <w:p w:rsidR="00B30615" w:rsidRDefault="00B30615">
      <w:pPr>
        <w:widowControl/>
        <w:spacing w:after="200" w:line="276" w:lineRule="auto"/>
        <w:rPr>
          <w:sz w:val="26"/>
          <w:szCs w:val="26"/>
        </w:rPr>
      </w:pPr>
      <w:r>
        <w:rPr>
          <w:sz w:val="26"/>
          <w:szCs w:val="26"/>
        </w:rPr>
        <w:br w:type="page"/>
      </w:r>
    </w:p>
    <w:p w:rsidR="00B30615" w:rsidRDefault="00B30615" w:rsidP="00DE0148">
      <w:pPr>
        <w:widowControl/>
        <w:spacing w:line="360" w:lineRule="auto"/>
        <w:ind w:firstLine="1440"/>
        <w:rPr>
          <w:sz w:val="26"/>
          <w:szCs w:val="26"/>
        </w:rPr>
      </w:pPr>
      <w:r>
        <w:rPr>
          <w:sz w:val="26"/>
          <w:szCs w:val="26"/>
        </w:rPr>
        <w:lastRenderedPageBreak/>
        <w:t>5.</w:t>
      </w:r>
      <w:r>
        <w:rPr>
          <w:sz w:val="26"/>
          <w:szCs w:val="26"/>
        </w:rPr>
        <w:tab/>
        <w:t>That this matter be marked closed.</w:t>
      </w:r>
    </w:p>
    <w:p w:rsidR="006E47AB" w:rsidRDefault="006E47AB" w:rsidP="00DE0148">
      <w:pPr>
        <w:widowControl/>
        <w:spacing w:line="360" w:lineRule="auto"/>
        <w:ind w:firstLine="1440"/>
        <w:rPr>
          <w:sz w:val="26"/>
          <w:szCs w:val="26"/>
        </w:rPr>
      </w:pPr>
    </w:p>
    <w:p w:rsidR="00F44A59" w:rsidRDefault="0042653C" w:rsidP="004B7C32">
      <w:pPr>
        <w:widowControl/>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2847975</wp:posOffset>
            </wp:positionH>
            <wp:positionV relativeFrom="paragraph">
              <wp:posOffset>182880</wp:posOffset>
            </wp:positionV>
            <wp:extent cx="2200275" cy="838200"/>
            <wp:effectExtent l="1905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44A59">
        <w:rPr>
          <w:sz w:val="26"/>
          <w:szCs w:val="26"/>
        </w:rPr>
        <w:tab/>
      </w:r>
      <w:r w:rsidR="005222CA">
        <w:rPr>
          <w:sz w:val="26"/>
          <w:szCs w:val="26"/>
        </w:rPr>
        <w:tab/>
      </w:r>
      <w:r w:rsidR="00A56E42">
        <w:rPr>
          <w:sz w:val="26"/>
          <w:szCs w:val="26"/>
        </w:rPr>
        <w:tab/>
      </w:r>
      <w:r w:rsidR="00A56E42">
        <w:rPr>
          <w:sz w:val="26"/>
          <w:szCs w:val="26"/>
        </w:rPr>
        <w:tab/>
      </w:r>
      <w:r w:rsidR="00A56E42">
        <w:rPr>
          <w:sz w:val="26"/>
          <w:szCs w:val="26"/>
        </w:rPr>
        <w:tab/>
      </w:r>
      <w:r w:rsidR="004B7C32">
        <w:rPr>
          <w:sz w:val="26"/>
          <w:szCs w:val="26"/>
        </w:rPr>
        <w:tab/>
      </w:r>
      <w:r w:rsidR="00A56E42">
        <w:rPr>
          <w:sz w:val="26"/>
          <w:szCs w:val="26"/>
        </w:rPr>
        <w:tab/>
      </w:r>
      <w:r w:rsidR="00A56E42">
        <w:rPr>
          <w:b/>
          <w:sz w:val="26"/>
          <w:szCs w:val="26"/>
        </w:rPr>
        <w:t>BY THE COMMISSION,</w:t>
      </w:r>
    </w:p>
    <w:p w:rsidR="009C4757" w:rsidRDefault="009C4757" w:rsidP="004B7C32">
      <w:pPr>
        <w:widowControl/>
        <w:rPr>
          <w:sz w:val="26"/>
          <w:szCs w:val="26"/>
        </w:rPr>
      </w:pPr>
    </w:p>
    <w:p w:rsidR="004B7C32" w:rsidRDefault="004B7C32" w:rsidP="004B7C32">
      <w:pPr>
        <w:widowControl/>
        <w:rPr>
          <w:sz w:val="26"/>
          <w:szCs w:val="26"/>
        </w:rPr>
      </w:pPr>
    </w:p>
    <w:p w:rsidR="00B30615" w:rsidRPr="004B7C32" w:rsidRDefault="00B30615" w:rsidP="004B7C32">
      <w:pPr>
        <w:widowControl/>
        <w:rPr>
          <w:sz w:val="26"/>
          <w:szCs w:val="26"/>
        </w:rPr>
      </w:pPr>
    </w:p>
    <w:p w:rsidR="008E4EC3" w:rsidRPr="004B7C32" w:rsidRDefault="008E4EC3" w:rsidP="004B7C32">
      <w:pPr>
        <w:widowControl/>
        <w:rPr>
          <w:sz w:val="26"/>
          <w:szCs w:val="26"/>
        </w:rPr>
      </w:pPr>
    </w:p>
    <w:p w:rsidR="00A56E42" w:rsidRDefault="00A56E42" w:rsidP="004B7C32">
      <w:pPr>
        <w:widowControl/>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4B7C32">
        <w:rPr>
          <w:b/>
          <w:sz w:val="26"/>
          <w:szCs w:val="26"/>
        </w:rPr>
        <w:tab/>
      </w:r>
      <w:r w:rsidR="004B7C32">
        <w:rPr>
          <w:b/>
          <w:sz w:val="26"/>
          <w:szCs w:val="26"/>
        </w:rPr>
        <w:tab/>
      </w:r>
      <w:r w:rsidR="0071570D">
        <w:rPr>
          <w:sz w:val="26"/>
          <w:szCs w:val="26"/>
        </w:rPr>
        <w:t xml:space="preserve">Rosemary Chiavetta </w:t>
      </w:r>
    </w:p>
    <w:p w:rsidR="00553DFE" w:rsidRDefault="004B7C32" w:rsidP="004B7C32">
      <w:pPr>
        <w:widowControl/>
        <w:rPr>
          <w:sz w:val="26"/>
          <w:szCs w:val="26"/>
        </w:rPr>
      </w:pPr>
      <w:r>
        <w:rPr>
          <w:sz w:val="26"/>
          <w:szCs w:val="26"/>
        </w:rPr>
        <w:tab/>
      </w:r>
      <w:r>
        <w:rPr>
          <w:sz w:val="26"/>
          <w:szCs w:val="26"/>
        </w:rPr>
        <w:tab/>
      </w:r>
      <w:r w:rsidR="00553DFE">
        <w:rPr>
          <w:sz w:val="26"/>
          <w:szCs w:val="26"/>
        </w:rPr>
        <w:tab/>
      </w:r>
      <w:r w:rsidR="00553DFE">
        <w:rPr>
          <w:sz w:val="26"/>
          <w:szCs w:val="26"/>
        </w:rPr>
        <w:tab/>
      </w:r>
      <w:r w:rsidR="00553DFE">
        <w:rPr>
          <w:sz w:val="26"/>
          <w:szCs w:val="26"/>
        </w:rPr>
        <w:tab/>
      </w:r>
      <w:r w:rsidR="00553DFE">
        <w:rPr>
          <w:sz w:val="26"/>
          <w:szCs w:val="26"/>
        </w:rPr>
        <w:tab/>
      </w:r>
      <w:r w:rsidR="00553DFE">
        <w:rPr>
          <w:sz w:val="26"/>
          <w:szCs w:val="26"/>
        </w:rPr>
        <w:tab/>
        <w:t>Secretary</w:t>
      </w:r>
    </w:p>
    <w:p w:rsidR="001B32BE" w:rsidRDefault="001B32BE" w:rsidP="004B7C32">
      <w:pPr>
        <w:widowControl/>
        <w:spacing w:line="360" w:lineRule="auto"/>
        <w:rPr>
          <w:sz w:val="26"/>
          <w:szCs w:val="26"/>
        </w:rPr>
      </w:pPr>
    </w:p>
    <w:p w:rsidR="00B30615" w:rsidRDefault="00B30615" w:rsidP="004B7C32">
      <w:pPr>
        <w:widowControl/>
        <w:spacing w:line="360" w:lineRule="auto"/>
        <w:rPr>
          <w:sz w:val="26"/>
          <w:szCs w:val="26"/>
        </w:rPr>
      </w:pPr>
    </w:p>
    <w:p w:rsidR="00553DFE" w:rsidRDefault="00553DFE" w:rsidP="00DE0148">
      <w:pPr>
        <w:widowControl/>
        <w:spacing w:line="360" w:lineRule="auto"/>
        <w:rPr>
          <w:sz w:val="26"/>
          <w:szCs w:val="26"/>
        </w:rPr>
      </w:pPr>
      <w:r>
        <w:rPr>
          <w:sz w:val="26"/>
          <w:szCs w:val="26"/>
        </w:rPr>
        <w:t>(SEAL)</w:t>
      </w:r>
    </w:p>
    <w:p w:rsidR="00553DFE" w:rsidRDefault="00553DFE" w:rsidP="00DE0148">
      <w:pPr>
        <w:widowControl/>
        <w:spacing w:line="360" w:lineRule="auto"/>
        <w:rPr>
          <w:sz w:val="26"/>
          <w:szCs w:val="26"/>
        </w:rPr>
      </w:pPr>
      <w:r>
        <w:rPr>
          <w:sz w:val="26"/>
          <w:szCs w:val="26"/>
        </w:rPr>
        <w:t>O</w:t>
      </w:r>
      <w:r w:rsidR="00657208">
        <w:rPr>
          <w:sz w:val="26"/>
          <w:szCs w:val="26"/>
        </w:rPr>
        <w:t xml:space="preserve">RDER ADOPTED: </w:t>
      </w:r>
      <w:r w:rsidR="00D375BF">
        <w:rPr>
          <w:sz w:val="26"/>
          <w:szCs w:val="26"/>
        </w:rPr>
        <w:t>Febru</w:t>
      </w:r>
      <w:r w:rsidR="00657208">
        <w:rPr>
          <w:sz w:val="26"/>
          <w:szCs w:val="26"/>
        </w:rPr>
        <w:t>ary 2</w:t>
      </w:r>
      <w:r w:rsidR="00D141FA">
        <w:rPr>
          <w:sz w:val="26"/>
          <w:szCs w:val="26"/>
        </w:rPr>
        <w:t>4</w:t>
      </w:r>
      <w:r w:rsidR="00657208">
        <w:rPr>
          <w:sz w:val="26"/>
          <w:szCs w:val="26"/>
        </w:rPr>
        <w:t>, 2011</w:t>
      </w:r>
    </w:p>
    <w:p w:rsidR="00657208" w:rsidRPr="00A56E42" w:rsidRDefault="00657208" w:rsidP="00DE0148">
      <w:pPr>
        <w:widowControl/>
        <w:spacing w:line="360" w:lineRule="auto"/>
        <w:rPr>
          <w:sz w:val="26"/>
          <w:szCs w:val="26"/>
        </w:rPr>
      </w:pPr>
      <w:r>
        <w:rPr>
          <w:sz w:val="26"/>
          <w:szCs w:val="26"/>
        </w:rPr>
        <w:t>ORDER ENTERED:</w:t>
      </w:r>
      <w:r w:rsidR="0042653C">
        <w:rPr>
          <w:sz w:val="26"/>
          <w:szCs w:val="26"/>
        </w:rPr>
        <w:t xml:space="preserve">  March 1, 2011</w:t>
      </w:r>
    </w:p>
    <w:sectPr w:rsidR="00657208" w:rsidRPr="00A56E42" w:rsidSect="00493575">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54F" w:rsidRDefault="0037754F" w:rsidP="00CC5552">
      <w:r>
        <w:separator/>
      </w:r>
    </w:p>
  </w:endnote>
  <w:endnote w:type="continuationSeparator" w:id="0">
    <w:p w:rsidR="0037754F" w:rsidRDefault="0037754F" w:rsidP="00CC5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72628"/>
      <w:docPartObj>
        <w:docPartGallery w:val="Page Numbers (Bottom of Page)"/>
        <w:docPartUnique/>
      </w:docPartObj>
    </w:sdtPr>
    <w:sdtContent>
      <w:p w:rsidR="0089620E" w:rsidRDefault="00AD6C96">
        <w:pPr>
          <w:pStyle w:val="Footer"/>
          <w:jc w:val="center"/>
        </w:pPr>
        <w:fldSimple w:instr=" PAGE   \* MERGEFORMAT ">
          <w:r w:rsidR="0042653C">
            <w:rPr>
              <w:noProof/>
            </w:rPr>
            <w:t>17</w:t>
          </w:r>
        </w:fldSimple>
      </w:p>
    </w:sdtContent>
  </w:sdt>
  <w:p w:rsidR="0089620E" w:rsidRDefault="00896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54F" w:rsidRDefault="0037754F" w:rsidP="00CC5552">
      <w:r>
        <w:separator/>
      </w:r>
    </w:p>
  </w:footnote>
  <w:footnote w:type="continuationSeparator" w:id="0">
    <w:p w:rsidR="0037754F" w:rsidRDefault="0037754F" w:rsidP="00CC5552">
      <w:r>
        <w:continuationSeparator/>
      </w:r>
    </w:p>
  </w:footnote>
  <w:footnote w:id="1">
    <w:p w:rsidR="0089620E" w:rsidRPr="004E2BAA" w:rsidRDefault="0089620E" w:rsidP="00DD36E8">
      <w:pPr>
        <w:pStyle w:val="FootnoteText"/>
        <w:ind w:firstLine="720"/>
        <w:rPr>
          <w:sz w:val="26"/>
          <w:szCs w:val="26"/>
        </w:rPr>
      </w:pPr>
      <w:r w:rsidRPr="004E2BAA">
        <w:rPr>
          <w:rStyle w:val="FootnoteReference"/>
          <w:sz w:val="26"/>
          <w:szCs w:val="26"/>
        </w:rPr>
        <w:footnoteRef/>
      </w:r>
      <w:r w:rsidRPr="004E2BAA">
        <w:rPr>
          <w:sz w:val="26"/>
          <w:szCs w:val="26"/>
        </w:rPr>
        <w:tab/>
        <w:t xml:space="preserve">On September 16, 2010, the Commission entered an </w:t>
      </w:r>
      <w:r>
        <w:rPr>
          <w:sz w:val="26"/>
          <w:szCs w:val="26"/>
        </w:rPr>
        <w:t>O</w:t>
      </w:r>
      <w:r w:rsidRPr="004E2BAA">
        <w:rPr>
          <w:sz w:val="26"/>
          <w:szCs w:val="26"/>
        </w:rPr>
        <w:t>rder</w:t>
      </w:r>
      <w:r w:rsidR="00473E74">
        <w:rPr>
          <w:sz w:val="26"/>
          <w:szCs w:val="26"/>
        </w:rPr>
        <w:t xml:space="preserve"> at Docket No.</w:t>
      </w:r>
      <w:r w:rsidRPr="004E2BAA">
        <w:rPr>
          <w:sz w:val="26"/>
          <w:szCs w:val="26"/>
        </w:rPr>
        <w:t xml:space="preserve"> </w:t>
      </w:r>
      <w:proofErr w:type="gramStart"/>
      <w:r w:rsidR="00473E74">
        <w:rPr>
          <w:rFonts w:eastAsiaTheme="minorHAnsi"/>
          <w:sz w:val="24"/>
          <w:szCs w:val="24"/>
        </w:rPr>
        <w:t xml:space="preserve">M-2009-2140263, </w:t>
      </w:r>
      <w:r w:rsidRPr="004E2BAA">
        <w:rPr>
          <w:sz w:val="26"/>
          <w:szCs w:val="26"/>
        </w:rPr>
        <w:t xml:space="preserve">adopting a final </w:t>
      </w:r>
      <w:r w:rsidRPr="004E2BAA">
        <w:rPr>
          <w:i/>
          <w:sz w:val="26"/>
          <w:szCs w:val="26"/>
        </w:rPr>
        <w:t>Policy Statement in Support of Pennsylvania Solar Projects</w:t>
      </w:r>
      <w:r w:rsidRPr="004E2BAA">
        <w:rPr>
          <w:sz w:val="26"/>
          <w:szCs w:val="26"/>
        </w:rPr>
        <w:t>.</w:t>
      </w:r>
      <w:proofErr w:type="gramEnd"/>
      <w:r w:rsidRPr="004E2BAA">
        <w:rPr>
          <w:sz w:val="26"/>
          <w:szCs w:val="26"/>
        </w:rPr>
        <w:t xml:space="preserve">  Both the proposed and final policy statements will be referred to as the “Solar Policy Statement</w:t>
      </w:r>
      <w:r>
        <w:rPr>
          <w:sz w:val="26"/>
          <w:szCs w:val="26"/>
        </w:rPr>
        <w:t>.</w:t>
      </w:r>
      <w:r w:rsidRPr="004E2BAA">
        <w:rPr>
          <w:sz w:val="26"/>
          <w:szCs w:val="26"/>
        </w:rPr>
        <w:t>”</w:t>
      </w:r>
    </w:p>
  </w:footnote>
  <w:footnote w:id="2">
    <w:p w:rsidR="0089620E" w:rsidRPr="00482AEC" w:rsidRDefault="0089620E" w:rsidP="00482AEC">
      <w:pPr>
        <w:pStyle w:val="FootnoteText"/>
        <w:ind w:firstLine="720"/>
        <w:rPr>
          <w:sz w:val="26"/>
          <w:szCs w:val="26"/>
        </w:rPr>
      </w:pPr>
      <w:r w:rsidRPr="00482AEC">
        <w:rPr>
          <w:rStyle w:val="FootnoteReference"/>
          <w:sz w:val="26"/>
          <w:szCs w:val="26"/>
        </w:rPr>
        <w:footnoteRef/>
      </w:r>
      <w:r>
        <w:rPr>
          <w:sz w:val="26"/>
          <w:szCs w:val="26"/>
        </w:rPr>
        <w:tab/>
        <w:t>As part of PPL</w:t>
      </w:r>
      <w:r w:rsidRPr="00482AEC">
        <w:rPr>
          <w:sz w:val="26"/>
          <w:szCs w:val="26"/>
        </w:rPr>
        <w:t xml:space="preserve">’s settlement of its DSP Plan, the Company agreed to procure a portion of its default service supply for the residential customer class through </w:t>
      </w:r>
      <w:proofErr w:type="gramStart"/>
      <w:r w:rsidRPr="00482AEC">
        <w:rPr>
          <w:sz w:val="26"/>
          <w:szCs w:val="26"/>
        </w:rPr>
        <w:t>a 50</w:t>
      </w:r>
      <w:proofErr w:type="gramEnd"/>
      <w:r w:rsidRPr="00482AEC">
        <w:rPr>
          <w:sz w:val="26"/>
          <w:szCs w:val="26"/>
        </w:rPr>
        <w:t xml:space="preserve"> MW 10-year unit entitlement procurement.  The details of the 10-year unit entitlement request for proposal were deferred to a collaborative and will be filed separately with the Commission for approval.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1CA"/>
    <w:multiLevelType w:val="hybridMultilevel"/>
    <w:tmpl w:val="A03CB5A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
    <w:nsid w:val="18E009CB"/>
    <w:multiLevelType w:val="multilevel"/>
    <w:tmpl w:val="03EA7DEE"/>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Roman"/>
      <w:lvlText w:val="(%4)"/>
      <w:lvlJc w:val="left"/>
      <w:pPr>
        <w:tabs>
          <w:tab w:val="num" w:pos="3024"/>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F0362A0"/>
    <w:multiLevelType w:val="hybridMultilevel"/>
    <w:tmpl w:val="0994D2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66765DA"/>
    <w:multiLevelType w:val="hybridMultilevel"/>
    <w:tmpl w:val="5A1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C1342DA"/>
    <w:multiLevelType w:val="hybridMultilevel"/>
    <w:tmpl w:val="EB56D77E"/>
    <w:lvl w:ilvl="0" w:tplc="8E84E2E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4B225E"/>
    <w:multiLevelType w:val="hybridMultilevel"/>
    <w:tmpl w:val="65FAA4FA"/>
    <w:lvl w:ilvl="0" w:tplc="04090001">
      <w:start w:val="1"/>
      <w:numFmt w:val="bullet"/>
      <w:lvlText w:val=""/>
      <w:lvlJc w:val="left"/>
      <w:pPr>
        <w:ind w:left="6450" w:hanging="360"/>
      </w:pPr>
      <w:rPr>
        <w:rFonts w:ascii="Symbol" w:hAnsi="Symbol"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7">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35C16"/>
    <w:multiLevelType w:val="multilevel"/>
    <w:tmpl w:val="03EA7DEE"/>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Roman"/>
      <w:lvlText w:val="(%4)"/>
      <w:lvlJc w:val="left"/>
      <w:pPr>
        <w:tabs>
          <w:tab w:val="num" w:pos="3024"/>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73D80066"/>
    <w:multiLevelType w:val="hybridMultilevel"/>
    <w:tmpl w:val="0D22232C"/>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0">
    <w:nsid w:val="78C45310"/>
    <w:multiLevelType w:val="singleLevel"/>
    <w:tmpl w:val="5FC0D93A"/>
    <w:name w:val=" Numbered List"/>
    <w:lvl w:ilvl="0">
      <w:start w:val="12"/>
      <w:numFmt w:val="decimal"/>
      <w:pStyle w:val="ListNumber"/>
      <w:lvlText w:val="%1."/>
      <w:lvlJc w:val="left"/>
      <w:pPr>
        <w:tabs>
          <w:tab w:val="num" w:pos="1440"/>
        </w:tabs>
        <w:ind w:left="0" w:firstLine="720"/>
      </w:pPr>
      <w:rPr>
        <w:rFonts w:hint="default"/>
      </w:rPr>
    </w:lvl>
  </w:abstractNum>
  <w:num w:numId="1">
    <w:abstractNumId w:val="7"/>
  </w:num>
  <w:num w:numId="2">
    <w:abstractNumId w:val="4"/>
  </w:num>
  <w:num w:numId="3">
    <w:abstractNumId w:val="2"/>
  </w:num>
  <w:num w:numId="4">
    <w:abstractNumId w:val="3"/>
  </w:num>
  <w:num w:numId="5">
    <w:abstractNumId w:val="9"/>
  </w:num>
  <w:num w:numId="6">
    <w:abstractNumId w:val="6"/>
  </w:num>
  <w:num w:numId="7">
    <w:abstractNumId w:val="0"/>
  </w:num>
  <w:num w:numId="8">
    <w:abstractNumId w:val="10"/>
  </w:num>
  <w:num w:numId="9">
    <w:abstractNumId w:val="5"/>
  </w:num>
  <w:num w:numId="10">
    <w:abstractNumId w:val="8"/>
  </w:num>
  <w:num w:numId="11">
    <w:abstractNumId w:val="1"/>
  </w:num>
  <w:num w:numId="12">
    <w:abstractNumId w:val="10"/>
    <w:lvlOverride w:ilvl="0">
      <w:startOverride w:val="1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9A17EC"/>
    <w:rsid w:val="00000D47"/>
    <w:rsid w:val="00001FC8"/>
    <w:rsid w:val="00006685"/>
    <w:rsid w:val="00013566"/>
    <w:rsid w:val="00016A9D"/>
    <w:rsid w:val="00016D57"/>
    <w:rsid w:val="00017852"/>
    <w:rsid w:val="00020FB7"/>
    <w:rsid w:val="00021E46"/>
    <w:rsid w:val="00022B74"/>
    <w:rsid w:val="0002524C"/>
    <w:rsid w:val="00025F3F"/>
    <w:rsid w:val="0002635D"/>
    <w:rsid w:val="00026CD2"/>
    <w:rsid w:val="000340DC"/>
    <w:rsid w:val="00040A8E"/>
    <w:rsid w:val="00040AEA"/>
    <w:rsid w:val="0004195C"/>
    <w:rsid w:val="0004374C"/>
    <w:rsid w:val="00047874"/>
    <w:rsid w:val="00047F4A"/>
    <w:rsid w:val="000523D1"/>
    <w:rsid w:val="00052B8F"/>
    <w:rsid w:val="00054612"/>
    <w:rsid w:val="0005572E"/>
    <w:rsid w:val="00056286"/>
    <w:rsid w:val="00056924"/>
    <w:rsid w:val="000612FD"/>
    <w:rsid w:val="000642AA"/>
    <w:rsid w:val="000649EC"/>
    <w:rsid w:val="000658AB"/>
    <w:rsid w:val="00066EE5"/>
    <w:rsid w:val="00067260"/>
    <w:rsid w:val="00072808"/>
    <w:rsid w:val="00072C92"/>
    <w:rsid w:val="00073152"/>
    <w:rsid w:val="00073AFE"/>
    <w:rsid w:val="00076F35"/>
    <w:rsid w:val="000773E5"/>
    <w:rsid w:val="0007790C"/>
    <w:rsid w:val="000808B1"/>
    <w:rsid w:val="00084573"/>
    <w:rsid w:val="00084AF9"/>
    <w:rsid w:val="000918D4"/>
    <w:rsid w:val="00093164"/>
    <w:rsid w:val="0009612D"/>
    <w:rsid w:val="00097504"/>
    <w:rsid w:val="000A365D"/>
    <w:rsid w:val="000A40B5"/>
    <w:rsid w:val="000A683F"/>
    <w:rsid w:val="000B216D"/>
    <w:rsid w:val="000B2755"/>
    <w:rsid w:val="000B4EAE"/>
    <w:rsid w:val="000B5238"/>
    <w:rsid w:val="000B607A"/>
    <w:rsid w:val="000B6B15"/>
    <w:rsid w:val="000C05C9"/>
    <w:rsid w:val="000C2088"/>
    <w:rsid w:val="000C2136"/>
    <w:rsid w:val="000C2AE3"/>
    <w:rsid w:val="000C42E9"/>
    <w:rsid w:val="000C482D"/>
    <w:rsid w:val="000C4DA0"/>
    <w:rsid w:val="000C709A"/>
    <w:rsid w:val="000D0252"/>
    <w:rsid w:val="000D23BD"/>
    <w:rsid w:val="000D35DF"/>
    <w:rsid w:val="000E0E4D"/>
    <w:rsid w:val="000E6069"/>
    <w:rsid w:val="000F07CA"/>
    <w:rsid w:val="000F09E3"/>
    <w:rsid w:val="000F179E"/>
    <w:rsid w:val="000F399C"/>
    <w:rsid w:val="000F4307"/>
    <w:rsid w:val="000F4FE3"/>
    <w:rsid w:val="0010158F"/>
    <w:rsid w:val="00101F51"/>
    <w:rsid w:val="001026CA"/>
    <w:rsid w:val="00104D9B"/>
    <w:rsid w:val="0011581F"/>
    <w:rsid w:val="001172B3"/>
    <w:rsid w:val="00117CB2"/>
    <w:rsid w:val="00120B39"/>
    <w:rsid w:val="001230B3"/>
    <w:rsid w:val="001238E5"/>
    <w:rsid w:val="00123A2E"/>
    <w:rsid w:val="00124071"/>
    <w:rsid w:val="00124E49"/>
    <w:rsid w:val="001267D4"/>
    <w:rsid w:val="00135972"/>
    <w:rsid w:val="001360FC"/>
    <w:rsid w:val="001447A0"/>
    <w:rsid w:val="0014497F"/>
    <w:rsid w:val="00144BD3"/>
    <w:rsid w:val="00146DDD"/>
    <w:rsid w:val="00146E58"/>
    <w:rsid w:val="00147145"/>
    <w:rsid w:val="00150096"/>
    <w:rsid w:val="001508E4"/>
    <w:rsid w:val="0015380A"/>
    <w:rsid w:val="00153C99"/>
    <w:rsid w:val="00156781"/>
    <w:rsid w:val="00164DA4"/>
    <w:rsid w:val="00166298"/>
    <w:rsid w:val="001663C8"/>
    <w:rsid w:val="001677A4"/>
    <w:rsid w:val="001704FE"/>
    <w:rsid w:val="00174C79"/>
    <w:rsid w:val="00174D3D"/>
    <w:rsid w:val="00176538"/>
    <w:rsid w:val="0018239F"/>
    <w:rsid w:val="00182478"/>
    <w:rsid w:val="00186271"/>
    <w:rsid w:val="00186A97"/>
    <w:rsid w:val="0019530E"/>
    <w:rsid w:val="001A17E3"/>
    <w:rsid w:val="001A4A00"/>
    <w:rsid w:val="001A743D"/>
    <w:rsid w:val="001B1C74"/>
    <w:rsid w:val="001B1DB4"/>
    <w:rsid w:val="001B32BE"/>
    <w:rsid w:val="001B58E3"/>
    <w:rsid w:val="001C4978"/>
    <w:rsid w:val="001C7823"/>
    <w:rsid w:val="001C7B91"/>
    <w:rsid w:val="001D0891"/>
    <w:rsid w:val="001D0D5B"/>
    <w:rsid w:val="001D0ED2"/>
    <w:rsid w:val="001D261E"/>
    <w:rsid w:val="001D3A7F"/>
    <w:rsid w:val="001D7C19"/>
    <w:rsid w:val="001E0B61"/>
    <w:rsid w:val="001E1276"/>
    <w:rsid w:val="001E298D"/>
    <w:rsid w:val="001E6FCA"/>
    <w:rsid w:val="001F0355"/>
    <w:rsid w:val="001F285E"/>
    <w:rsid w:val="001F61C8"/>
    <w:rsid w:val="00202524"/>
    <w:rsid w:val="00210736"/>
    <w:rsid w:val="00210F81"/>
    <w:rsid w:val="00211622"/>
    <w:rsid w:val="00212400"/>
    <w:rsid w:val="0021520F"/>
    <w:rsid w:val="00216719"/>
    <w:rsid w:val="00220C04"/>
    <w:rsid w:val="00221354"/>
    <w:rsid w:val="00224AB4"/>
    <w:rsid w:val="00226477"/>
    <w:rsid w:val="0022698E"/>
    <w:rsid w:val="00227912"/>
    <w:rsid w:val="0022797A"/>
    <w:rsid w:val="002311EE"/>
    <w:rsid w:val="0023268B"/>
    <w:rsid w:val="0023682B"/>
    <w:rsid w:val="002370BE"/>
    <w:rsid w:val="002370F5"/>
    <w:rsid w:val="00240ACA"/>
    <w:rsid w:val="00240D7B"/>
    <w:rsid w:val="00241299"/>
    <w:rsid w:val="00244564"/>
    <w:rsid w:val="002455A0"/>
    <w:rsid w:val="00246547"/>
    <w:rsid w:val="00253450"/>
    <w:rsid w:val="00255462"/>
    <w:rsid w:val="00255DBB"/>
    <w:rsid w:val="00256811"/>
    <w:rsid w:val="00260957"/>
    <w:rsid w:val="00261AE8"/>
    <w:rsid w:val="00264646"/>
    <w:rsid w:val="00264717"/>
    <w:rsid w:val="00264740"/>
    <w:rsid w:val="00270E82"/>
    <w:rsid w:val="0027232D"/>
    <w:rsid w:val="00274D0F"/>
    <w:rsid w:val="00275CF8"/>
    <w:rsid w:val="00277500"/>
    <w:rsid w:val="00281A5F"/>
    <w:rsid w:val="002918E4"/>
    <w:rsid w:val="00291F68"/>
    <w:rsid w:val="00294853"/>
    <w:rsid w:val="002A060A"/>
    <w:rsid w:val="002A1708"/>
    <w:rsid w:val="002A4450"/>
    <w:rsid w:val="002B2296"/>
    <w:rsid w:val="002B3FB6"/>
    <w:rsid w:val="002B4407"/>
    <w:rsid w:val="002B67B7"/>
    <w:rsid w:val="002C0429"/>
    <w:rsid w:val="002C19E4"/>
    <w:rsid w:val="002C5077"/>
    <w:rsid w:val="002C6CC4"/>
    <w:rsid w:val="002D0661"/>
    <w:rsid w:val="002D13C4"/>
    <w:rsid w:val="002D275E"/>
    <w:rsid w:val="002D6357"/>
    <w:rsid w:val="002D7584"/>
    <w:rsid w:val="002D7E45"/>
    <w:rsid w:val="002E1800"/>
    <w:rsid w:val="002E1B52"/>
    <w:rsid w:val="002E3026"/>
    <w:rsid w:val="002E3F06"/>
    <w:rsid w:val="002E59F0"/>
    <w:rsid w:val="002E6FFA"/>
    <w:rsid w:val="002E7F8F"/>
    <w:rsid w:val="002F3F04"/>
    <w:rsid w:val="002F41BA"/>
    <w:rsid w:val="002F49DF"/>
    <w:rsid w:val="002F5DF3"/>
    <w:rsid w:val="002F6A08"/>
    <w:rsid w:val="00300F58"/>
    <w:rsid w:val="003018AA"/>
    <w:rsid w:val="00303B99"/>
    <w:rsid w:val="0030714F"/>
    <w:rsid w:val="003073E2"/>
    <w:rsid w:val="00307DDF"/>
    <w:rsid w:val="00310CA2"/>
    <w:rsid w:val="00314A43"/>
    <w:rsid w:val="00314D58"/>
    <w:rsid w:val="00322040"/>
    <w:rsid w:val="003240B8"/>
    <w:rsid w:val="00324881"/>
    <w:rsid w:val="00325422"/>
    <w:rsid w:val="0033148F"/>
    <w:rsid w:val="00333FDA"/>
    <w:rsid w:val="00336566"/>
    <w:rsid w:val="00340D19"/>
    <w:rsid w:val="00343755"/>
    <w:rsid w:val="003518C8"/>
    <w:rsid w:val="0035492D"/>
    <w:rsid w:val="003622CA"/>
    <w:rsid w:val="00363030"/>
    <w:rsid w:val="0036462C"/>
    <w:rsid w:val="00364A42"/>
    <w:rsid w:val="003755FB"/>
    <w:rsid w:val="0037577C"/>
    <w:rsid w:val="00375A5A"/>
    <w:rsid w:val="003760D9"/>
    <w:rsid w:val="0037754F"/>
    <w:rsid w:val="00380542"/>
    <w:rsid w:val="00383CB3"/>
    <w:rsid w:val="00385502"/>
    <w:rsid w:val="00387604"/>
    <w:rsid w:val="00391A43"/>
    <w:rsid w:val="003B0611"/>
    <w:rsid w:val="003B33E5"/>
    <w:rsid w:val="003B42D9"/>
    <w:rsid w:val="003B61EF"/>
    <w:rsid w:val="003C2F4E"/>
    <w:rsid w:val="003C3140"/>
    <w:rsid w:val="003C333B"/>
    <w:rsid w:val="003C3E02"/>
    <w:rsid w:val="003C3FE8"/>
    <w:rsid w:val="003C51BF"/>
    <w:rsid w:val="003C5B63"/>
    <w:rsid w:val="003C73F9"/>
    <w:rsid w:val="003D05E6"/>
    <w:rsid w:val="003D0F88"/>
    <w:rsid w:val="003D5AE0"/>
    <w:rsid w:val="003D5F07"/>
    <w:rsid w:val="003D6AB5"/>
    <w:rsid w:val="003D6D2E"/>
    <w:rsid w:val="003E3FF5"/>
    <w:rsid w:val="003E4DD9"/>
    <w:rsid w:val="003E5354"/>
    <w:rsid w:val="003F136C"/>
    <w:rsid w:val="003F52C6"/>
    <w:rsid w:val="003F558E"/>
    <w:rsid w:val="00403D6E"/>
    <w:rsid w:val="004056B0"/>
    <w:rsid w:val="00407AC0"/>
    <w:rsid w:val="00411477"/>
    <w:rsid w:val="0041272A"/>
    <w:rsid w:val="00412E30"/>
    <w:rsid w:val="00413A32"/>
    <w:rsid w:val="004170AF"/>
    <w:rsid w:val="0042653C"/>
    <w:rsid w:val="00432BB7"/>
    <w:rsid w:val="004331E9"/>
    <w:rsid w:val="00433FB4"/>
    <w:rsid w:val="00440900"/>
    <w:rsid w:val="00441207"/>
    <w:rsid w:val="004422CA"/>
    <w:rsid w:val="00443807"/>
    <w:rsid w:val="0044540F"/>
    <w:rsid w:val="004462F7"/>
    <w:rsid w:val="0046019D"/>
    <w:rsid w:val="00464536"/>
    <w:rsid w:val="00464FF0"/>
    <w:rsid w:val="0046514E"/>
    <w:rsid w:val="0046623C"/>
    <w:rsid w:val="00467739"/>
    <w:rsid w:val="00470D0C"/>
    <w:rsid w:val="004724BF"/>
    <w:rsid w:val="00473E74"/>
    <w:rsid w:val="00474E22"/>
    <w:rsid w:val="004752D9"/>
    <w:rsid w:val="0047608F"/>
    <w:rsid w:val="00476554"/>
    <w:rsid w:val="00480083"/>
    <w:rsid w:val="004813D4"/>
    <w:rsid w:val="00482AEC"/>
    <w:rsid w:val="00482B52"/>
    <w:rsid w:val="00482E48"/>
    <w:rsid w:val="004832EF"/>
    <w:rsid w:val="00483786"/>
    <w:rsid w:val="0048619D"/>
    <w:rsid w:val="00486F7B"/>
    <w:rsid w:val="00491D91"/>
    <w:rsid w:val="00493575"/>
    <w:rsid w:val="0049580C"/>
    <w:rsid w:val="0049768F"/>
    <w:rsid w:val="004A04E5"/>
    <w:rsid w:val="004A1495"/>
    <w:rsid w:val="004A2165"/>
    <w:rsid w:val="004A3FB2"/>
    <w:rsid w:val="004A5F74"/>
    <w:rsid w:val="004A77F3"/>
    <w:rsid w:val="004B1052"/>
    <w:rsid w:val="004B140A"/>
    <w:rsid w:val="004B1B8C"/>
    <w:rsid w:val="004B3DEA"/>
    <w:rsid w:val="004B671F"/>
    <w:rsid w:val="004B6B14"/>
    <w:rsid w:val="004B7498"/>
    <w:rsid w:val="004B7C32"/>
    <w:rsid w:val="004C07D0"/>
    <w:rsid w:val="004C2DD3"/>
    <w:rsid w:val="004D000B"/>
    <w:rsid w:val="004D0883"/>
    <w:rsid w:val="004D2029"/>
    <w:rsid w:val="004D7806"/>
    <w:rsid w:val="004D7863"/>
    <w:rsid w:val="004E285F"/>
    <w:rsid w:val="004E2BAA"/>
    <w:rsid w:val="004E47EC"/>
    <w:rsid w:val="004E514F"/>
    <w:rsid w:val="004E737F"/>
    <w:rsid w:val="004F03DE"/>
    <w:rsid w:val="004F22DA"/>
    <w:rsid w:val="00501F9D"/>
    <w:rsid w:val="00502165"/>
    <w:rsid w:val="00503D6F"/>
    <w:rsid w:val="00504834"/>
    <w:rsid w:val="00504C7A"/>
    <w:rsid w:val="00505AEE"/>
    <w:rsid w:val="0050632E"/>
    <w:rsid w:val="00506373"/>
    <w:rsid w:val="0050752D"/>
    <w:rsid w:val="00507ECE"/>
    <w:rsid w:val="00511EF3"/>
    <w:rsid w:val="00514507"/>
    <w:rsid w:val="00521350"/>
    <w:rsid w:val="00521910"/>
    <w:rsid w:val="00521F9C"/>
    <w:rsid w:val="005222CA"/>
    <w:rsid w:val="00536011"/>
    <w:rsid w:val="005452B4"/>
    <w:rsid w:val="005467CD"/>
    <w:rsid w:val="00550B79"/>
    <w:rsid w:val="0055150B"/>
    <w:rsid w:val="005532F9"/>
    <w:rsid w:val="00553DFE"/>
    <w:rsid w:val="0055440B"/>
    <w:rsid w:val="0055708D"/>
    <w:rsid w:val="00561CA6"/>
    <w:rsid w:val="005647BE"/>
    <w:rsid w:val="00566299"/>
    <w:rsid w:val="005725F6"/>
    <w:rsid w:val="00573D0C"/>
    <w:rsid w:val="00574C64"/>
    <w:rsid w:val="00577524"/>
    <w:rsid w:val="00577B32"/>
    <w:rsid w:val="00580A66"/>
    <w:rsid w:val="00583AC6"/>
    <w:rsid w:val="00584C67"/>
    <w:rsid w:val="00586817"/>
    <w:rsid w:val="00587507"/>
    <w:rsid w:val="00590B29"/>
    <w:rsid w:val="00596906"/>
    <w:rsid w:val="00596A0B"/>
    <w:rsid w:val="00596E05"/>
    <w:rsid w:val="00596F85"/>
    <w:rsid w:val="005970FA"/>
    <w:rsid w:val="00597450"/>
    <w:rsid w:val="005A0176"/>
    <w:rsid w:val="005A088E"/>
    <w:rsid w:val="005A08B7"/>
    <w:rsid w:val="005A0F56"/>
    <w:rsid w:val="005A1185"/>
    <w:rsid w:val="005A2298"/>
    <w:rsid w:val="005A28C1"/>
    <w:rsid w:val="005A6D8C"/>
    <w:rsid w:val="005A72FC"/>
    <w:rsid w:val="005B0388"/>
    <w:rsid w:val="005B0C1C"/>
    <w:rsid w:val="005B109A"/>
    <w:rsid w:val="005B654B"/>
    <w:rsid w:val="005C0E53"/>
    <w:rsid w:val="005C2FD5"/>
    <w:rsid w:val="005C5378"/>
    <w:rsid w:val="005C56B1"/>
    <w:rsid w:val="005C6583"/>
    <w:rsid w:val="005D2AB9"/>
    <w:rsid w:val="005D496E"/>
    <w:rsid w:val="005D4D59"/>
    <w:rsid w:val="005D56C7"/>
    <w:rsid w:val="005D7C20"/>
    <w:rsid w:val="005E6960"/>
    <w:rsid w:val="005E7EB8"/>
    <w:rsid w:val="005F18B2"/>
    <w:rsid w:val="005F18D6"/>
    <w:rsid w:val="005F2A2E"/>
    <w:rsid w:val="005F4D1B"/>
    <w:rsid w:val="005F4D2F"/>
    <w:rsid w:val="006008F5"/>
    <w:rsid w:val="00603024"/>
    <w:rsid w:val="006116E3"/>
    <w:rsid w:val="0061434B"/>
    <w:rsid w:val="00624400"/>
    <w:rsid w:val="00624E51"/>
    <w:rsid w:val="00626162"/>
    <w:rsid w:val="00630190"/>
    <w:rsid w:val="006312A5"/>
    <w:rsid w:val="00634719"/>
    <w:rsid w:val="006410FA"/>
    <w:rsid w:val="00643422"/>
    <w:rsid w:val="00646AF7"/>
    <w:rsid w:val="006503E8"/>
    <w:rsid w:val="00654A4A"/>
    <w:rsid w:val="0065545A"/>
    <w:rsid w:val="00657208"/>
    <w:rsid w:val="006661CF"/>
    <w:rsid w:val="00667D2C"/>
    <w:rsid w:val="006704A7"/>
    <w:rsid w:val="00671A9D"/>
    <w:rsid w:val="00672B55"/>
    <w:rsid w:val="00674295"/>
    <w:rsid w:val="00676B5D"/>
    <w:rsid w:val="006818A8"/>
    <w:rsid w:val="00681A51"/>
    <w:rsid w:val="00682469"/>
    <w:rsid w:val="00683D97"/>
    <w:rsid w:val="00684FCA"/>
    <w:rsid w:val="0068511E"/>
    <w:rsid w:val="00686B5C"/>
    <w:rsid w:val="00696997"/>
    <w:rsid w:val="0069701A"/>
    <w:rsid w:val="006A0B0A"/>
    <w:rsid w:val="006A202D"/>
    <w:rsid w:val="006A4EFE"/>
    <w:rsid w:val="006A758C"/>
    <w:rsid w:val="006A7E7A"/>
    <w:rsid w:val="006B1D27"/>
    <w:rsid w:val="006B455F"/>
    <w:rsid w:val="006B748B"/>
    <w:rsid w:val="006C1B47"/>
    <w:rsid w:val="006C1EEC"/>
    <w:rsid w:val="006C23D0"/>
    <w:rsid w:val="006C3FEA"/>
    <w:rsid w:val="006C69E7"/>
    <w:rsid w:val="006C6DFB"/>
    <w:rsid w:val="006D10AE"/>
    <w:rsid w:val="006D1515"/>
    <w:rsid w:val="006D29F2"/>
    <w:rsid w:val="006D68AA"/>
    <w:rsid w:val="006D7CA2"/>
    <w:rsid w:val="006E065B"/>
    <w:rsid w:val="006E09D3"/>
    <w:rsid w:val="006E1E6C"/>
    <w:rsid w:val="006E47AB"/>
    <w:rsid w:val="006E5505"/>
    <w:rsid w:val="006F223F"/>
    <w:rsid w:val="006F240A"/>
    <w:rsid w:val="006F2FB3"/>
    <w:rsid w:val="006F531B"/>
    <w:rsid w:val="006F62BC"/>
    <w:rsid w:val="007013DD"/>
    <w:rsid w:val="00702215"/>
    <w:rsid w:val="00702493"/>
    <w:rsid w:val="00702B6D"/>
    <w:rsid w:val="00714F3B"/>
    <w:rsid w:val="0071570D"/>
    <w:rsid w:val="007166F7"/>
    <w:rsid w:val="00716AEF"/>
    <w:rsid w:val="00717076"/>
    <w:rsid w:val="00717296"/>
    <w:rsid w:val="00720891"/>
    <w:rsid w:val="00727370"/>
    <w:rsid w:val="0073033D"/>
    <w:rsid w:val="00732FEF"/>
    <w:rsid w:val="00735D9E"/>
    <w:rsid w:val="0074109C"/>
    <w:rsid w:val="00741516"/>
    <w:rsid w:val="00742335"/>
    <w:rsid w:val="00742842"/>
    <w:rsid w:val="0074565C"/>
    <w:rsid w:val="00747EA9"/>
    <w:rsid w:val="0075062C"/>
    <w:rsid w:val="00753376"/>
    <w:rsid w:val="007543B0"/>
    <w:rsid w:val="007568A9"/>
    <w:rsid w:val="00756CD3"/>
    <w:rsid w:val="007578CB"/>
    <w:rsid w:val="00761342"/>
    <w:rsid w:val="007613DF"/>
    <w:rsid w:val="00761514"/>
    <w:rsid w:val="00763CE7"/>
    <w:rsid w:val="0076558A"/>
    <w:rsid w:val="007674F4"/>
    <w:rsid w:val="00774574"/>
    <w:rsid w:val="00775C65"/>
    <w:rsid w:val="00776276"/>
    <w:rsid w:val="0077639A"/>
    <w:rsid w:val="0078100C"/>
    <w:rsid w:val="0078157F"/>
    <w:rsid w:val="00782DCB"/>
    <w:rsid w:val="0078492E"/>
    <w:rsid w:val="00786F48"/>
    <w:rsid w:val="0078772C"/>
    <w:rsid w:val="007878E4"/>
    <w:rsid w:val="00791012"/>
    <w:rsid w:val="007963BD"/>
    <w:rsid w:val="007972B2"/>
    <w:rsid w:val="007A4783"/>
    <w:rsid w:val="007A5191"/>
    <w:rsid w:val="007B0500"/>
    <w:rsid w:val="007B111B"/>
    <w:rsid w:val="007B3AE8"/>
    <w:rsid w:val="007B4418"/>
    <w:rsid w:val="007B5F62"/>
    <w:rsid w:val="007B66B3"/>
    <w:rsid w:val="007B6BF6"/>
    <w:rsid w:val="007B7077"/>
    <w:rsid w:val="007B7FC3"/>
    <w:rsid w:val="007C1AFD"/>
    <w:rsid w:val="007C3003"/>
    <w:rsid w:val="007C5153"/>
    <w:rsid w:val="007C6B60"/>
    <w:rsid w:val="007C6F85"/>
    <w:rsid w:val="007D298C"/>
    <w:rsid w:val="007D3AA0"/>
    <w:rsid w:val="007D3FE2"/>
    <w:rsid w:val="007D5690"/>
    <w:rsid w:val="007D69FA"/>
    <w:rsid w:val="007D7F3E"/>
    <w:rsid w:val="007E1600"/>
    <w:rsid w:val="007E18FF"/>
    <w:rsid w:val="007F2326"/>
    <w:rsid w:val="00803BD5"/>
    <w:rsid w:val="00805ABA"/>
    <w:rsid w:val="00805CDF"/>
    <w:rsid w:val="00806EF3"/>
    <w:rsid w:val="00807F66"/>
    <w:rsid w:val="00810603"/>
    <w:rsid w:val="00810C58"/>
    <w:rsid w:val="008110FC"/>
    <w:rsid w:val="008141F3"/>
    <w:rsid w:val="00814283"/>
    <w:rsid w:val="00820209"/>
    <w:rsid w:val="00820F35"/>
    <w:rsid w:val="00820FEC"/>
    <w:rsid w:val="008218FF"/>
    <w:rsid w:val="0082393D"/>
    <w:rsid w:val="00826B05"/>
    <w:rsid w:val="00827928"/>
    <w:rsid w:val="00827A4B"/>
    <w:rsid w:val="00827A58"/>
    <w:rsid w:val="00830BE9"/>
    <w:rsid w:val="00830D51"/>
    <w:rsid w:val="00831646"/>
    <w:rsid w:val="008319E6"/>
    <w:rsid w:val="00832FF3"/>
    <w:rsid w:val="0083324D"/>
    <w:rsid w:val="008337C1"/>
    <w:rsid w:val="00837E8D"/>
    <w:rsid w:val="00841485"/>
    <w:rsid w:val="00841733"/>
    <w:rsid w:val="00844D38"/>
    <w:rsid w:val="00844D85"/>
    <w:rsid w:val="008524BE"/>
    <w:rsid w:val="00853BC2"/>
    <w:rsid w:val="00854278"/>
    <w:rsid w:val="008546B3"/>
    <w:rsid w:val="00856063"/>
    <w:rsid w:val="0086236A"/>
    <w:rsid w:val="008631EE"/>
    <w:rsid w:val="00866D97"/>
    <w:rsid w:val="0087035A"/>
    <w:rsid w:val="008709EF"/>
    <w:rsid w:val="0087347D"/>
    <w:rsid w:val="00882DAD"/>
    <w:rsid w:val="00886729"/>
    <w:rsid w:val="00891457"/>
    <w:rsid w:val="00892836"/>
    <w:rsid w:val="00892A93"/>
    <w:rsid w:val="00892DA5"/>
    <w:rsid w:val="008949B1"/>
    <w:rsid w:val="0089620E"/>
    <w:rsid w:val="0089713E"/>
    <w:rsid w:val="008977B8"/>
    <w:rsid w:val="008A10F3"/>
    <w:rsid w:val="008A452E"/>
    <w:rsid w:val="008A5C0F"/>
    <w:rsid w:val="008B1596"/>
    <w:rsid w:val="008B336F"/>
    <w:rsid w:val="008B3C00"/>
    <w:rsid w:val="008B43B1"/>
    <w:rsid w:val="008C09C4"/>
    <w:rsid w:val="008C1F44"/>
    <w:rsid w:val="008C6101"/>
    <w:rsid w:val="008C646F"/>
    <w:rsid w:val="008C6724"/>
    <w:rsid w:val="008C72E4"/>
    <w:rsid w:val="008D5166"/>
    <w:rsid w:val="008D727F"/>
    <w:rsid w:val="008E3E4B"/>
    <w:rsid w:val="008E4EC3"/>
    <w:rsid w:val="008E4EF9"/>
    <w:rsid w:val="008E5723"/>
    <w:rsid w:val="008E6DFC"/>
    <w:rsid w:val="008E7710"/>
    <w:rsid w:val="008F22EF"/>
    <w:rsid w:val="009036F4"/>
    <w:rsid w:val="00903F34"/>
    <w:rsid w:val="00905C0A"/>
    <w:rsid w:val="009122F8"/>
    <w:rsid w:val="00914FED"/>
    <w:rsid w:val="00915520"/>
    <w:rsid w:val="00921131"/>
    <w:rsid w:val="009242AE"/>
    <w:rsid w:val="009247F5"/>
    <w:rsid w:val="00926AB2"/>
    <w:rsid w:val="00936957"/>
    <w:rsid w:val="00936DBD"/>
    <w:rsid w:val="009407FE"/>
    <w:rsid w:val="00942436"/>
    <w:rsid w:val="00951AB2"/>
    <w:rsid w:val="009529B2"/>
    <w:rsid w:val="00954644"/>
    <w:rsid w:val="00956376"/>
    <w:rsid w:val="00957603"/>
    <w:rsid w:val="00957A1D"/>
    <w:rsid w:val="00957E03"/>
    <w:rsid w:val="0096487B"/>
    <w:rsid w:val="00974193"/>
    <w:rsid w:val="009757D1"/>
    <w:rsid w:val="00976ADF"/>
    <w:rsid w:val="00977E84"/>
    <w:rsid w:val="00980754"/>
    <w:rsid w:val="00981535"/>
    <w:rsid w:val="009825C8"/>
    <w:rsid w:val="009826D1"/>
    <w:rsid w:val="00983ABE"/>
    <w:rsid w:val="0098409F"/>
    <w:rsid w:val="00985537"/>
    <w:rsid w:val="00991698"/>
    <w:rsid w:val="00991B9F"/>
    <w:rsid w:val="00991C17"/>
    <w:rsid w:val="00992D1E"/>
    <w:rsid w:val="00992DDA"/>
    <w:rsid w:val="00997EB2"/>
    <w:rsid w:val="009A0057"/>
    <w:rsid w:val="009A06F5"/>
    <w:rsid w:val="009A0788"/>
    <w:rsid w:val="009A0912"/>
    <w:rsid w:val="009A0E92"/>
    <w:rsid w:val="009A17EC"/>
    <w:rsid w:val="009A6647"/>
    <w:rsid w:val="009A671F"/>
    <w:rsid w:val="009B03DF"/>
    <w:rsid w:val="009B63FE"/>
    <w:rsid w:val="009B6AF0"/>
    <w:rsid w:val="009C292D"/>
    <w:rsid w:val="009C4757"/>
    <w:rsid w:val="009C5F0C"/>
    <w:rsid w:val="009C67C0"/>
    <w:rsid w:val="009D1035"/>
    <w:rsid w:val="009D13D0"/>
    <w:rsid w:val="009D2068"/>
    <w:rsid w:val="009D4553"/>
    <w:rsid w:val="009D7D23"/>
    <w:rsid w:val="009D7D33"/>
    <w:rsid w:val="009E262F"/>
    <w:rsid w:val="009E4B4E"/>
    <w:rsid w:val="009E4D62"/>
    <w:rsid w:val="009E4DD4"/>
    <w:rsid w:val="009E4E3F"/>
    <w:rsid w:val="009E6884"/>
    <w:rsid w:val="009E698B"/>
    <w:rsid w:val="009F1547"/>
    <w:rsid w:val="009F2CFE"/>
    <w:rsid w:val="009F36F1"/>
    <w:rsid w:val="009F4ABA"/>
    <w:rsid w:val="00A02D4F"/>
    <w:rsid w:val="00A066AE"/>
    <w:rsid w:val="00A10DD9"/>
    <w:rsid w:val="00A12C6B"/>
    <w:rsid w:val="00A14117"/>
    <w:rsid w:val="00A149FA"/>
    <w:rsid w:val="00A17DF0"/>
    <w:rsid w:val="00A20F78"/>
    <w:rsid w:val="00A218F1"/>
    <w:rsid w:val="00A24283"/>
    <w:rsid w:val="00A27295"/>
    <w:rsid w:val="00A27DEE"/>
    <w:rsid w:val="00A31B93"/>
    <w:rsid w:val="00A32676"/>
    <w:rsid w:val="00A36605"/>
    <w:rsid w:val="00A375EF"/>
    <w:rsid w:val="00A429A1"/>
    <w:rsid w:val="00A52044"/>
    <w:rsid w:val="00A528C2"/>
    <w:rsid w:val="00A54AFD"/>
    <w:rsid w:val="00A56E42"/>
    <w:rsid w:val="00A61B06"/>
    <w:rsid w:val="00A61D86"/>
    <w:rsid w:val="00A62113"/>
    <w:rsid w:val="00A65A1E"/>
    <w:rsid w:val="00A66BA3"/>
    <w:rsid w:val="00A6759C"/>
    <w:rsid w:val="00A67923"/>
    <w:rsid w:val="00A702E1"/>
    <w:rsid w:val="00A713ED"/>
    <w:rsid w:val="00A714B8"/>
    <w:rsid w:val="00A720FC"/>
    <w:rsid w:val="00A726E0"/>
    <w:rsid w:val="00A73C69"/>
    <w:rsid w:val="00A74901"/>
    <w:rsid w:val="00A74DB2"/>
    <w:rsid w:val="00A75733"/>
    <w:rsid w:val="00A76308"/>
    <w:rsid w:val="00A7710F"/>
    <w:rsid w:val="00A77C08"/>
    <w:rsid w:val="00A81527"/>
    <w:rsid w:val="00A82058"/>
    <w:rsid w:val="00A84AE7"/>
    <w:rsid w:val="00A869B0"/>
    <w:rsid w:val="00A9289F"/>
    <w:rsid w:val="00A92C1D"/>
    <w:rsid w:val="00A944BD"/>
    <w:rsid w:val="00AA02D6"/>
    <w:rsid w:val="00AA09FA"/>
    <w:rsid w:val="00AA0C77"/>
    <w:rsid w:val="00AA16B7"/>
    <w:rsid w:val="00AA1D27"/>
    <w:rsid w:val="00AA204C"/>
    <w:rsid w:val="00AA2D57"/>
    <w:rsid w:val="00AA52E0"/>
    <w:rsid w:val="00AA56D0"/>
    <w:rsid w:val="00AA7B67"/>
    <w:rsid w:val="00AB0C9F"/>
    <w:rsid w:val="00AB143A"/>
    <w:rsid w:val="00AB282C"/>
    <w:rsid w:val="00AB6845"/>
    <w:rsid w:val="00AB757B"/>
    <w:rsid w:val="00AC003C"/>
    <w:rsid w:val="00AC0103"/>
    <w:rsid w:val="00AC137F"/>
    <w:rsid w:val="00AC1404"/>
    <w:rsid w:val="00AC293A"/>
    <w:rsid w:val="00AC4BCD"/>
    <w:rsid w:val="00AD039F"/>
    <w:rsid w:val="00AD3902"/>
    <w:rsid w:val="00AD4599"/>
    <w:rsid w:val="00AD6010"/>
    <w:rsid w:val="00AD6C96"/>
    <w:rsid w:val="00AE2794"/>
    <w:rsid w:val="00AE33FF"/>
    <w:rsid w:val="00AE6A1F"/>
    <w:rsid w:val="00AE700A"/>
    <w:rsid w:val="00AF06D5"/>
    <w:rsid w:val="00AF09DD"/>
    <w:rsid w:val="00AF14DE"/>
    <w:rsid w:val="00AF463D"/>
    <w:rsid w:val="00AF67A9"/>
    <w:rsid w:val="00B02655"/>
    <w:rsid w:val="00B05102"/>
    <w:rsid w:val="00B128C3"/>
    <w:rsid w:val="00B16A34"/>
    <w:rsid w:val="00B25453"/>
    <w:rsid w:val="00B30615"/>
    <w:rsid w:val="00B3062E"/>
    <w:rsid w:val="00B31B9C"/>
    <w:rsid w:val="00B34300"/>
    <w:rsid w:val="00B34D6C"/>
    <w:rsid w:val="00B35BB8"/>
    <w:rsid w:val="00B429B2"/>
    <w:rsid w:val="00B53706"/>
    <w:rsid w:val="00B54790"/>
    <w:rsid w:val="00B5544F"/>
    <w:rsid w:val="00B55E5D"/>
    <w:rsid w:val="00B57FA7"/>
    <w:rsid w:val="00B601A2"/>
    <w:rsid w:val="00B60A36"/>
    <w:rsid w:val="00B66867"/>
    <w:rsid w:val="00B66994"/>
    <w:rsid w:val="00B715DC"/>
    <w:rsid w:val="00B71AFB"/>
    <w:rsid w:val="00B73C97"/>
    <w:rsid w:val="00B74984"/>
    <w:rsid w:val="00B755B0"/>
    <w:rsid w:val="00B75AFC"/>
    <w:rsid w:val="00B76340"/>
    <w:rsid w:val="00B87EAE"/>
    <w:rsid w:val="00B9329E"/>
    <w:rsid w:val="00B94786"/>
    <w:rsid w:val="00BA0662"/>
    <w:rsid w:val="00BA34A0"/>
    <w:rsid w:val="00BA3B6F"/>
    <w:rsid w:val="00BA4A61"/>
    <w:rsid w:val="00BA6D63"/>
    <w:rsid w:val="00BA78B6"/>
    <w:rsid w:val="00BB26AD"/>
    <w:rsid w:val="00BB39FB"/>
    <w:rsid w:val="00BB79BD"/>
    <w:rsid w:val="00BB7E9A"/>
    <w:rsid w:val="00BC10DB"/>
    <w:rsid w:val="00BC1750"/>
    <w:rsid w:val="00BC7208"/>
    <w:rsid w:val="00BD0B48"/>
    <w:rsid w:val="00BD2A0A"/>
    <w:rsid w:val="00BD492C"/>
    <w:rsid w:val="00BD5D0F"/>
    <w:rsid w:val="00BD72B0"/>
    <w:rsid w:val="00BD7C68"/>
    <w:rsid w:val="00BE007A"/>
    <w:rsid w:val="00BE1CBC"/>
    <w:rsid w:val="00BE29DC"/>
    <w:rsid w:val="00BE60EB"/>
    <w:rsid w:val="00BE7953"/>
    <w:rsid w:val="00BF43F9"/>
    <w:rsid w:val="00BF697A"/>
    <w:rsid w:val="00BF6ADB"/>
    <w:rsid w:val="00C00A3D"/>
    <w:rsid w:val="00C03776"/>
    <w:rsid w:val="00C03D7E"/>
    <w:rsid w:val="00C0689C"/>
    <w:rsid w:val="00C06CC2"/>
    <w:rsid w:val="00C122EA"/>
    <w:rsid w:val="00C13821"/>
    <w:rsid w:val="00C1395A"/>
    <w:rsid w:val="00C14051"/>
    <w:rsid w:val="00C15F73"/>
    <w:rsid w:val="00C2037B"/>
    <w:rsid w:val="00C2151F"/>
    <w:rsid w:val="00C22FF7"/>
    <w:rsid w:val="00C27F76"/>
    <w:rsid w:val="00C306E1"/>
    <w:rsid w:val="00C309AD"/>
    <w:rsid w:val="00C30DA4"/>
    <w:rsid w:val="00C34E91"/>
    <w:rsid w:val="00C35BAB"/>
    <w:rsid w:val="00C37391"/>
    <w:rsid w:val="00C37FD5"/>
    <w:rsid w:val="00C440B3"/>
    <w:rsid w:val="00C44719"/>
    <w:rsid w:val="00C44ADE"/>
    <w:rsid w:val="00C50108"/>
    <w:rsid w:val="00C53BB7"/>
    <w:rsid w:val="00C53E4F"/>
    <w:rsid w:val="00C62128"/>
    <w:rsid w:val="00C64555"/>
    <w:rsid w:val="00C6572C"/>
    <w:rsid w:val="00C66C8A"/>
    <w:rsid w:val="00C70324"/>
    <w:rsid w:val="00C70CFF"/>
    <w:rsid w:val="00C71C42"/>
    <w:rsid w:val="00C75655"/>
    <w:rsid w:val="00C76487"/>
    <w:rsid w:val="00C7689B"/>
    <w:rsid w:val="00C837C3"/>
    <w:rsid w:val="00C839B3"/>
    <w:rsid w:val="00C84497"/>
    <w:rsid w:val="00C868F6"/>
    <w:rsid w:val="00C9137C"/>
    <w:rsid w:val="00C91644"/>
    <w:rsid w:val="00C9663B"/>
    <w:rsid w:val="00C97BFD"/>
    <w:rsid w:val="00CA2FCC"/>
    <w:rsid w:val="00CA378C"/>
    <w:rsid w:val="00CA67DB"/>
    <w:rsid w:val="00CA7C0B"/>
    <w:rsid w:val="00CB1F86"/>
    <w:rsid w:val="00CB6E2B"/>
    <w:rsid w:val="00CB6FF7"/>
    <w:rsid w:val="00CB7302"/>
    <w:rsid w:val="00CC0332"/>
    <w:rsid w:val="00CC1E9F"/>
    <w:rsid w:val="00CC5552"/>
    <w:rsid w:val="00CC5896"/>
    <w:rsid w:val="00CD3937"/>
    <w:rsid w:val="00CE3810"/>
    <w:rsid w:val="00CE52B4"/>
    <w:rsid w:val="00CE52F3"/>
    <w:rsid w:val="00CE5DCD"/>
    <w:rsid w:val="00CE701C"/>
    <w:rsid w:val="00CE7599"/>
    <w:rsid w:val="00CE7B67"/>
    <w:rsid w:val="00CF414A"/>
    <w:rsid w:val="00CF4FF0"/>
    <w:rsid w:val="00CF5B47"/>
    <w:rsid w:val="00D00DE1"/>
    <w:rsid w:val="00D0324E"/>
    <w:rsid w:val="00D104F9"/>
    <w:rsid w:val="00D13DA5"/>
    <w:rsid w:val="00D141FA"/>
    <w:rsid w:val="00D14323"/>
    <w:rsid w:val="00D16008"/>
    <w:rsid w:val="00D166D4"/>
    <w:rsid w:val="00D2242E"/>
    <w:rsid w:val="00D2283B"/>
    <w:rsid w:val="00D30254"/>
    <w:rsid w:val="00D32E5E"/>
    <w:rsid w:val="00D33768"/>
    <w:rsid w:val="00D33D87"/>
    <w:rsid w:val="00D35077"/>
    <w:rsid w:val="00D35A6E"/>
    <w:rsid w:val="00D375BF"/>
    <w:rsid w:val="00D4058D"/>
    <w:rsid w:val="00D408A8"/>
    <w:rsid w:val="00D4585C"/>
    <w:rsid w:val="00D46039"/>
    <w:rsid w:val="00D46BD0"/>
    <w:rsid w:val="00D46DAE"/>
    <w:rsid w:val="00D51B28"/>
    <w:rsid w:val="00D51C8F"/>
    <w:rsid w:val="00D5204B"/>
    <w:rsid w:val="00D54C10"/>
    <w:rsid w:val="00D55CD0"/>
    <w:rsid w:val="00D5676A"/>
    <w:rsid w:val="00D57973"/>
    <w:rsid w:val="00D60CE2"/>
    <w:rsid w:val="00D612EC"/>
    <w:rsid w:val="00D6153E"/>
    <w:rsid w:val="00D623C4"/>
    <w:rsid w:val="00D66CC6"/>
    <w:rsid w:val="00D722DF"/>
    <w:rsid w:val="00D74A00"/>
    <w:rsid w:val="00D82D34"/>
    <w:rsid w:val="00D8352B"/>
    <w:rsid w:val="00D84675"/>
    <w:rsid w:val="00D8526A"/>
    <w:rsid w:val="00D85DBD"/>
    <w:rsid w:val="00D86252"/>
    <w:rsid w:val="00D917F3"/>
    <w:rsid w:val="00D97BAA"/>
    <w:rsid w:val="00DA1CF1"/>
    <w:rsid w:val="00DA1E13"/>
    <w:rsid w:val="00DA3AF3"/>
    <w:rsid w:val="00DA5455"/>
    <w:rsid w:val="00DA5C2B"/>
    <w:rsid w:val="00DA69E3"/>
    <w:rsid w:val="00DB5EFB"/>
    <w:rsid w:val="00DB6EF1"/>
    <w:rsid w:val="00DC19BB"/>
    <w:rsid w:val="00DC6404"/>
    <w:rsid w:val="00DD36E8"/>
    <w:rsid w:val="00DD7FDF"/>
    <w:rsid w:val="00DD7FFA"/>
    <w:rsid w:val="00DE0148"/>
    <w:rsid w:val="00DE1703"/>
    <w:rsid w:val="00DE5BF8"/>
    <w:rsid w:val="00DE7794"/>
    <w:rsid w:val="00DF2699"/>
    <w:rsid w:val="00DF472D"/>
    <w:rsid w:val="00DF511F"/>
    <w:rsid w:val="00DF568D"/>
    <w:rsid w:val="00E00CCB"/>
    <w:rsid w:val="00E042C7"/>
    <w:rsid w:val="00E0781A"/>
    <w:rsid w:val="00E07878"/>
    <w:rsid w:val="00E11475"/>
    <w:rsid w:val="00E11B11"/>
    <w:rsid w:val="00E11B3F"/>
    <w:rsid w:val="00E175A7"/>
    <w:rsid w:val="00E20055"/>
    <w:rsid w:val="00E20168"/>
    <w:rsid w:val="00E20407"/>
    <w:rsid w:val="00E20740"/>
    <w:rsid w:val="00E20E92"/>
    <w:rsid w:val="00E21AC7"/>
    <w:rsid w:val="00E23100"/>
    <w:rsid w:val="00E245DA"/>
    <w:rsid w:val="00E24645"/>
    <w:rsid w:val="00E268FD"/>
    <w:rsid w:val="00E31BCB"/>
    <w:rsid w:val="00E31F13"/>
    <w:rsid w:val="00E320E4"/>
    <w:rsid w:val="00E32322"/>
    <w:rsid w:val="00E32963"/>
    <w:rsid w:val="00E33442"/>
    <w:rsid w:val="00E337BC"/>
    <w:rsid w:val="00E350CD"/>
    <w:rsid w:val="00E372A9"/>
    <w:rsid w:val="00E4001B"/>
    <w:rsid w:val="00E51FDE"/>
    <w:rsid w:val="00E534B2"/>
    <w:rsid w:val="00E5415B"/>
    <w:rsid w:val="00E55F35"/>
    <w:rsid w:val="00E565A6"/>
    <w:rsid w:val="00E56952"/>
    <w:rsid w:val="00E56B66"/>
    <w:rsid w:val="00E64E1A"/>
    <w:rsid w:val="00E66251"/>
    <w:rsid w:val="00E7026F"/>
    <w:rsid w:val="00E705B7"/>
    <w:rsid w:val="00E7086E"/>
    <w:rsid w:val="00E70ECC"/>
    <w:rsid w:val="00E71A89"/>
    <w:rsid w:val="00E77197"/>
    <w:rsid w:val="00E77974"/>
    <w:rsid w:val="00E80A03"/>
    <w:rsid w:val="00E81B1A"/>
    <w:rsid w:val="00E84FB3"/>
    <w:rsid w:val="00E853E4"/>
    <w:rsid w:val="00E87037"/>
    <w:rsid w:val="00E9140F"/>
    <w:rsid w:val="00E9490D"/>
    <w:rsid w:val="00EA0338"/>
    <w:rsid w:val="00EA1EF9"/>
    <w:rsid w:val="00EA2CA0"/>
    <w:rsid w:val="00EA34C1"/>
    <w:rsid w:val="00EA3932"/>
    <w:rsid w:val="00EA5A02"/>
    <w:rsid w:val="00EA5F1F"/>
    <w:rsid w:val="00EA7237"/>
    <w:rsid w:val="00EB055B"/>
    <w:rsid w:val="00EB112A"/>
    <w:rsid w:val="00EB28D4"/>
    <w:rsid w:val="00EB3409"/>
    <w:rsid w:val="00EB449D"/>
    <w:rsid w:val="00EC1212"/>
    <w:rsid w:val="00EC1D3D"/>
    <w:rsid w:val="00EC3331"/>
    <w:rsid w:val="00EC4425"/>
    <w:rsid w:val="00EC677E"/>
    <w:rsid w:val="00EC7E67"/>
    <w:rsid w:val="00ED0610"/>
    <w:rsid w:val="00ED5B5C"/>
    <w:rsid w:val="00ED70BD"/>
    <w:rsid w:val="00EE0B3E"/>
    <w:rsid w:val="00EE37BB"/>
    <w:rsid w:val="00EF4099"/>
    <w:rsid w:val="00EF6BDC"/>
    <w:rsid w:val="00EF73B5"/>
    <w:rsid w:val="00F002FF"/>
    <w:rsid w:val="00F00E95"/>
    <w:rsid w:val="00F01342"/>
    <w:rsid w:val="00F01C4C"/>
    <w:rsid w:val="00F02786"/>
    <w:rsid w:val="00F0434F"/>
    <w:rsid w:val="00F05E26"/>
    <w:rsid w:val="00F0670F"/>
    <w:rsid w:val="00F0681B"/>
    <w:rsid w:val="00F07FA6"/>
    <w:rsid w:val="00F10643"/>
    <w:rsid w:val="00F10E9E"/>
    <w:rsid w:val="00F13036"/>
    <w:rsid w:val="00F13C16"/>
    <w:rsid w:val="00F144E6"/>
    <w:rsid w:val="00F154B4"/>
    <w:rsid w:val="00F21D1A"/>
    <w:rsid w:val="00F22865"/>
    <w:rsid w:val="00F24D75"/>
    <w:rsid w:val="00F261E3"/>
    <w:rsid w:val="00F34F33"/>
    <w:rsid w:val="00F36D1F"/>
    <w:rsid w:val="00F3769E"/>
    <w:rsid w:val="00F40D18"/>
    <w:rsid w:val="00F40F06"/>
    <w:rsid w:val="00F42669"/>
    <w:rsid w:val="00F4398A"/>
    <w:rsid w:val="00F44A59"/>
    <w:rsid w:val="00F45D6A"/>
    <w:rsid w:val="00F4749B"/>
    <w:rsid w:val="00F525B6"/>
    <w:rsid w:val="00F5263F"/>
    <w:rsid w:val="00F56CE9"/>
    <w:rsid w:val="00F57651"/>
    <w:rsid w:val="00F57737"/>
    <w:rsid w:val="00F61151"/>
    <w:rsid w:val="00F63E86"/>
    <w:rsid w:val="00F640AB"/>
    <w:rsid w:val="00F64ECE"/>
    <w:rsid w:val="00F6620A"/>
    <w:rsid w:val="00F6632B"/>
    <w:rsid w:val="00F670CF"/>
    <w:rsid w:val="00F67B6E"/>
    <w:rsid w:val="00F7198C"/>
    <w:rsid w:val="00F77765"/>
    <w:rsid w:val="00F778EA"/>
    <w:rsid w:val="00F77EC3"/>
    <w:rsid w:val="00F83033"/>
    <w:rsid w:val="00F8418F"/>
    <w:rsid w:val="00F85E98"/>
    <w:rsid w:val="00F95BF5"/>
    <w:rsid w:val="00FA0E02"/>
    <w:rsid w:val="00FA2AC4"/>
    <w:rsid w:val="00FA7C8B"/>
    <w:rsid w:val="00FB0249"/>
    <w:rsid w:val="00FB1C13"/>
    <w:rsid w:val="00FC113A"/>
    <w:rsid w:val="00FC2EC2"/>
    <w:rsid w:val="00FC5D6D"/>
    <w:rsid w:val="00FD19BE"/>
    <w:rsid w:val="00FD213C"/>
    <w:rsid w:val="00FD661C"/>
    <w:rsid w:val="00FD6657"/>
    <w:rsid w:val="00FE3B63"/>
    <w:rsid w:val="00FE54A4"/>
    <w:rsid w:val="00FE600F"/>
    <w:rsid w:val="00FF1A54"/>
    <w:rsid w:val="00FF2ED8"/>
    <w:rsid w:val="00FF787F"/>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51B28"/>
    <w:pPr>
      <w:spacing w:line="360" w:lineRule="auto"/>
      <w:outlineLvl w:val="0"/>
    </w:pPr>
    <w:rPr>
      <w:b/>
      <w:sz w:val="26"/>
    </w:rPr>
  </w:style>
  <w:style w:type="paragraph" w:styleId="Heading2">
    <w:name w:val="heading 2"/>
    <w:basedOn w:val="Normal"/>
    <w:next w:val="Normal"/>
    <w:link w:val="Heading2Char"/>
    <w:uiPriority w:val="9"/>
    <w:unhideWhenUsed/>
    <w:qFormat/>
    <w:rsid w:val="00FF2ED8"/>
    <w:pPr>
      <w:spacing w:line="360" w:lineRule="auto"/>
      <w:outlineLvl w:val="1"/>
    </w:pPr>
    <w:rPr>
      <w:b/>
      <w:sz w:val="26"/>
    </w:rPr>
  </w:style>
  <w:style w:type="paragraph" w:styleId="Heading3">
    <w:name w:val="heading 3"/>
    <w:basedOn w:val="Normal"/>
    <w:next w:val="Normal"/>
    <w:link w:val="Heading3Char"/>
    <w:uiPriority w:val="9"/>
    <w:unhideWhenUsed/>
    <w:qFormat/>
    <w:rsid w:val="00F13C16"/>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51B28"/>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semiHidden/>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qFormat/>
    <w:rsid w:val="00FE54A4"/>
    <w:rPr>
      <w:i/>
      <w:iCs/>
    </w:rPr>
  </w:style>
  <w:style w:type="table" w:styleId="MediumList2-Accent1">
    <w:name w:val="Medium List 2 Accent 1"/>
    <w:basedOn w:val="TableNormal"/>
    <w:uiPriority w:val="66"/>
    <w:rsid w:val="0068511E"/>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4">
    <w:name w:val="Calendar 4"/>
    <w:basedOn w:val="TableNormal"/>
    <w:uiPriority w:val="99"/>
    <w:qFormat/>
    <w:rsid w:val="0068511E"/>
    <w:pPr>
      <w:snapToGrid w:val="0"/>
      <w:spacing w:after="0" w:line="240" w:lineRule="auto"/>
    </w:pPr>
    <w:rPr>
      <w:rFonts w:eastAsiaTheme="minorEastAsia"/>
      <w:b/>
      <w:bCs/>
      <w:color w:val="D9D9D9" w:themeColor="background1" w:themeShade="D9"/>
      <w:sz w:val="16"/>
      <w:szCs w:val="16"/>
      <w:lang w:bidi="en-US"/>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BodyText">
    <w:name w:val="Body Text"/>
    <w:basedOn w:val="Normal"/>
    <w:link w:val="BodyTextChar"/>
    <w:rsid w:val="00580A66"/>
    <w:pPr>
      <w:widowControl/>
      <w:spacing w:after="240" w:line="360" w:lineRule="auto"/>
      <w:ind w:firstLine="720"/>
      <w:jc w:val="both"/>
    </w:pPr>
    <w:rPr>
      <w:sz w:val="24"/>
      <w:szCs w:val="24"/>
    </w:rPr>
  </w:style>
  <w:style w:type="character" w:customStyle="1" w:styleId="BodyTextChar">
    <w:name w:val="Body Text Char"/>
    <w:basedOn w:val="DefaultParagraphFont"/>
    <w:link w:val="BodyText"/>
    <w:rsid w:val="00580A66"/>
    <w:rPr>
      <w:rFonts w:ascii="Times New Roman" w:eastAsia="Times New Roman" w:hAnsi="Times New Roman" w:cs="Times New Roman"/>
      <w:sz w:val="24"/>
      <w:szCs w:val="24"/>
    </w:rPr>
  </w:style>
  <w:style w:type="paragraph" w:customStyle="1" w:styleId="IndentDouble">
    <w:name w:val="Indent Double"/>
    <w:basedOn w:val="Normal"/>
    <w:next w:val="BodyText"/>
    <w:rsid w:val="00580A66"/>
    <w:pPr>
      <w:widowControl/>
      <w:spacing w:after="240" w:line="360" w:lineRule="auto"/>
      <w:ind w:left="2160" w:right="2160"/>
      <w:jc w:val="both"/>
    </w:pPr>
    <w:rPr>
      <w:sz w:val="24"/>
      <w:szCs w:val="24"/>
    </w:rPr>
  </w:style>
  <w:style w:type="paragraph" w:styleId="ListNumber">
    <w:name w:val="List Number"/>
    <w:basedOn w:val="Normal"/>
    <w:rsid w:val="00580A66"/>
    <w:pPr>
      <w:widowControl/>
      <w:numPr>
        <w:numId w:val="8"/>
      </w:numPr>
      <w:spacing w:line="480" w:lineRule="auto"/>
    </w:pPr>
    <w:rPr>
      <w:sz w:val="24"/>
      <w:szCs w:val="24"/>
    </w:rPr>
  </w:style>
  <w:style w:type="paragraph" w:customStyle="1" w:styleId="Default">
    <w:name w:val="Default"/>
    <w:rsid w:val="00580A6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3">
    <w:name w:val="CM13"/>
    <w:basedOn w:val="Default"/>
    <w:next w:val="Default"/>
    <w:rsid w:val="00580A66"/>
    <w:pPr>
      <w:spacing w:line="276" w:lineRule="atLeast"/>
    </w:pPr>
    <w:rPr>
      <w:color w:val="auto"/>
    </w:rPr>
  </w:style>
  <w:style w:type="paragraph" w:customStyle="1" w:styleId="CM54">
    <w:name w:val="CM54"/>
    <w:basedOn w:val="Default"/>
    <w:next w:val="Default"/>
    <w:rsid w:val="00580A66"/>
    <w:pPr>
      <w:spacing w:after="960"/>
    </w:pPr>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2FEC-40A4-4A53-8E18-CE09BAC0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4055</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joyce marie farner</cp:lastModifiedBy>
  <cp:revision>4</cp:revision>
  <cp:lastPrinted>2011-03-01T15:06:00Z</cp:lastPrinted>
  <dcterms:created xsi:type="dcterms:W3CDTF">2011-02-11T19:26:00Z</dcterms:created>
  <dcterms:modified xsi:type="dcterms:W3CDTF">2011-03-01T15:08:00Z</dcterms:modified>
</cp:coreProperties>
</file>