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C148FA" w:rsidRDefault="00E9099D" w:rsidP="00C148FA">
      <w:pPr>
        <w:jc w:val="center"/>
        <w:rPr>
          <w:b/>
          <w:sz w:val="24"/>
          <w:szCs w:val="24"/>
        </w:rPr>
      </w:pPr>
      <w:r>
        <w:rPr>
          <w:b/>
          <w:sz w:val="24"/>
          <w:szCs w:val="24"/>
        </w:rPr>
        <w:t xml:space="preserve"> </w:t>
      </w:r>
      <w:r w:rsidR="00DD3605" w:rsidRPr="00C148FA">
        <w:rPr>
          <w:b/>
          <w:sz w:val="24"/>
          <w:szCs w:val="24"/>
        </w:rPr>
        <w:t>BEFORE THE</w:t>
      </w:r>
    </w:p>
    <w:p w:rsidR="00DD3605" w:rsidRPr="00C148FA" w:rsidRDefault="00DD3605" w:rsidP="00C148FA">
      <w:pPr>
        <w:jc w:val="center"/>
        <w:rPr>
          <w:b/>
          <w:sz w:val="24"/>
          <w:szCs w:val="24"/>
        </w:rPr>
      </w:pPr>
      <w:r w:rsidRPr="00C148FA">
        <w:rPr>
          <w:b/>
          <w:sz w:val="24"/>
          <w:szCs w:val="24"/>
        </w:rPr>
        <w:t>PENNSYLVANIA PUBLIC UTILITY COMMISSION</w:t>
      </w:r>
    </w:p>
    <w:p w:rsidR="00DD3605" w:rsidRPr="00C148FA" w:rsidRDefault="00DD3605" w:rsidP="00C148FA">
      <w:pPr>
        <w:jc w:val="center"/>
        <w:rPr>
          <w:b/>
          <w:sz w:val="24"/>
          <w:szCs w:val="24"/>
        </w:rPr>
      </w:pPr>
    </w:p>
    <w:p w:rsidR="00DD3605" w:rsidRPr="00C148FA" w:rsidRDefault="00DD3605" w:rsidP="00C148FA">
      <w:pPr>
        <w:jc w:val="center"/>
        <w:rPr>
          <w:b/>
          <w:sz w:val="24"/>
          <w:szCs w:val="24"/>
        </w:rPr>
      </w:pPr>
    </w:p>
    <w:p w:rsidR="00DD3605" w:rsidRPr="00C148FA" w:rsidRDefault="00DD3605" w:rsidP="00C148FA">
      <w:pPr>
        <w:jc w:val="center"/>
        <w:rPr>
          <w:b/>
          <w:sz w:val="24"/>
          <w:szCs w:val="24"/>
        </w:rPr>
      </w:pPr>
    </w:p>
    <w:p w:rsidR="00DD3605" w:rsidRPr="00C148FA" w:rsidRDefault="0055746B" w:rsidP="00C148FA">
      <w:pPr>
        <w:rPr>
          <w:sz w:val="24"/>
          <w:szCs w:val="24"/>
        </w:rPr>
      </w:pPr>
      <w:r w:rsidRPr="00C148FA">
        <w:rPr>
          <w:sz w:val="24"/>
          <w:szCs w:val="24"/>
        </w:rPr>
        <w:t>DIANA &amp; PHILLIP MCKEE</w:t>
      </w:r>
      <w:r w:rsidR="0034382B" w:rsidRPr="00C148FA">
        <w:rPr>
          <w:sz w:val="24"/>
          <w:szCs w:val="24"/>
        </w:rPr>
        <w:tab/>
      </w:r>
      <w:r w:rsidR="00DD3605" w:rsidRPr="00C148FA">
        <w:rPr>
          <w:sz w:val="24"/>
          <w:szCs w:val="24"/>
        </w:rPr>
        <w:tab/>
      </w:r>
      <w:r w:rsidR="00DD3605" w:rsidRPr="00C148FA">
        <w:rPr>
          <w:sz w:val="24"/>
          <w:szCs w:val="24"/>
        </w:rPr>
        <w:tab/>
        <w:t>:</w:t>
      </w:r>
    </w:p>
    <w:p w:rsidR="00DD3605" w:rsidRPr="00C148FA" w:rsidRDefault="00DD3605" w:rsidP="00C148FA">
      <w:pPr>
        <w:rPr>
          <w:sz w:val="24"/>
          <w:szCs w:val="24"/>
        </w:rPr>
      </w:pP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t>:</w:t>
      </w:r>
    </w:p>
    <w:p w:rsidR="00DD3605" w:rsidRPr="00C148FA" w:rsidRDefault="00DD3605" w:rsidP="00C148FA">
      <w:pPr>
        <w:rPr>
          <w:sz w:val="24"/>
          <w:szCs w:val="24"/>
        </w:rPr>
      </w:pPr>
      <w:r w:rsidRPr="00C148FA">
        <w:rPr>
          <w:sz w:val="24"/>
          <w:szCs w:val="24"/>
        </w:rPr>
        <w:tab/>
        <w:t>v.</w:t>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t>:</w:t>
      </w:r>
      <w:r w:rsidRPr="00C148FA">
        <w:rPr>
          <w:sz w:val="24"/>
          <w:szCs w:val="24"/>
        </w:rPr>
        <w:tab/>
        <w:t xml:space="preserve">Docket No. </w:t>
      </w:r>
      <w:r w:rsidR="0055746B" w:rsidRPr="00C148FA">
        <w:rPr>
          <w:sz w:val="24"/>
          <w:szCs w:val="24"/>
        </w:rPr>
        <w:t>F</w:t>
      </w:r>
      <w:r w:rsidRPr="00C148FA">
        <w:rPr>
          <w:sz w:val="24"/>
          <w:szCs w:val="24"/>
        </w:rPr>
        <w:t>-20</w:t>
      </w:r>
      <w:r w:rsidR="00A052F0" w:rsidRPr="00C148FA">
        <w:rPr>
          <w:sz w:val="24"/>
          <w:szCs w:val="24"/>
        </w:rPr>
        <w:t>10</w:t>
      </w:r>
      <w:r w:rsidRPr="00C148FA">
        <w:rPr>
          <w:sz w:val="24"/>
          <w:szCs w:val="24"/>
        </w:rPr>
        <w:t>-</w:t>
      </w:r>
      <w:r w:rsidR="00A052F0" w:rsidRPr="00C148FA">
        <w:rPr>
          <w:sz w:val="24"/>
          <w:szCs w:val="24"/>
        </w:rPr>
        <w:t>22</w:t>
      </w:r>
      <w:r w:rsidR="0055746B" w:rsidRPr="00C148FA">
        <w:rPr>
          <w:sz w:val="24"/>
          <w:szCs w:val="24"/>
        </w:rPr>
        <w:t>13216</w:t>
      </w:r>
    </w:p>
    <w:p w:rsidR="00DD3605" w:rsidRPr="00C148FA" w:rsidRDefault="00DD3605" w:rsidP="00C148FA">
      <w:pPr>
        <w:rPr>
          <w:sz w:val="24"/>
          <w:szCs w:val="24"/>
        </w:rPr>
      </w:pP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t>:</w:t>
      </w:r>
    </w:p>
    <w:p w:rsidR="00DD3605" w:rsidRPr="00C148FA" w:rsidRDefault="00DD3605" w:rsidP="00C148FA">
      <w:pPr>
        <w:rPr>
          <w:sz w:val="24"/>
          <w:szCs w:val="24"/>
        </w:rPr>
      </w:pPr>
      <w:r w:rsidRPr="00C148FA">
        <w:rPr>
          <w:sz w:val="24"/>
          <w:szCs w:val="24"/>
        </w:rPr>
        <w:t>P</w:t>
      </w:r>
      <w:r w:rsidR="0055746B" w:rsidRPr="00C148FA">
        <w:rPr>
          <w:sz w:val="24"/>
          <w:szCs w:val="24"/>
        </w:rPr>
        <w:t>ECO ENERGY COMPANY</w:t>
      </w:r>
      <w:r w:rsidRPr="00C148FA">
        <w:rPr>
          <w:sz w:val="24"/>
          <w:szCs w:val="24"/>
        </w:rPr>
        <w:tab/>
      </w:r>
      <w:r w:rsidRPr="00C148FA">
        <w:rPr>
          <w:sz w:val="24"/>
          <w:szCs w:val="24"/>
        </w:rPr>
        <w:tab/>
        <w:t>:</w:t>
      </w:r>
    </w:p>
    <w:p w:rsidR="00DD3605" w:rsidRPr="00C148FA" w:rsidRDefault="00DD3605" w:rsidP="00C148FA">
      <w:pPr>
        <w:rPr>
          <w:sz w:val="24"/>
          <w:szCs w:val="24"/>
        </w:rPr>
      </w:pPr>
    </w:p>
    <w:p w:rsidR="00DD3605" w:rsidRPr="00C148FA" w:rsidRDefault="00DD3605" w:rsidP="00C148FA">
      <w:pPr>
        <w:rPr>
          <w:sz w:val="24"/>
          <w:szCs w:val="24"/>
        </w:rPr>
      </w:pPr>
    </w:p>
    <w:p w:rsidR="00E122C5" w:rsidRPr="00C148FA" w:rsidRDefault="00E122C5" w:rsidP="00C148FA">
      <w:pPr>
        <w:rPr>
          <w:sz w:val="24"/>
          <w:szCs w:val="24"/>
        </w:rPr>
      </w:pPr>
    </w:p>
    <w:p w:rsidR="00316202" w:rsidRPr="00C148FA" w:rsidRDefault="00C0130C" w:rsidP="00C0130C">
      <w:pPr>
        <w:pStyle w:val="Heading1"/>
        <w:rPr>
          <w:b w:val="0"/>
          <w:szCs w:val="24"/>
        </w:rPr>
      </w:pPr>
      <w:r>
        <w:rPr>
          <w:rFonts w:ascii="Times New Roman" w:hAnsi="Times New Roman"/>
          <w:szCs w:val="24"/>
        </w:rPr>
        <w:t>ORDER DENY</w:t>
      </w:r>
      <w:r w:rsidR="00316202" w:rsidRPr="00C148FA">
        <w:rPr>
          <w:rFonts w:ascii="Times New Roman" w:hAnsi="Times New Roman"/>
          <w:szCs w:val="24"/>
        </w:rPr>
        <w:t>ING PRELIMINARY OBJECTION</w:t>
      </w:r>
    </w:p>
    <w:p w:rsidR="00DD3605" w:rsidRPr="00C148FA" w:rsidRDefault="00DD3605" w:rsidP="00C148FA">
      <w:pPr>
        <w:jc w:val="center"/>
        <w:rPr>
          <w:b/>
          <w:sz w:val="24"/>
          <w:szCs w:val="24"/>
        </w:rPr>
      </w:pPr>
    </w:p>
    <w:p w:rsidR="00DD3605" w:rsidRPr="00C148FA" w:rsidRDefault="00DD3605" w:rsidP="00C148FA">
      <w:pPr>
        <w:jc w:val="center"/>
        <w:rPr>
          <w:b/>
          <w:sz w:val="24"/>
          <w:szCs w:val="24"/>
        </w:rPr>
      </w:pPr>
    </w:p>
    <w:p w:rsidR="00DD3605" w:rsidRPr="00C148FA" w:rsidRDefault="00DD3605" w:rsidP="00C148FA">
      <w:pPr>
        <w:pStyle w:val="Heading2"/>
        <w:rPr>
          <w:rFonts w:ascii="Times New Roman" w:hAnsi="Times New Roman"/>
          <w:b w:val="0"/>
          <w:szCs w:val="24"/>
        </w:rPr>
      </w:pPr>
      <w:r w:rsidRPr="00C148FA">
        <w:rPr>
          <w:rFonts w:ascii="Times New Roman" w:hAnsi="Times New Roman"/>
          <w:b w:val="0"/>
          <w:szCs w:val="24"/>
        </w:rPr>
        <w:t>Before</w:t>
      </w:r>
    </w:p>
    <w:p w:rsidR="00DD3605" w:rsidRPr="00C148FA" w:rsidRDefault="00DD3605" w:rsidP="00C148FA">
      <w:pPr>
        <w:jc w:val="center"/>
        <w:rPr>
          <w:sz w:val="24"/>
          <w:szCs w:val="24"/>
        </w:rPr>
      </w:pPr>
      <w:r w:rsidRPr="00C148FA">
        <w:rPr>
          <w:sz w:val="24"/>
          <w:szCs w:val="24"/>
        </w:rPr>
        <w:t>Dennis J. Buckley</w:t>
      </w:r>
    </w:p>
    <w:p w:rsidR="00DD3605" w:rsidRPr="00C148FA" w:rsidRDefault="00DD3605" w:rsidP="00C148FA">
      <w:pPr>
        <w:jc w:val="center"/>
        <w:rPr>
          <w:sz w:val="24"/>
          <w:szCs w:val="24"/>
        </w:rPr>
      </w:pPr>
      <w:r w:rsidRPr="00C148FA">
        <w:rPr>
          <w:sz w:val="24"/>
          <w:szCs w:val="24"/>
        </w:rPr>
        <w:t>Administrative Law Judge</w:t>
      </w:r>
    </w:p>
    <w:p w:rsidR="00DD3605" w:rsidRPr="00C148FA" w:rsidRDefault="00DD3605" w:rsidP="00C148FA">
      <w:pPr>
        <w:jc w:val="center"/>
        <w:rPr>
          <w:b/>
          <w:sz w:val="24"/>
          <w:szCs w:val="24"/>
        </w:rPr>
      </w:pPr>
    </w:p>
    <w:p w:rsidR="008F604A" w:rsidRPr="00C148FA" w:rsidRDefault="008F604A" w:rsidP="00C148FA">
      <w:pPr>
        <w:rPr>
          <w:b/>
          <w:sz w:val="24"/>
          <w:szCs w:val="24"/>
        </w:rPr>
      </w:pPr>
    </w:p>
    <w:p w:rsidR="00DD3605" w:rsidRPr="00C148FA" w:rsidRDefault="00DD3605" w:rsidP="00C148FA">
      <w:pPr>
        <w:pStyle w:val="Heading1"/>
        <w:tabs>
          <w:tab w:val="left" w:pos="1980"/>
        </w:tabs>
        <w:rPr>
          <w:rFonts w:ascii="Times New Roman" w:hAnsi="Times New Roman"/>
          <w:b w:val="0"/>
          <w:szCs w:val="24"/>
        </w:rPr>
      </w:pPr>
      <w:r w:rsidRPr="00C148FA">
        <w:rPr>
          <w:rFonts w:ascii="Times New Roman" w:hAnsi="Times New Roman"/>
          <w:b w:val="0"/>
          <w:szCs w:val="24"/>
        </w:rPr>
        <w:t>HISTORY OF THE PROCEEDING</w:t>
      </w:r>
    </w:p>
    <w:p w:rsidR="00DD3605" w:rsidRPr="00C148FA" w:rsidRDefault="00DD3605" w:rsidP="00C148FA">
      <w:pPr>
        <w:rPr>
          <w:sz w:val="24"/>
          <w:szCs w:val="24"/>
        </w:rPr>
      </w:pPr>
    </w:p>
    <w:p w:rsidR="008F604A" w:rsidRPr="00C148FA" w:rsidRDefault="008F604A" w:rsidP="00C148FA">
      <w:pPr>
        <w:rPr>
          <w:sz w:val="24"/>
          <w:szCs w:val="24"/>
        </w:rPr>
      </w:pPr>
    </w:p>
    <w:p w:rsidR="00982EC4" w:rsidRPr="00C148FA" w:rsidRDefault="00DD3605" w:rsidP="00C148FA">
      <w:pPr>
        <w:spacing w:line="360" w:lineRule="auto"/>
        <w:rPr>
          <w:sz w:val="24"/>
          <w:szCs w:val="24"/>
        </w:rPr>
      </w:pPr>
      <w:r w:rsidRPr="00C148FA">
        <w:rPr>
          <w:sz w:val="24"/>
          <w:szCs w:val="24"/>
        </w:rPr>
        <w:tab/>
      </w:r>
      <w:r w:rsidRPr="00C148FA">
        <w:rPr>
          <w:sz w:val="24"/>
          <w:szCs w:val="24"/>
        </w:rPr>
        <w:tab/>
      </w:r>
      <w:r w:rsidR="00A052F0" w:rsidRPr="00C148FA">
        <w:rPr>
          <w:sz w:val="24"/>
          <w:szCs w:val="24"/>
        </w:rPr>
        <w:t xml:space="preserve">On </w:t>
      </w:r>
      <w:r w:rsidR="00F905C5" w:rsidRPr="00C148FA">
        <w:rPr>
          <w:sz w:val="24"/>
          <w:szCs w:val="24"/>
        </w:rPr>
        <w:t>December 1</w:t>
      </w:r>
      <w:r w:rsidR="007D4157" w:rsidRPr="00C148FA">
        <w:rPr>
          <w:sz w:val="24"/>
          <w:szCs w:val="24"/>
        </w:rPr>
        <w:t>, 2010</w:t>
      </w:r>
      <w:r w:rsidR="00A052F0" w:rsidRPr="00C148FA">
        <w:rPr>
          <w:sz w:val="24"/>
          <w:szCs w:val="24"/>
        </w:rPr>
        <w:t xml:space="preserve">, </w:t>
      </w:r>
      <w:r w:rsidR="00F905C5" w:rsidRPr="00C148FA">
        <w:rPr>
          <w:sz w:val="24"/>
          <w:szCs w:val="24"/>
        </w:rPr>
        <w:t>Diana and Phillip McKee</w:t>
      </w:r>
      <w:r w:rsidR="007D4157" w:rsidRPr="00C148FA">
        <w:rPr>
          <w:sz w:val="24"/>
          <w:szCs w:val="24"/>
        </w:rPr>
        <w:t xml:space="preserve"> </w:t>
      </w:r>
      <w:r w:rsidR="00A052F0" w:rsidRPr="00C148FA">
        <w:rPr>
          <w:sz w:val="24"/>
          <w:szCs w:val="24"/>
        </w:rPr>
        <w:t>(</w:t>
      </w:r>
      <w:r w:rsidR="007D4157" w:rsidRPr="00C148FA">
        <w:rPr>
          <w:sz w:val="24"/>
          <w:szCs w:val="24"/>
        </w:rPr>
        <w:t>C</w:t>
      </w:r>
      <w:r w:rsidR="00A052F0" w:rsidRPr="00C148FA">
        <w:rPr>
          <w:sz w:val="24"/>
          <w:szCs w:val="24"/>
        </w:rPr>
        <w:t>omplainant</w:t>
      </w:r>
      <w:r w:rsidR="00F905C5" w:rsidRPr="00C148FA">
        <w:rPr>
          <w:sz w:val="24"/>
          <w:szCs w:val="24"/>
        </w:rPr>
        <w:t>s</w:t>
      </w:r>
      <w:r w:rsidR="00A052F0" w:rsidRPr="00C148FA">
        <w:rPr>
          <w:sz w:val="24"/>
          <w:szCs w:val="24"/>
        </w:rPr>
        <w:t>)</w:t>
      </w:r>
      <w:r w:rsidR="00725255" w:rsidRPr="00C148FA">
        <w:rPr>
          <w:rStyle w:val="FootnoteReference"/>
          <w:sz w:val="24"/>
          <w:szCs w:val="24"/>
        </w:rPr>
        <w:footnoteReference w:id="1"/>
      </w:r>
      <w:r w:rsidR="00A052F0" w:rsidRPr="00C148FA">
        <w:rPr>
          <w:sz w:val="24"/>
          <w:szCs w:val="24"/>
        </w:rPr>
        <w:t xml:space="preserve"> filed a formal Complaint (Complaint) against the P</w:t>
      </w:r>
      <w:r w:rsidR="00F905C5" w:rsidRPr="00C148FA">
        <w:rPr>
          <w:sz w:val="24"/>
          <w:szCs w:val="24"/>
        </w:rPr>
        <w:t>ECO Energy Company</w:t>
      </w:r>
      <w:r w:rsidR="00A052F0" w:rsidRPr="00C148FA">
        <w:rPr>
          <w:sz w:val="24"/>
          <w:szCs w:val="24"/>
        </w:rPr>
        <w:t xml:space="preserve"> (</w:t>
      </w:r>
      <w:r w:rsidR="007D4157" w:rsidRPr="00C148FA">
        <w:rPr>
          <w:sz w:val="24"/>
          <w:szCs w:val="24"/>
        </w:rPr>
        <w:t>P</w:t>
      </w:r>
      <w:r w:rsidR="00F905C5" w:rsidRPr="00C148FA">
        <w:rPr>
          <w:sz w:val="24"/>
          <w:szCs w:val="24"/>
        </w:rPr>
        <w:t xml:space="preserve">ECO </w:t>
      </w:r>
      <w:r w:rsidR="007D4157" w:rsidRPr="00C148FA">
        <w:rPr>
          <w:sz w:val="24"/>
          <w:szCs w:val="24"/>
        </w:rPr>
        <w:t>or R</w:t>
      </w:r>
      <w:r w:rsidR="00A052F0" w:rsidRPr="00C148FA">
        <w:rPr>
          <w:sz w:val="24"/>
          <w:szCs w:val="24"/>
        </w:rPr>
        <w:t xml:space="preserve">espondent) with the Pennsylvania Public Utility Commission (Commission), </w:t>
      </w:r>
      <w:r w:rsidR="00C15F63" w:rsidRPr="00C148FA">
        <w:rPr>
          <w:sz w:val="24"/>
          <w:szCs w:val="24"/>
        </w:rPr>
        <w:t xml:space="preserve">at </w:t>
      </w:r>
      <w:r w:rsidR="00A052F0" w:rsidRPr="00C148FA">
        <w:rPr>
          <w:sz w:val="24"/>
          <w:szCs w:val="24"/>
        </w:rPr>
        <w:t xml:space="preserve">Docket Number </w:t>
      </w:r>
      <w:r w:rsidR="00F905C5" w:rsidRPr="00C148FA">
        <w:rPr>
          <w:sz w:val="24"/>
          <w:szCs w:val="24"/>
        </w:rPr>
        <w:t>F</w:t>
      </w:r>
      <w:r w:rsidR="00A052F0" w:rsidRPr="00C148FA">
        <w:rPr>
          <w:sz w:val="24"/>
          <w:szCs w:val="24"/>
        </w:rPr>
        <w:t>-20</w:t>
      </w:r>
      <w:r w:rsidR="00E95C4C" w:rsidRPr="00C148FA">
        <w:rPr>
          <w:sz w:val="24"/>
          <w:szCs w:val="24"/>
        </w:rPr>
        <w:t>10</w:t>
      </w:r>
      <w:r w:rsidR="00A052F0" w:rsidRPr="00C148FA">
        <w:rPr>
          <w:sz w:val="24"/>
          <w:szCs w:val="24"/>
        </w:rPr>
        <w:t>-</w:t>
      </w:r>
      <w:r w:rsidR="00E95C4C" w:rsidRPr="00C148FA">
        <w:rPr>
          <w:sz w:val="24"/>
          <w:szCs w:val="24"/>
        </w:rPr>
        <w:t>22</w:t>
      </w:r>
      <w:r w:rsidR="00F905C5" w:rsidRPr="00C148FA">
        <w:rPr>
          <w:sz w:val="24"/>
          <w:szCs w:val="24"/>
        </w:rPr>
        <w:t>13216</w:t>
      </w:r>
      <w:r w:rsidR="00E95C4C" w:rsidRPr="00C148FA">
        <w:rPr>
          <w:sz w:val="24"/>
          <w:szCs w:val="24"/>
        </w:rPr>
        <w:t xml:space="preserve">. The Complaint alleged that </w:t>
      </w:r>
      <w:r w:rsidR="00A74DE5" w:rsidRPr="00C148FA">
        <w:rPr>
          <w:sz w:val="24"/>
          <w:szCs w:val="24"/>
        </w:rPr>
        <w:t xml:space="preserve">PECO billed the Complainants for foreign </w:t>
      </w:r>
      <w:r w:rsidR="00255B68">
        <w:rPr>
          <w:sz w:val="24"/>
          <w:szCs w:val="24"/>
        </w:rPr>
        <w:t>wiring/</w:t>
      </w:r>
      <w:r w:rsidR="00A74DE5" w:rsidRPr="00C148FA">
        <w:rPr>
          <w:sz w:val="24"/>
          <w:szCs w:val="24"/>
        </w:rPr>
        <w:t xml:space="preserve">piping </w:t>
      </w:r>
      <w:r w:rsidR="00EC695A" w:rsidRPr="00C148FA">
        <w:rPr>
          <w:sz w:val="24"/>
          <w:szCs w:val="24"/>
        </w:rPr>
        <w:t xml:space="preserve">associated with </w:t>
      </w:r>
      <w:r w:rsidR="003F04A5">
        <w:rPr>
          <w:sz w:val="24"/>
          <w:szCs w:val="24"/>
        </w:rPr>
        <w:t xml:space="preserve">both electric </w:t>
      </w:r>
      <w:r w:rsidR="00255B68">
        <w:rPr>
          <w:sz w:val="24"/>
          <w:szCs w:val="24"/>
        </w:rPr>
        <w:t xml:space="preserve">and </w:t>
      </w:r>
      <w:r w:rsidR="00EC695A" w:rsidRPr="00C148FA">
        <w:rPr>
          <w:sz w:val="24"/>
          <w:szCs w:val="24"/>
        </w:rPr>
        <w:t xml:space="preserve">natural gas service </w:t>
      </w:r>
      <w:r w:rsidR="00A74DE5" w:rsidRPr="00C148FA">
        <w:rPr>
          <w:sz w:val="24"/>
          <w:szCs w:val="24"/>
        </w:rPr>
        <w:t>that was discovered at the Complainants’ rental property at 1845 Perkiomenville Road, Perkiomenville, Pennsylvania</w:t>
      </w:r>
      <w:r w:rsidR="003F04A5">
        <w:rPr>
          <w:sz w:val="24"/>
          <w:szCs w:val="24"/>
        </w:rPr>
        <w:t>, and that PECO apportioned the electric bill</w:t>
      </w:r>
      <w:r w:rsidR="00255B68">
        <w:rPr>
          <w:sz w:val="24"/>
          <w:szCs w:val="24"/>
        </w:rPr>
        <w:t xml:space="preserve">, but not the natural gas bill, </w:t>
      </w:r>
      <w:r w:rsidR="003F04A5">
        <w:rPr>
          <w:sz w:val="24"/>
          <w:szCs w:val="24"/>
        </w:rPr>
        <w:t>between the Complainants and a tenant</w:t>
      </w:r>
      <w:r w:rsidR="00A74DE5" w:rsidRPr="00C148FA">
        <w:rPr>
          <w:sz w:val="24"/>
          <w:szCs w:val="24"/>
        </w:rPr>
        <w:t xml:space="preserve">.  The </w:t>
      </w:r>
      <w:r w:rsidR="00A052F0" w:rsidRPr="00C148FA">
        <w:rPr>
          <w:sz w:val="24"/>
          <w:szCs w:val="24"/>
        </w:rPr>
        <w:t>Complainant</w:t>
      </w:r>
      <w:r w:rsidR="00A74DE5" w:rsidRPr="00C148FA">
        <w:rPr>
          <w:sz w:val="24"/>
          <w:szCs w:val="24"/>
        </w:rPr>
        <w:t>s</w:t>
      </w:r>
      <w:r w:rsidR="00A052F0" w:rsidRPr="00C148FA">
        <w:rPr>
          <w:sz w:val="24"/>
          <w:szCs w:val="24"/>
        </w:rPr>
        <w:t xml:space="preserve"> requested that the </w:t>
      </w:r>
      <w:r w:rsidR="00A74DE5" w:rsidRPr="00C148FA">
        <w:rPr>
          <w:sz w:val="24"/>
          <w:szCs w:val="24"/>
        </w:rPr>
        <w:t xml:space="preserve">charge </w:t>
      </w:r>
      <w:r w:rsidR="003F04A5">
        <w:rPr>
          <w:sz w:val="24"/>
          <w:szCs w:val="24"/>
        </w:rPr>
        <w:t>for the natural gas bill also be apportioned</w:t>
      </w:r>
      <w:r w:rsidR="00A74DE5" w:rsidRPr="00C148FA">
        <w:rPr>
          <w:sz w:val="24"/>
          <w:szCs w:val="24"/>
        </w:rPr>
        <w:t>.</w:t>
      </w:r>
      <w:r w:rsidR="00A052F0" w:rsidRPr="00C148FA">
        <w:rPr>
          <w:sz w:val="24"/>
          <w:szCs w:val="24"/>
        </w:rPr>
        <w:br/>
      </w:r>
      <w:r w:rsidR="00A052F0" w:rsidRPr="00C148FA">
        <w:rPr>
          <w:sz w:val="24"/>
          <w:szCs w:val="24"/>
        </w:rPr>
        <w:br/>
      </w:r>
      <w:r w:rsidR="00E95C4C" w:rsidRPr="00C148FA">
        <w:rPr>
          <w:sz w:val="24"/>
          <w:szCs w:val="24"/>
        </w:rPr>
        <w:tab/>
      </w:r>
      <w:r w:rsidR="00E95C4C" w:rsidRPr="00C148FA">
        <w:rPr>
          <w:sz w:val="24"/>
          <w:szCs w:val="24"/>
        </w:rPr>
        <w:tab/>
      </w:r>
      <w:r w:rsidR="00A052F0" w:rsidRPr="00C148FA">
        <w:rPr>
          <w:sz w:val="24"/>
          <w:szCs w:val="24"/>
        </w:rPr>
        <w:t xml:space="preserve">The Complaint was served on </w:t>
      </w:r>
      <w:r w:rsidR="00E95C4C" w:rsidRPr="00C148FA">
        <w:rPr>
          <w:sz w:val="24"/>
          <w:szCs w:val="24"/>
        </w:rPr>
        <w:t>P</w:t>
      </w:r>
      <w:r w:rsidR="00A74DE5" w:rsidRPr="00C148FA">
        <w:rPr>
          <w:sz w:val="24"/>
          <w:szCs w:val="24"/>
        </w:rPr>
        <w:t xml:space="preserve">ECO </w:t>
      </w:r>
      <w:r w:rsidR="00A052F0" w:rsidRPr="00C148FA">
        <w:rPr>
          <w:sz w:val="24"/>
          <w:szCs w:val="24"/>
        </w:rPr>
        <w:t xml:space="preserve">on </w:t>
      </w:r>
      <w:r w:rsidR="00A74DE5" w:rsidRPr="00C148FA">
        <w:rPr>
          <w:sz w:val="24"/>
          <w:szCs w:val="24"/>
        </w:rPr>
        <w:t xml:space="preserve">December 3, </w:t>
      </w:r>
      <w:r w:rsidR="00E95C4C" w:rsidRPr="00C148FA">
        <w:rPr>
          <w:sz w:val="24"/>
          <w:szCs w:val="24"/>
        </w:rPr>
        <w:t>2010</w:t>
      </w:r>
      <w:r w:rsidR="00A052F0" w:rsidRPr="00C148FA">
        <w:rPr>
          <w:sz w:val="24"/>
          <w:szCs w:val="24"/>
        </w:rPr>
        <w:t>, by the Commission's Secretary's Bureau.</w:t>
      </w:r>
      <w:r w:rsidR="00A052F0" w:rsidRPr="00C148FA">
        <w:rPr>
          <w:sz w:val="24"/>
          <w:szCs w:val="24"/>
        </w:rPr>
        <w:br/>
      </w:r>
      <w:r w:rsidR="00A052F0" w:rsidRPr="00C148FA">
        <w:rPr>
          <w:sz w:val="24"/>
          <w:szCs w:val="24"/>
        </w:rPr>
        <w:br/>
      </w:r>
      <w:r w:rsidR="00E95C4C" w:rsidRPr="00C148FA">
        <w:rPr>
          <w:sz w:val="24"/>
          <w:szCs w:val="24"/>
        </w:rPr>
        <w:tab/>
      </w:r>
      <w:r w:rsidR="00E95C4C" w:rsidRPr="00C148FA">
        <w:rPr>
          <w:sz w:val="24"/>
          <w:szCs w:val="24"/>
        </w:rPr>
        <w:tab/>
      </w:r>
      <w:r w:rsidR="00A052F0" w:rsidRPr="00C148FA">
        <w:rPr>
          <w:sz w:val="24"/>
          <w:szCs w:val="24"/>
        </w:rPr>
        <w:t xml:space="preserve">On </w:t>
      </w:r>
      <w:r w:rsidR="00A74DE5" w:rsidRPr="00C148FA">
        <w:rPr>
          <w:sz w:val="24"/>
          <w:szCs w:val="24"/>
        </w:rPr>
        <w:t>December 22, 2010</w:t>
      </w:r>
      <w:r w:rsidR="00A052F0" w:rsidRPr="00C148FA">
        <w:rPr>
          <w:sz w:val="24"/>
          <w:szCs w:val="24"/>
        </w:rPr>
        <w:t xml:space="preserve">, </w:t>
      </w:r>
      <w:r w:rsidR="00E95C4C" w:rsidRPr="00C148FA">
        <w:rPr>
          <w:sz w:val="24"/>
          <w:szCs w:val="24"/>
        </w:rPr>
        <w:t>P</w:t>
      </w:r>
      <w:r w:rsidR="00A74DE5" w:rsidRPr="00C148FA">
        <w:rPr>
          <w:sz w:val="24"/>
          <w:szCs w:val="24"/>
        </w:rPr>
        <w:t>ECO</w:t>
      </w:r>
      <w:r w:rsidR="00A052F0" w:rsidRPr="00C148FA">
        <w:rPr>
          <w:sz w:val="24"/>
          <w:szCs w:val="24"/>
        </w:rPr>
        <w:t xml:space="preserve"> filed </w:t>
      </w:r>
      <w:r w:rsidR="00A74DE5" w:rsidRPr="00C148FA">
        <w:rPr>
          <w:sz w:val="24"/>
          <w:szCs w:val="24"/>
        </w:rPr>
        <w:t xml:space="preserve">an </w:t>
      </w:r>
      <w:r w:rsidR="00A052F0" w:rsidRPr="00C148FA">
        <w:rPr>
          <w:sz w:val="24"/>
          <w:szCs w:val="24"/>
        </w:rPr>
        <w:t xml:space="preserve">Answer </w:t>
      </w:r>
      <w:r w:rsidR="00A74DE5" w:rsidRPr="00C148FA">
        <w:rPr>
          <w:sz w:val="24"/>
          <w:szCs w:val="24"/>
        </w:rPr>
        <w:t>and New Matter</w:t>
      </w:r>
      <w:r w:rsidR="00A052F0" w:rsidRPr="00C148FA">
        <w:rPr>
          <w:sz w:val="24"/>
          <w:szCs w:val="24"/>
        </w:rPr>
        <w:t xml:space="preserve"> </w:t>
      </w:r>
      <w:r w:rsidR="004B3536" w:rsidRPr="00C148FA">
        <w:rPr>
          <w:sz w:val="24"/>
          <w:szCs w:val="24"/>
        </w:rPr>
        <w:t>contending</w:t>
      </w:r>
      <w:r w:rsidR="00A052F0" w:rsidRPr="00C148FA">
        <w:rPr>
          <w:sz w:val="24"/>
          <w:szCs w:val="24"/>
        </w:rPr>
        <w:t xml:space="preserve"> that </w:t>
      </w:r>
      <w:r w:rsidR="00EC695A" w:rsidRPr="00C148FA">
        <w:rPr>
          <w:sz w:val="24"/>
          <w:szCs w:val="24"/>
        </w:rPr>
        <w:lastRenderedPageBreak/>
        <w:t>the charges on the Complainants’ bill are correct</w:t>
      </w:r>
      <w:r w:rsidR="006775E3" w:rsidRPr="00C148FA">
        <w:rPr>
          <w:sz w:val="24"/>
          <w:szCs w:val="24"/>
        </w:rPr>
        <w:t xml:space="preserve"> in that after foreign wiring and foreign piping was discovered at Complainants’ property, the </w:t>
      </w:r>
      <w:r w:rsidR="009C1D62" w:rsidRPr="00C148FA">
        <w:rPr>
          <w:sz w:val="24"/>
          <w:szCs w:val="24"/>
        </w:rPr>
        <w:t xml:space="preserve">affected </w:t>
      </w:r>
      <w:r w:rsidR="006775E3" w:rsidRPr="00C148FA">
        <w:rPr>
          <w:sz w:val="24"/>
          <w:szCs w:val="24"/>
        </w:rPr>
        <w:t xml:space="preserve">tenant’s entire gas service bill and a portion of the electric service bill was transferred to the Complainants’ account in accord with 66 Pa. C.S. § 1529.1.  PECO further stated that responsibility for the transferred amount </w:t>
      </w:r>
      <w:r w:rsidR="00982EC4" w:rsidRPr="00C148FA">
        <w:rPr>
          <w:sz w:val="24"/>
          <w:szCs w:val="24"/>
        </w:rPr>
        <w:t>is a private dispute between the landlord and tenant, is not a legally cognizable claim, and lies outside the Commission’s jurisdiction.</w:t>
      </w:r>
      <w:r w:rsidR="00647443" w:rsidRPr="00C148FA">
        <w:rPr>
          <w:sz w:val="24"/>
          <w:szCs w:val="24"/>
        </w:rPr>
        <w:t xml:space="preserve">  Answer at 2; ¶ 5.</w:t>
      </w:r>
    </w:p>
    <w:p w:rsidR="00982EC4" w:rsidRPr="00C148FA" w:rsidRDefault="00982EC4" w:rsidP="00C148FA">
      <w:pPr>
        <w:spacing w:line="360" w:lineRule="auto"/>
        <w:rPr>
          <w:sz w:val="24"/>
          <w:szCs w:val="24"/>
        </w:rPr>
      </w:pPr>
    </w:p>
    <w:p w:rsidR="00647443" w:rsidRPr="00C148FA" w:rsidRDefault="00982EC4" w:rsidP="00C148FA">
      <w:pPr>
        <w:spacing w:line="360" w:lineRule="auto"/>
        <w:rPr>
          <w:sz w:val="24"/>
          <w:szCs w:val="24"/>
        </w:rPr>
      </w:pPr>
      <w:r w:rsidRPr="00C148FA">
        <w:rPr>
          <w:sz w:val="24"/>
          <w:szCs w:val="24"/>
        </w:rPr>
        <w:tab/>
      </w:r>
      <w:r w:rsidRPr="00C148FA">
        <w:rPr>
          <w:sz w:val="24"/>
          <w:szCs w:val="24"/>
        </w:rPr>
        <w:tab/>
        <w:t>Also on December 22, 2010, PECO filed a Preliminary</w:t>
      </w:r>
      <w:r w:rsidR="009E58EA" w:rsidRPr="00C148FA">
        <w:rPr>
          <w:sz w:val="24"/>
          <w:szCs w:val="24"/>
        </w:rPr>
        <w:t xml:space="preserve"> </w:t>
      </w:r>
      <w:r w:rsidRPr="00C148FA">
        <w:rPr>
          <w:sz w:val="24"/>
          <w:szCs w:val="24"/>
        </w:rPr>
        <w:t>Objection to the Complaint and moved for dismissal of the Complaint on the grounds of lack of Commission jurisdiction to re</w:t>
      </w:r>
      <w:r w:rsidR="009E58EA" w:rsidRPr="00C148FA">
        <w:rPr>
          <w:sz w:val="24"/>
          <w:szCs w:val="24"/>
        </w:rPr>
        <w:t xml:space="preserve">solve the case and for legal insufficiency of the Complaint. </w:t>
      </w:r>
      <w:r w:rsidR="00647443" w:rsidRPr="00C148FA">
        <w:rPr>
          <w:sz w:val="24"/>
          <w:szCs w:val="24"/>
        </w:rPr>
        <w:t>Preliminary Objection at 1; ¶¶ 3-4.</w:t>
      </w:r>
      <w:r w:rsidR="009E58EA" w:rsidRPr="00C148FA">
        <w:rPr>
          <w:sz w:val="24"/>
          <w:szCs w:val="24"/>
        </w:rPr>
        <w:t xml:space="preserve"> </w:t>
      </w:r>
      <w:r w:rsidR="00647443" w:rsidRPr="00C148FA">
        <w:rPr>
          <w:sz w:val="24"/>
          <w:szCs w:val="24"/>
        </w:rPr>
        <w:t xml:space="preserve"> </w:t>
      </w:r>
    </w:p>
    <w:p w:rsidR="00647443" w:rsidRPr="00C148FA" w:rsidRDefault="00647443" w:rsidP="00C148FA">
      <w:pPr>
        <w:spacing w:line="360" w:lineRule="auto"/>
        <w:rPr>
          <w:sz w:val="24"/>
          <w:szCs w:val="24"/>
        </w:rPr>
      </w:pPr>
    </w:p>
    <w:p w:rsidR="009E58EA" w:rsidRPr="00C148FA" w:rsidRDefault="00647443" w:rsidP="00C148FA">
      <w:pPr>
        <w:spacing w:line="360" w:lineRule="auto"/>
        <w:rPr>
          <w:sz w:val="24"/>
          <w:szCs w:val="24"/>
        </w:rPr>
      </w:pPr>
      <w:r w:rsidRPr="00C148FA">
        <w:rPr>
          <w:sz w:val="24"/>
          <w:szCs w:val="24"/>
        </w:rPr>
        <w:tab/>
      </w:r>
      <w:r w:rsidRPr="00C148FA">
        <w:rPr>
          <w:sz w:val="24"/>
          <w:szCs w:val="24"/>
        </w:rPr>
        <w:tab/>
      </w:r>
      <w:r w:rsidR="009E58EA" w:rsidRPr="00C148FA">
        <w:rPr>
          <w:sz w:val="24"/>
          <w:szCs w:val="24"/>
        </w:rPr>
        <w:t>The Complainants filed no Reply to the New Matter alleged by PECO, nor did they file an Answer to the Preliminary Objection.</w:t>
      </w:r>
      <w:r w:rsidR="00F64558" w:rsidRPr="00C148FA">
        <w:rPr>
          <w:rStyle w:val="FootnoteReference"/>
          <w:sz w:val="24"/>
          <w:szCs w:val="24"/>
        </w:rPr>
        <w:footnoteReference w:id="2"/>
      </w:r>
    </w:p>
    <w:p w:rsidR="00A9233C" w:rsidRPr="00C148FA" w:rsidRDefault="00A9233C" w:rsidP="00C148FA">
      <w:pPr>
        <w:pStyle w:val="BodyText"/>
        <w:tabs>
          <w:tab w:val="clear" w:pos="1980"/>
          <w:tab w:val="left" w:pos="0"/>
        </w:tabs>
        <w:spacing w:line="360" w:lineRule="auto"/>
        <w:jc w:val="left"/>
        <w:rPr>
          <w:rFonts w:ascii="Times New Roman" w:hAnsi="Times New Roman"/>
          <w:szCs w:val="24"/>
        </w:rPr>
      </w:pPr>
    </w:p>
    <w:p w:rsidR="00A9233C" w:rsidRPr="00C148FA" w:rsidRDefault="00A9233C" w:rsidP="00C148FA">
      <w:pPr>
        <w:pStyle w:val="BodyText"/>
        <w:tabs>
          <w:tab w:val="clear" w:pos="1980"/>
          <w:tab w:val="left" w:pos="0"/>
        </w:tabs>
        <w:spacing w:line="360" w:lineRule="auto"/>
        <w:jc w:val="left"/>
        <w:rPr>
          <w:rFonts w:ascii="Times New Roman" w:hAnsi="Times New Roman"/>
          <w:szCs w:val="24"/>
        </w:rPr>
      </w:pPr>
      <w:r w:rsidRPr="00C148FA">
        <w:rPr>
          <w:rFonts w:ascii="Times New Roman" w:hAnsi="Times New Roman"/>
          <w:szCs w:val="24"/>
        </w:rPr>
        <w:tab/>
      </w:r>
      <w:r w:rsidRPr="00C148FA">
        <w:rPr>
          <w:rFonts w:ascii="Times New Roman" w:hAnsi="Times New Roman"/>
          <w:szCs w:val="24"/>
        </w:rPr>
        <w:tab/>
        <w:t>On February 18, 2011, Respondent’s Motion was assigned to me as Motion Judge.  Consistent with the Commission’s procedural rule at 52 Pa. Code § 5.101(g), a decision with respect to the Preliminary Objection is due on or before March 21, 2011.</w:t>
      </w:r>
    </w:p>
    <w:p w:rsidR="00A9233C" w:rsidRPr="00C148FA" w:rsidRDefault="00A9233C" w:rsidP="00C148FA">
      <w:pPr>
        <w:pStyle w:val="BodyText"/>
        <w:tabs>
          <w:tab w:val="clear" w:pos="1980"/>
          <w:tab w:val="left" w:pos="0"/>
        </w:tabs>
        <w:spacing w:line="360" w:lineRule="auto"/>
        <w:jc w:val="left"/>
        <w:rPr>
          <w:rFonts w:ascii="Times New Roman" w:hAnsi="Times New Roman"/>
          <w:szCs w:val="24"/>
        </w:rPr>
      </w:pPr>
    </w:p>
    <w:p w:rsidR="00A9233C" w:rsidRPr="00C148FA" w:rsidRDefault="00A9233C" w:rsidP="00C148FA">
      <w:pPr>
        <w:pStyle w:val="BodyText"/>
        <w:tabs>
          <w:tab w:val="clear" w:pos="1980"/>
          <w:tab w:val="left" w:pos="0"/>
        </w:tabs>
        <w:spacing w:line="360" w:lineRule="auto"/>
        <w:jc w:val="center"/>
        <w:rPr>
          <w:rFonts w:ascii="Times New Roman" w:hAnsi="Times New Roman"/>
          <w:szCs w:val="24"/>
          <w:u w:val="single"/>
        </w:rPr>
      </w:pPr>
      <w:r w:rsidRPr="00C148FA">
        <w:rPr>
          <w:rFonts w:ascii="Times New Roman" w:hAnsi="Times New Roman"/>
          <w:szCs w:val="24"/>
          <w:u w:val="single"/>
        </w:rPr>
        <w:t>FINDINGS OF FACT</w:t>
      </w:r>
    </w:p>
    <w:p w:rsidR="00EC695A" w:rsidRPr="00C148FA" w:rsidRDefault="00EC695A" w:rsidP="00C148FA">
      <w:pPr>
        <w:spacing w:line="360" w:lineRule="auto"/>
        <w:rPr>
          <w:sz w:val="24"/>
          <w:szCs w:val="24"/>
        </w:rPr>
      </w:pPr>
    </w:p>
    <w:p w:rsidR="00844511" w:rsidRPr="00C148FA" w:rsidRDefault="00DA4B0A" w:rsidP="00C148FA">
      <w:pPr>
        <w:spacing w:line="360" w:lineRule="auto"/>
        <w:rPr>
          <w:sz w:val="24"/>
          <w:szCs w:val="24"/>
        </w:rPr>
      </w:pPr>
      <w:r w:rsidRPr="00C148FA">
        <w:rPr>
          <w:sz w:val="24"/>
          <w:szCs w:val="24"/>
        </w:rPr>
        <w:tab/>
      </w:r>
      <w:r w:rsidRPr="00C148FA">
        <w:rPr>
          <w:sz w:val="24"/>
          <w:szCs w:val="24"/>
        </w:rPr>
        <w:tab/>
      </w:r>
      <w:r w:rsidR="006775E3" w:rsidRPr="00C148FA">
        <w:rPr>
          <w:sz w:val="24"/>
          <w:szCs w:val="24"/>
        </w:rPr>
        <w:t xml:space="preserve">1. </w:t>
      </w:r>
      <w:r w:rsidRPr="00C148FA">
        <w:rPr>
          <w:sz w:val="24"/>
          <w:szCs w:val="24"/>
        </w:rPr>
        <w:tab/>
      </w:r>
      <w:r w:rsidR="006775E3" w:rsidRPr="00C148FA">
        <w:rPr>
          <w:sz w:val="24"/>
          <w:szCs w:val="24"/>
        </w:rPr>
        <w:t xml:space="preserve">Complainants are </w:t>
      </w:r>
      <w:r w:rsidRPr="00C148FA">
        <w:rPr>
          <w:sz w:val="24"/>
          <w:szCs w:val="24"/>
        </w:rPr>
        <w:t>Diana and Phillip McKee</w:t>
      </w:r>
      <w:r w:rsidR="006775E3" w:rsidRPr="00C148FA">
        <w:rPr>
          <w:sz w:val="24"/>
          <w:szCs w:val="24"/>
        </w:rPr>
        <w:t xml:space="preserve">, </w:t>
      </w:r>
      <w:r w:rsidRPr="00C148FA">
        <w:rPr>
          <w:sz w:val="24"/>
          <w:szCs w:val="24"/>
        </w:rPr>
        <w:t>1821 Perkiomenville Road</w:t>
      </w:r>
      <w:r w:rsidR="006775E3" w:rsidRPr="00C148FA">
        <w:rPr>
          <w:sz w:val="24"/>
          <w:szCs w:val="24"/>
        </w:rPr>
        <w:t>, P</w:t>
      </w:r>
      <w:r w:rsidRPr="00C148FA">
        <w:rPr>
          <w:sz w:val="24"/>
          <w:szCs w:val="24"/>
        </w:rPr>
        <w:t>erkiomenville</w:t>
      </w:r>
      <w:r w:rsidR="006775E3" w:rsidRPr="00C148FA">
        <w:rPr>
          <w:sz w:val="24"/>
          <w:szCs w:val="24"/>
        </w:rPr>
        <w:t xml:space="preserve"> PA 1</w:t>
      </w:r>
      <w:r w:rsidRPr="00C148FA">
        <w:rPr>
          <w:sz w:val="24"/>
          <w:szCs w:val="24"/>
        </w:rPr>
        <w:t>8074</w:t>
      </w:r>
      <w:r w:rsidR="006775E3" w:rsidRPr="00C148FA">
        <w:rPr>
          <w:sz w:val="24"/>
          <w:szCs w:val="24"/>
        </w:rPr>
        <w:t>.</w:t>
      </w:r>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 xml:space="preserve">2. </w:t>
      </w:r>
      <w:r w:rsidRPr="00C148FA">
        <w:rPr>
          <w:sz w:val="24"/>
          <w:szCs w:val="24"/>
        </w:rPr>
        <w:tab/>
      </w:r>
      <w:r w:rsidR="006775E3" w:rsidRPr="00C148FA">
        <w:rPr>
          <w:sz w:val="24"/>
          <w:szCs w:val="24"/>
        </w:rPr>
        <w:t xml:space="preserve">Complainants are landlords for tenants at a property located at </w:t>
      </w:r>
      <w:r w:rsidRPr="00C148FA">
        <w:rPr>
          <w:sz w:val="24"/>
          <w:szCs w:val="24"/>
        </w:rPr>
        <w:t>1845 Perkiomenville Road, Perkiomenville, Pennsylvania</w:t>
      </w:r>
      <w:r w:rsidR="006775E3" w:rsidRPr="00C148FA">
        <w:rPr>
          <w:sz w:val="24"/>
          <w:szCs w:val="24"/>
        </w:rPr>
        <w:t>.</w:t>
      </w:r>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3.</w:t>
      </w:r>
      <w:r w:rsidRPr="00C148FA">
        <w:rPr>
          <w:sz w:val="24"/>
          <w:szCs w:val="24"/>
        </w:rPr>
        <w:tab/>
      </w:r>
      <w:r w:rsidR="006775E3" w:rsidRPr="00C148FA">
        <w:rPr>
          <w:sz w:val="24"/>
          <w:szCs w:val="24"/>
        </w:rPr>
        <w:t xml:space="preserve"> Respondent is PECO Energy Company, a jurisdictional public utility providing residential electric service in the Commonwealth of Pennsylvania</w:t>
      </w:r>
      <w:r w:rsidR="00647443" w:rsidRPr="00C148FA">
        <w:rPr>
          <w:sz w:val="24"/>
          <w:szCs w:val="24"/>
        </w:rPr>
        <w:t xml:space="preserve">, which provides </w:t>
      </w:r>
      <w:r w:rsidR="00647443" w:rsidRPr="00C148FA">
        <w:rPr>
          <w:sz w:val="24"/>
          <w:szCs w:val="24"/>
        </w:rPr>
        <w:lastRenderedPageBreak/>
        <w:t>natural gas and electric service to 1845 Perkiomenville Road, Perkiomenville, Pennsylvania</w:t>
      </w:r>
      <w:r w:rsidR="006775E3" w:rsidRPr="00C148FA">
        <w:rPr>
          <w:sz w:val="24"/>
          <w:szCs w:val="24"/>
        </w:rPr>
        <w:t>.</w:t>
      </w:r>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4.</w:t>
      </w:r>
      <w:r w:rsidRPr="00C148FA">
        <w:rPr>
          <w:sz w:val="24"/>
          <w:szCs w:val="24"/>
        </w:rPr>
        <w:tab/>
        <w:t xml:space="preserve">On </w:t>
      </w:r>
      <w:r w:rsidR="00844511" w:rsidRPr="00C148FA">
        <w:rPr>
          <w:sz w:val="24"/>
          <w:szCs w:val="24"/>
        </w:rPr>
        <w:t>M</w:t>
      </w:r>
      <w:r w:rsidRPr="00C148FA">
        <w:rPr>
          <w:sz w:val="24"/>
          <w:szCs w:val="24"/>
        </w:rPr>
        <w:t xml:space="preserve">ay 13, 2010, PECO terminated </w:t>
      </w:r>
      <w:r w:rsidR="00844511" w:rsidRPr="00C148FA">
        <w:rPr>
          <w:sz w:val="24"/>
          <w:szCs w:val="24"/>
        </w:rPr>
        <w:t>service to a first floor unit at 1845 Perkiomenville Road, Perkiomenville, Pennsylvania, for non-payment.  New Matter at 3; ¶ 2.</w:t>
      </w:r>
    </w:p>
    <w:p w:rsidR="00844511" w:rsidRPr="00C148FA" w:rsidRDefault="00844511" w:rsidP="00C148FA">
      <w:pPr>
        <w:spacing w:line="360" w:lineRule="auto"/>
        <w:rPr>
          <w:sz w:val="24"/>
          <w:szCs w:val="24"/>
        </w:rPr>
      </w:pPr>
    </w:p>
    <w:p w:rsidR="00844511" w:rsidRPr="00C148FA" w:rsidRDefault="00844511" w:rsidP="00C148FA">
      <w:pPr>
        <w:spacing w:line="360" w:lineRule="auto"/>
        <w:rPr>
          <w:sz w:val="24"/>
          <w:szCs w:val="24"/>
        </w:rPr>
      </w:pPr>
      <w:r w:rsidRPr="00C148FA">
        <w:rPr>
          <w:sz w:val="24"/>
          <w:szCs w:val="24"/>
        </w:rPr>
        <w:tab/>
      </w:r>
      <w:r w:rsidRPr="00C148FA">
        <w:rPr>
          <w:sz w:val="24"/>
          <w:szCs w:val="24"/>
        </w:rPr>
        <w:tab/>
        <w:t>5.</w:t>
      </w:r>
      <w:r w:rsidRPr="00C148FA">
        <w:rPr>
          <w:sz w:val="24"/>
          <w:szCs w:val="24"/>
        </w:rPr>
        <w:tab/>
        <w:t xml:space="preserve">PECO initiated a foreign load investigation after the water supply to the entire building was affected by the service termination.   </w:t>
      </w:r>
      <w:r w:rsidR="000F78B9" w:rsidRPr="00C148FA">
        <w:rPr>
          <w:sz w:val="24"/>
          <w:szCs w:val="24"/>
        </w:rPr>
        <w:t>New Matter at 3; ¶ 3.</w:t>
      </w:r>
    </w:p>
    <w:p w:rsidR="000F78B9" w:rsidRPr="00C148FA" w:rsidRDefault="000F78B9" w:rsidP="00C148FA">
      <w:pPr>
        <w:spacing w:line="360" w:lineRule="auto"/>
        <w:rPr>
          <w:sz w:val="24"/>
          <w:szCs w:val="24"/>
        </w:rPr>
      </w:pPr>
    </w:p>
    <w:p w:rsidR="000F78B9" w:rsidRPr="00C148FA" w:rsidRDefault="000F78B9" w:rsidP="00C148FA">
      <w:pPr>
        <w:spacing w:line="360" w:lineRule="auto"/>
        <w:rPr>
          <w:sz w:val="24"/>
          <w:szCs w:val="24"/>
        </w:rPr>
      </w:pPr>
      <w:r w:rsidRPr="00C148FA">
        <w:rPr>
          <w:sz w:val="24"/>
          <w:szCs w:val="24"/>
        </w:rPr>
        <w:tab/>
      </w:r>
      <w:r w:rsidRPr="00C148FA">
        <w:rPr>
          <w:sz w:val="24"/>
          <w:szCs w:val="24"/>
        </w:rPr>
        <w:tab/>
        <w:t>6.</w:t>
      </w:r>
      <w:r w:rsidRPr="00C148FA">
        <w:rPr>
          <w:sz w:val="24"/>
          <w:szCs w:val="24"/>
        </w:rPr>
        <w:tab/>
        <w:t xml:space="preserve">On May 20, 2010, a PECO field technician found both foreign wiring and foreign piping at 1845 Perkiomenville Road, Perkiomenville, Pennsylvania.  New Matter at 3; </w:t>
      </w:r>
    </w:p>
    <w:p w:rsidR="000F78B9" w:rsidRPr="00C148FA" w:rsidRDefault="000F78B9" w:rsidP="00C148FA">
      <w:pPr>
        <w:spacing w:line="360" w:lineRule="auto"/>
        <w:rPr>
          <w:sz w:val="24"/>
          <w:szCs w:val="24"/>
        </w:rPr>
      </w:pPr>
      <w:proofErr w:type="gramStart"/>
      <w:r w:rsidRPr="00C148FA">
        <w:rPr>
          <w:sz w:val="24"/>
          <w:szCs w:val="24"/>
        </w:rPr>
        <w:t>¶ 6.</w:t>
      </w:r>
      <w:proofErr w:type="gramEnd"/>
    </w:p>
    <w:p w:rsidR="000F78B9" w:rsidRPr="00C148FA" w:rsidRDefault="000F78B9" w:rsidP="00C148FA">
      <w:pPr>
        <w:spacing w:line="360" w:lineRule="auto"/>
        <w:rPr>
          <w:sz w:val="24"/>
          <w:szCs w:val="24"/>
        </w:rPr>
      </w:pPr>
    </w:p>
    <w:p w:rsidR="00772706" w:rsidRPr="00C148FA" w:rsidRDefault="000F78B9" w:rsidP="00C148FA">
      <w:pPr>
        <w:spacing w:line="360" w:lineRule="auto"/>
        <w:rPr>
          <w:sz w:val="24"/>
          <w:szCs w:val="24"/>
        </w:rPr>
      </w:pPr>
      <w:r w:rsidRPr="00C148FA">
        <w:rPr>
          <w:sz w:val="24"/>
          <w:szCs w:val="24"/>
        </w:rPr>
        <w:tab/>
      </w:r>
      <w:r w:rsidRPr="00C148FA">
        <w:rPr>
          <w:sz w:val="24"/>
          <w:szCs w:val="24"/>
        </w:rPr>
        <w:tab/>
        <w:t>7.</w:t>
      </w:r>
      <w:r w:rsidRPr="00C148FA">
        <w:rPr>
          <w:sz w:val="24"/>
          <w:szCs w:val="24"/>
        </w:rPr>
        <w:tab/>
        <w:t xml:space="preserve">On May 26, 2010, PECO mailed a letter to the Complainants advising them of the discovery of foreign wiring and piping and advising them that </w:t>
      </w:r>
      <w:r w:rsidR="00772706" w:rsidRPr="00C148FA">
        <w:rPr>
          <w:sz w:val="24"/>
          <w:szCs w:val="24"/>
        </w:rPr>
        <w:t xml:space="preserve">service would be initiated in the name of Diana McKee and that the balance of the first floor unit tenant’s account would be transferred. </w:t>
      </w:r>
      <w:r w:rsidR="001A731D" w:rsidRPr="00C148FA">
        <w:rPr>
          <w:sz w:val="24"/>
          <w:szCs w:val="24"/>
        </w:rPr>
        <w:t xml:space="preserve"> As a result, the entire gas balance of $2,736.56, and that portion of the electric service for basement lights and common well usage totaling $2,961.40 were transferred into a new account in the name of Diana McKee. </w:t>
      </w:r>
      <w:r w:rsidR="00772706" w:rsidRPr="00C148FA">
        <w:rPr>
          <w:sz w:val="24"/>
          <w:szCs w:val="24"/>
        </w:rPr>
        <w:t xml:space="preserve"> New Matter at</w:t>
      </w:r>
      <w:r w:rsidR="001A731D" w:rsidRPr="00C148FA">
        <w:rPr>
          <w:sz w:val="24"/>
          <w:szCs w:val="24"/>
        </w:rPr>
        <w:t xml:space="preserve"> 4</w:t>
      </w:r>
      <w:r w:rsidR="00772706" w:rsidRPr="00C148FA">
        <w:rPr>
          <w:sz w:val="24"/>
          <w:szCs w:val="24"/>
        </w:rPr>
        <w:t>; ¶</w:t>
      </w:r>
      <w:r w:rsidR="00667FCA" w:rsidRPr="00C148FA">
        <w:rPr>
          <w:sz w:val="24"/>
          <w:szCs w:val="24"/>
        </w:rPr>
        <w:t>¶</w:t>
      </w:r>
      <w:r w:rsidR="00772706" w:rsidRPr="00C148FA">
        <w:rPr>
          <w:sz w:val="24"/>
          <w:szCs w:val="24"/>
        </w:rPr>
        <w:t xml:space="preserve"> </w:t>
      </w:r>
      <w:r w:rsidR="001A731D" w:rsidRPr="00C148FA">
        <w:rPr>
          <w:sz w:val="24"/>
          <w:szCs w:val="24"/>
        </w:rPr>
        <w:t>14</w:t>
      </w:r>
      <w:r w:rsidR="0055134B" w:rsidRPr="00C148FA">
        <w:rPr>
          <w:sz w:val="24"/>
          <w:szCs w:val="24"/>
        </w:rPr>
        <w:t>-15</w:t>
      </w:r>
      <w:r w:rsidR="00772706" w:rsidRPr="00C148FA">
        <w:rPr>
          <w:sz w:val="24"/>
          <w:szCs w:val="24"/>
        </w:rPr>
        <w:t>.</w:t>
      </w:r>
      <w:r w:rsidR="00772706" w:rsidRPr="00C148FA">
        <w:rPr>
          <w:rStyle w:val="FootnoteReference"/>
          <w:sz w:val="24"/>
          <w:szCs w:val="24"/>
        </w:rPr>
        <w:footnoteReference w:id="3"/>
      </w:r>
    </w:p>
    <w:p w:rsidR="0055134B" w:rsidRPr="00C148FA" w:rsidRDefault="0055134B" w:rsidP="00C148FA">
      <w:pPr>
        <w:spacing w:line="360" w:lineRule="auto"/>
        <w:rPr>
          <w:sz w:val="24"/>
          <w:szCs w:val="24"/>
        </w:rPr>
      </w:pPr>
    </w:p>
    <w:p w:rsidR="0055134B" w:rsidRPr="00C148FA" w:rsidRDefault="0055134B" w:rsidP="00C148FA">
      <w:pPr>
        <w:spacing w:line="360" w:lineRule="auto"/>
        <w:rPr>
          <w:sz w:val="24"/>
          <w:szCs w:val="24"/>
        </w:rPr>
      </w:pPr>
      <w:r w:rsidRPr="00C148FA">
        <w:rPr>
          <w:sz w:val="24"/>
          <w:szCs w:val="24"/>
        </w:rPr>
        <w:tab/>
      </w:r>
      <w:r w:rsidRPr="00C148FA">
        <w:rPr>
          <w:sz w:val="24"/>
          <w:szCs w:val="24"/>
        </w:rPr>
        <w:tab/>
        <w:t>8.</w:t>
      </w:r>
      <w:r w:rsidRPr="00C148FA">
        <w:rPr>
          <w:sz w:val="24"/>
          <w:szCs w:val="24"/>
        </w:rPr>
        <w:tab/>
        <w:t>On June 18, 2010, a PECO field technician visited the property and verified that the foreign load problem had been corrected.  New Matter at 4-5; ¶ 17.</w:t>
      </w:r>
    </w:p>
    <w:p w:rsidR="001A731D" w:rsidRPr="00C148FA" w:rsidRDefault="001A731D" w:rsidP="00C148FA">
      <w:pPr>
        <w:spacing w:line="360" w:lineRule="auto"/>
        <w:rPr>
          <w:sz w:val="24"/>
          <w:szCs w:val="24"/>
        </w:rPr>
      </w:pPr>
    </w:p>
    <w:p w:rsidR="00BE218D" w:rsidRPr="00C148FA" w:rsidRDefault="00BE218D" w:rsidP="00C148FA">
      <w:pPr>
        <w:spacing w:line="360" w:lineRule="auto"/>
        <w:jc w:val="center"/>
        <w:rPr>
          <w:sz w:val="24"/>
          <w:szCs w:val="24"/>
          <w:u w:val="single"/>
        </w:rPr>
      </w:pPr>
      <w:r w:rsidRPr="00C148FA">
        <w:rPr>
          <w:sz w:val="24"/>
          <w:szCs w:val="24"/>
          <w:u w:val="single"/>
        </w:rPr>
        <w:t>DISCUSSION</w:t>
      </w:r>
    </w:p>
    <w:p w:rsidR="005230F1" w:rsidRPr="00C148FA" w:rsidRDefault="006775E3" w:rsidP="00C148FA">
      <w:pPr>
        <w:spacing w:line="360" w:lineRule="auto"/>
        <w:rPr>
          <w:sz w:val="24"/>
          <w:szCs w:val="24"/>
        </w:rPr>
      </w:pPr>
      <w:r w:rsidRPr="00C148FA">
        <w:rPr>
          <w:sz w:val="24"/>
          <w:szCs w:val="24"/>
        </w:rPr>
        <w:br/>
      </w:r>
      <w:r w:rsidR="00BE218D" w:rsidRPr="00C148FA">
        <w:rPr>
          <w:sz w:val="24"/>
          <w:szCs w:val="24"/>
        </w:rPr>
        <w:tab/>
      </w:r>
      <w:r w:rsidR="00BE218D" w:rsidRPr="00C148FA">
        <w:rPr>
          <w:sz w:val="24"/>
          <w:szCs w:val="24"/>
        </w:rPr>
        <w:tab/>
      </w:r>
      <w:r w:rsidRPr="00C148FA">
        <w:rPr>
          <w:sz w:val="24"/>
          <w:szCs w:val="24"/>
        </w:rPr>
        <w:t>Commission regulations permit the filing of preliminary objections. 52 Pa. Code §§ 5.101(a</w:t>
      </w:r>
      <w:proofErr w:type="gramStart"/>
      <w:r w:rsidRPr="00C148FA">
        <w:rPr>
          <w:sz w:val="24"/>
          <w:szCs w:val="24"/>
        </w:rPr>
        <w:t>)(</w:t>
      </w:r>
      <w:proofErr w:type="gramEnd"/>
      <w:r w:rsidRPr="00C148FA">
        <w:rPr>
          <w:sz w:val="24"/>
          <w:szCs w:val="24"/>
        </w:rPr>
        <w:t xml:space="preserve">1)-(6). </w:t>
      </w:r>
      <w:r w:rsidR="00BE218D" w:rsidRPr="00C148FA">
        <w:rPr>
          <w:sz w:val="24"/>
          <w:szCs w:val="24"/>
        </w:rPr>
        <w:t xml:space="preserve"> </w:t>
      </w:r>
      <w:r w:rsidRPr="00C148FA">
        <w:rPr>
          <w:sz w:val="24"/>
          <w:szCs w:val="24"/>
        </w:rPr>
        <w:t>Preliminary objection practice before the Commission is similar to Pennsylvania civil practice respecting preliminary objections.</w:t>
      </w:r>
      <w:r w:rsidR="00BE218D" w:rsidRPr="00C148FA">
        <w:rPr>
          <w:sz w:val="24"/>
          <w:szCs w:val="24"/>
        </w:rPr>
        <w:t xml:space="preserve"> </w:t>
      </w:r>
      <w:r w:rsidRPr="00C148FA">
        <w:rPr>
          <w:sz w:val="24"/>
          <w:szCs w:val="24"/>
        </w:rPr>
        <w:t xml:space="preserve"> </w:t>
      </w:r>
      <w:r w:rsidRPr="00C148FA">
        <w:rPr>
          <w:i/>
          <w:iCs/>
          <w:sz w:val="24"/>
          <w:szCs w:val="24"/>
        </w:rPr>
        <w:t>Equitable Small Transportation Intervenors v. Equitable Gas Company</w:t>
      </w:r>
      <w:r w:rsidRPr="00C148FA">
        <w:rPr>
          <w:sz w:val="24"/>
          <w:szCs w:val="24"/>
        </w:rPr>
        <w:t>, 1994 Pa. PUC LEXIS 69,</w:t>
      </w:r>
      <w:r w:rsidR="003A3D12">
        <w:rPr>
          <w:sz w:val="24"/>
          <w:szCs w:val="24"/>
        </w:rPr>
        <w:t xml:space="preserve"> Docket No. C-00935435 (July </w:t>
      </w:r>
      <w:r w:rsidRPr="00C148FA">
        <w:rPr>
          <w:sz w:val="24"/>
          <w:szCs w:val="24"/>
        </w:rPr>
        <w:t>18, 1994).</w:t>
      </w:r>
    </w:p>
    <w:p w:rsidR="005230F1" w:rsidRPr="00C148FA" w:rsidRDefault="005230F1" w:rsidP="00C148FA">
      <w:pPr>
        <w:spacing w:line="360" w:lineRule="auto"/>
        <w:rPr>
          <w:sz w:val="24"/>
          <w:szCs w:val="24"/>
        </w:rPr>
      </w:pPr>
    </w:p>
    <w:p w:rsidR="005230F1" w:rsidRPr="00C148FA" w:rsidRDefault="005230F1" w:rsidP="00C148FA">
      <w:pPr>
        <w:spacing w:line="360" w:lineRule="auto"/>
        <w:rPr>
          <w:sz w:val="24"/>
          <w:szCs w:val="24"/>
        </w:rPr>
      </w:pPr>
      <w:r w:rsidRPr="00C148FA">
        <w:rPr>
          <w:sz w:val="24"/>
          <w:szCs w:val="24"/>
        </w:rPr>
        <w:tab/>
      </w:r>
      <w:r w:rsidRPr="00C148FA">
        <w:rPr>
          <w:sz w:val="24"/>
          <w:szCs w:val="24"/>
        </w:rPr>
        <w:tab/>
        <w:t>Commission regulations provide:</w:t>
      </w:r>
    </w:p>
    <w:p w:rsidR="005230F1" w:rsidRPr="00C148FA" w:rsidRDefault="005230F1" w:rsidP="00C148FA">
      <w:pPr>
        <w:spacing w:line="360" w:lineRule="auto"/>
        <w:rPr>
          <w:sz w:val="24"/>
          <w:szCs w:val="24"/>
        </w:rPr>
      </w:pPr>
    </w:p>
    <w:p w:rsidR="00B50633" w:rsidRDefault="005230F1" w:rsidP="00B50633">
      <w:pPr>
        <w:suppressAutoHyphens/>
        <w:rPr>
          <w:b/>
          <w:bCs/>
          <w:sz w:val="24"/>
          <w:szCs w:val="24"/>
        </w:rPr>
      </w:pPr>
      <w:r w:rsidRPr="00C148FA">
        <w:rPr>
          <w:b/>
          <w:bCs/>
          <w:sz w:val="24"/>
          <w:szCs w:val="24"/>
        </w:rPr>
        <w:t xml:space="preserve">§ 5.101. </w:t>
      </w:r>
      <w:proofErr w:type="gramStart"/>
      <w:r w:rsidRPr="00C148FA">
        <w:rPr>
          <w:b/>
          <w:bCs/>
          <w:sz w:val="24"/>
          <w:szCs w:val="24"/>
        </w:rPr>
        <w:t>Preliminary objections.</w:t>
      </w:r>
      <w:proofErr w:type="gramEnd"/>
    </w:p>
    <w:p w:rsidR="00B50633" w:rsidRDefault="00B50633" w:rsidP="00B50633">
      <w:pPr>
        <w:suppressAutoHyphens/>
        <w:rPr>
          <w:sz w:val="24"/>
          <w:szCs w:val="24"/>
        </w:rPr>
      </w:pPr>
    </w:p>
    <w:p w:rsidR="005230F1" w:rsidRPr="00C148FA" w:rsidRDefault="005230F1" w:rsidP="00E17435">
      <w:pPr>
        <w:suppressAutoHyphens/>
        <w:ind w:left="1440"/>
        <w:rPr>
          <w:sz w:val="24"/>
          <w:szCs w:val="24"/>
        </w:rPr>
      </w:pPr>
      <w:r w:rsidRPr="00C148FA">
        <w:rPr>
          <w:sz w:val="24"/>
          <w:szCs w:val="24"/>
        </w:rPr>
        <w:t>(a)</w:t>
      </w:r>
      <w:r w:rsidR="00E17435">
        <w:rPr>
          <w:sz w:val="24"/>
          <w:szCs w:val="24"/>
        </w:rPr>
        <w:tab/>
      </w:r>
      <w:r w:rsidRPr="00C148FA">
        <w:rPr>
          <w:i/>
          <w:iCs/>
          <w:sz w:val="24"/>
          <w:szCs w:val="24"/>
        </w:rPr>
        <w:t>Grounds.</w:t>
      </w:r>
      <w:r w:rsidRPr="00C148FA">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rsidR="005230F1" w:rsidRPr="00C148FA" w:rsidRDefault="005230F1" w:rsidP="00C148FA">
      <w:pPr>
        <w:suppressAutoHyphens/>
        <w:rPr>
          <w:sz w:val="24"/>
          <w:szCs w:val="24"/>
        </w:rPr>
      </w:pPr>
    </w:p>
    <w:p w:rsidR="005230F1" w:rsidRPr="00C148FA" w:rsidRDefault="00E17435" w:rsidP="00E17435">
      <w:pPr>
        <w:suppressAutoHyphens/>
        <w:ind w:left="2160"/>
        <w:rPr>
          <w:sz w:val="24"/>
          <w:szCs w:val="24"/>
        </w:rPr>
      </w:pPr>
      <w:r>
        <w:rPr>
          <w:sz w:val="24"/>
          <w:szCs w:val="24"/>
        </w:rPr>
        <w:t>(1)</w:t>
      </w:r>
      <w:r>
        <w:rPr>
          <w:sz w:val="24"/>
          <w:szCs w:val="24"/>
        </w:rPr>
        <w:tab/>
      </w:r>
      <w:r w:rsidR="005230F1" w:rsidRPr="00C148FA">
        <w:rPr>
          <w:sz w:val="24"/>
          <w:szCs w:val="24"/>
        </w:rPr>
        <w:t xml:space="preserve">Lack of Commission </w:t>
      </w:r>
      <w:r w:rsidR="005230F1" w:rsidRPr="00C148FA">
        <w:rPr>
          <w:bCs/>
          <w:sz w:val="24"/>
          <w:szCs w:val="24"/>
        </w:rPr>
        <w:t>jurisdiction</w:t>
      </w:r>
      <w:r w:rsidR="005230F1" w:rsidRPr="00C148FA">
        <w:rPr>
          <w:sz w:val="24"/>
          <w:szCs w:val="24"/>
        </w:rPr>
        <w:t xml:space="preserve"> or improper service of the pleading </w:t>
      </w:r>
      <w:r>
        <w:rPr>
          <w:sz w:val="24"/>
          <w:szCs w:val="24"/>
        </w:rPr>
        <w:t>initiating the proceeding.</w:t>
      </w:r>
      <w:r>
        <w:rPr>
          <w:sz w:val="24"/>
          <w:szCs w:val="24"/>
        </w:rPr>
        <w:br/>
      </w:r>
      <w:r>
        <w:rPr>
          <w:sz w:val="24"/>
          <w:szCs w:val="24"/>
        </w:rPr>
        <w:br/>
        <w:t>(2)</w:t>
      </w:r>
      <w:r>
        <w:rPr>
          <w:sz w:val="24"/>
          <w:szCs w:val="24"/>
        </w:rPr>
        <w:tab/>
      </w:r>
      <w:r w:rsidR="005230F1" w:rsidRPr="00C148FA">
        <w:rPr>
          <w:sz w:val="24"/>
          <w:szCs w:val="24"/>
        </w:rPr>
        <w:t>Failure of a pleading to conform to this chapter or the inclusion of scandal</w:t>
      </w:r>
      <w:r>
        <w:rPr>
          <w:sz w:val="24"/>
          <w:szCs w:val="24"/>
        </w:rPr>
        <w:t>ous or impertinent matter.</w:t>
      </w:r>
      <w:r>
        <w:rPr>
          <w:sz w:val="24"/>
          <w:szCs w:val="24"/>
        </w:rPr>
        <w:br/>
      </w:r>
      <w:r>
        <w:rPr>
          <w:sz w:val="24"/>
          <w:szCs w:val="24"/>
        </w:rPr>
        <w:br/>
        <w:t>(3)</w:t>
      </w:r>
      <w:r>
        <w:rPr>
          <w:sz w:val="24"/>
          <w:szCs w:val="24"/>
        </w:rPr>
        <w:tab/>
      </w:r>
      <w:r w:rsidR="005230F1" w:rsidRPr="00C148FA">
        <w:rPr>
          <w:sz w:val="24"/>
          <w:szCs w:val="24"/>
        </w:rPr>
        <w:t xml:space="preserve">Insufficient </w:t>
      </w:r>
      <w:r>
        <w:rPr>
          <w:sz w:val="24"/>
          <w:szCs w:val="24"/>
        </w:rPr>
        <w:t>specificity of a pleading.</w:t>
      </w:r>
      <w:r>
        <w:rPr>
          <w:sz w:val="24"/>
          <w:szCs w:val="24"/>
        </w:rPr>
        <w:br/>
      </w:r>
      <w:r>
        <w:rPr>
          <w:sz w:val="24"/>
          <w:szCs w:val="24"/>
        </w:rPr>
        <w:br/>
        <w:t>(4)</w:t>
      </w:r>
      <w:r>
        <w:rPr>
          <w:sz w:val="24"/>
          <w:szCs w:val="24"/>
        </w:rPr>
        <w:tab/>
      </w:r>
      <w:r w:rsidR="005230F1" w:rsidRPr="00C148FA">
        <w:rPr>
          <w:sz w:val="24"/>
          <w:szCs w:val="24"/>
        </w:rPr>
        <w:t>Legal ins</w:t>
      </w:r>
      <w:r>
        <w:rPr>
          <w:sz w:val="24"/>
          <w:szCs w:val="24"/>
        </w:rPr>
        <w:t>ufficiency of a pleading.</w:t>
      </w:r>
      <w:r>
        <w:rPr>
          <w:sz w:val="24"/>
          <w:szCs w:val="24"/>
        </w:rPr>
        <w:br/>
      </w:r>
      <w:r>
        <w:rPr>
          <w:sz w:val="24"/>
          <w:szCs w:val="24"/>
        </w:rPr>
        <w:br/>
        <w:t>(5)</w:t>
      </w:r>
      <w:r>
        <w:rPr>
          <w:sz w:val="24"/>
          <w:szCs w:val="24"/>
        </w:rPr>
        <w:tab/>
      </w:r>
      <w:r w:rsidR="005230F1" w:rsidRPr="00C148FA">
        <w:rPr>
          <w:sz w:val="24"/>
          <w:szCs w:val="24"/>
        </w:rPr>
        <w:t>Lack of capacity to sue, nonjoinder of a necessary party or misjoi</w:t>
      </w:r>
      <w:r>
        <w:rPr>
          <w:sz w:val="24"/>
          <w:szCs w:val="24"/>
        </w:rPr>
        <w:t>nder of a cause of action.</w:t>
      </w:r>
      <w:r>
        <w:rPr>
          <w:sz w:val="24"/>
          <w:szCs w:val="24"/>
        </w:rPr>
        <w:br/>
      </w:r>
      <w:r>
        <w:rPr>
          <w:sz w:val="24"/>
          <w:szCs w:val="24"/>
        </w:rPr>
        <w:br/>
        <w:t>(6)</w:t>
      </w:r>
      <w:r>
        <w:rPr>
          <w:sz w:val="24"/>
          <w:szCs w:val="24"/>
        </w:rPr>
        <w:tab/>
      </w:r>
      <w:r w:rsidR="005230F1" w:rsidRPr="00C148FA">
        <w:rPr>
          <w:sz w:val="24"/>
          <w:szCs w:val="24"/>
        </w:rPr>
        <w:t>Pendency of a prior proceeding or agreement for alternative dispute resolution.</w:t>
      </w:r>
    </w:p>
    <w:p w:rsidR="005230F1" w:rsidRPr="00C148FA" w:rsidRDefault="005230F1" w:rsidP="00C148FA">
      <w:pPr>
        <w:spacing w:line="360" w:lineRule="auto"/>
        <w:rPr>
          <w:sz w:val="24"/>
          <w:szCs w:val="24"/>
        </w:rPr>
      </w:pPr>
    </w:p>
    <w:p w:rsidR="006671EF" w:rsidRDefault="005230F1" w:rsidP="00C148FA">
      <w:pPr>
        <w:spacing w:line="360" w:lineRule="auto"/>
        <w:rPr>
          <w:sz w:val="24"/>
          <w:szCs w:val="24"/>
        </w:rPr>
      </w:pPr>
      <w:r w:rsidRPr="00C148FA">
        <w:rPr>
          <w:sz w:val="24"/>
          <w:szCs w:val="24"/>
        </w:rPr>
        <w:tab/>
      </w:r>
      <w:r w:rsidRPr="00C148FA">
        <w:rPr>
          <w:sz w:val="24"/>
          <w:szCs w:val="24"/>
        </w:rPr>
        <w:tab/>
        <w:t xml:space="preserve">In deciding preliminary objections, the Commission must determine whether, based on well-pleaded factual averments of the complainant, recovery or relief is possible. </w:t>
      </w:r>
      <w:proofErr w:type="gramStart"/>
      <w:r w:rsidRPr="00C148FA">
        <w:rPr>
          <w:i/>
          <w:sz w:val="24"/>
          <w:szCs w:val="24"/>
        </w:rPr>
        <w:t>Dep't of Auditor General, et al v. SERS, et al</w:t>
      </w:r>
      <w:r w:rsidRPr="00C148FA">
        <w:rPr>
          <w:sz w:val="24"/>
          <w:szCs w:val="24"/>
        </w:rPr>
        <w:t xml:space="preserve">., 836 A.2d 1053, 1064 (Pa.Cmwlth. 2003); </w:t>
      </w:r>
      <w:r w:rsidRPr="00C148FA">
        <w:rPr>
          <w:i/>
          <w:sz w:val="24"/>
          <w:szCs w:val="24"/>
        </w:rPr>
        <w:t>P.J.S. v. Pa. State Ethics Comm'n</w:t>
      </w:r>
      <w:r w:rsidRPr="00C148FA">
        <w:rPr>
          <w:sz w:val="24"/>
          <w:szCs w:val="24"/>
        </w:rPr>
        <w:t>, 669 A.2d 1105 (Pa.Cmwlth. 1996).</w:t>
      </w:r>
      <w:proofErr w:type="gramEnd"/>
      <w:r w:rsidRPr="00C148FA">
        <w:rPr>
          <w:sz w:val="24"/>
          <w:szCs w:val="24"/>
        </w:rPr>
        <w:t xml:space="preserve">  Any doubt must be resolved in favor of the non-moving party by refusing to sustain the preliminary objections.  </w:t>
      </w:r>
      <w:proofErr w:type="gramStart"/>
      <w:r w:rsidRPr="00C148FA">
        <w:rPr>
          <w:i/>
          <w:sz w:val="24"/>
          <w:szCs w:val="24"/>
        </w:rPr>
        <w:t>Boyd v. Ward</w:t>
      </w:r>
      <w:r w:rsidRPr="00C148FA">
        <w:rPr>
          <w:sz w:val="24"/>
          <w:szCs w:val="24"/>
        </w:rPr>
        <w:t>, 802 A.2d 705 (Pa.Cmwlth. 2002).</w:t>
      </w:r>
      <w:proofErr w:type="gramEnd"/>
      <w:r w:rsidRPr="00C148FA">
        <w:rPr>
          <w:sz w:val="24"/>
          <w:szCs w:val="24"/>
        </w:rPr>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C148FA">
        <w:rPr>
          <w:i/>
          <w:sz w:val="24"/>
          <w:szCs w:val="24"/>
        </w:rPr>
        <w:t>Ridge v. State Employees' Retirement Bd</w:t>
      </w:r>
      <w:r w:rsidRPr="00C148FA">
        <w:rPr>
          <w:sz w:val="24"/>
          <w:szCs w:val="24"/>
        </w:rPr>
        <w:t>., 690 A.2d 1312 (Pa.Cmwlth. 1997).</w:t>
      </w:r>
      <w:proofErr w:type="gramEnd"/>
      <w:r w:rsidRPr="00C148FA">
        <w:rPr>
          <w:sz w:val="24"/>
          <w:szCs w:val="24"/>
        </w:rPr>
        <w:br/>
      </w:r>
      <w:r w:rsidRPr="00C148FA">
        <w:rPr>
          <w:sz w:val="24"/>
          <w:szCs w:val="24"/>
        </w:rPr>
        <w:br/>
      </w:r>
      <w:r w:rsidRPr="00C148FA">
        <w:rPr>
          <w:sz w:val="24"/>
          <w:szCs w:val="24"/>
        </w:rPr>
        <w:tab/>
      </w:r>
      <w:r w:rsidRPr="00C148FA">
        <w:rPr>
          <w:sz w:val="24"/>
          <w:szCs w:val="24"/>
        </w:rPr>
        <w:tab/>
        <w:t>Therefore, the primary focus is on the Complainants’ pleadings. Here, the Complainant</w:t>
      </w:r>
      <w:r w:rsidR="00412D44" w:rsidRPr="00C148FA">
        <w:rPr>
          <w:sz w:val="24"/>
          <w:szCs w:val="24"/>
        </w:rPr>
        <w:t>s</w:t>
      </w:r>
      <w:r w:rsidRPr="00C148FA">
        <w:rPr>
          <w:sz w:val="24"/>
          <w:szCs w:val="24"/>
        </w:rPr>
        <w:t xml:space="preserve"> aver that </w:t>
      </w:r>
      <w:r w:rsidR="00412D44" w:rsidRPr="00C148FA">
        <w:rPr>
          <w:sz w:val="24"/>
          <w:szCs w:val="24"/>
        </w:rPr>
        <w:t>they</w:t>
      </w:r>
      <w:r w:rsidRPr="00C148FA">
        <w:rPr>
          <w:sz w:val="24"/>
          <w:szCs w:val="24"/>
        </w:rPr>
        <w:t xml:space="preserve"> ha</w:t>
      </w:r>
      <w:r w:rsidR="00412D44" w:rsidRPr="00C148FA">
        <w:rPr>
          <w:sz w:val="24"/>
          <w:szCs w:val="24"/>
        </w:rPr>
        <w:t>ve</w:t>
      </w:r>
      <w:r w:rsidRPr="00C148FA">
        <w:rPr>
          <w:sz w:val="24"/>
          <w:szCs w:val="24"/>
        </w:rPr>
        <w:t xml:space="preserve"> been improperly billed for </w:t>
      </w:r>
      <w:r w:rsidR="006533A4" w:rsidRPr="00C148FA">
        <w:rPr>
          <w:sz w:val="24"/>
          <w:szCs w:val="24"/>
        </w:rPr>
        <w:t xml:space="preserve">natural </w:t>
      </w:r>
      <w:r w:rsidRPr="00C148FA">
        <w:rPr>
          <w:sz w:val="24"/>
          <w:szCs w:val="24"/>
        </w:rPr>
        <w:t xml:space="preserve">gas service associated with </w:t>
      </w:r>
      <w:r w:rsidRPr="00C148FA">
        <w:rPr>
          <w:sz w:val="24"/>
          <w:szCs w:val="24"/>
        </w:rPr>
        <w:lastRenderedPageBreak/>
        <w:t>foreign piping discovered at the Complainants’ rental property.</w:t>
      </w:r>
      <w:r w:rsidR="00412D44" w:rsidRPr="00C148FA">
        <w:rPr>
          <w:sz w:val="24"/>
          <w:szCs w:val="24"/>
        </w:rPr>
        <w:t xml:space="preserve">  The Complainants rely on a letter from PECO dated May 26, 2010, which is attached to their Complaint as “Attachment A” to support their claim that they should be billed only for a portion of the </w:t>
      </w:r>
      <w:r w:rsidR="00447265" w:rsidRPr="00C148FA">
        <w:rPr>
          <w:sz w:val="24"/>
          <w:szCs w:val="24"/>
        </w:rPr>
        <w:t xml:space="preserve">gas bill due to the foreign piping at their rental property.  </w:t>
      </w:r>
      <w:proofErr w:type="gramStart"/>
      <w:r w:rsidR="00447265" w:rsidRPr="00C148FA">
        <w:rPr>
          <w:sz w:val="24"/>
          <w:szCs w:val="24"/>
        </w:rPr>
        <w:t>Complaint at ¶ 4B; Attachment A.</w:t>
      </w:r>
      <w:proofErr w:type="gramEnd"/>
      <w:r w:rsidR="00447265" w:rsidRPr="00C148FA">
        <w:rPr>
          <w:sz w:val="24"/>
          <w:szCs w:val="24"/>
        </w:rPr>
        <w:t xml:space="preserve">  The Complainants may have formed this </w:t>
      </w:r>
      <w:r w:rsidR="006533A4" w:rsidRPr="00C148FA">
        <w:rPr>
          <w:sz w:val="24"/>
          <w:szCs w:val="24"/>
        </w:rPr>
        <w:t>belief</w:t>
      </w:r>
      <w:r w:rsidR="00447265" w:rsidRPr="00C148FA">
        <w:rPr>
          <w:sz w:val="24"/>
          <w:szCs w:val="24"/>
        </w:rPr>
        <w:t xml:space="preserve"> based on the fact that PECO did bill the Complainants for a reduced amount for the electric service at the property despite the fact that the Complainants are</w:t>
      </w:r>
      <w:r w:rsidR="00FF69AE">
        <w:rPr>
          <w:sz w:val="24"/>
          <w:szCs w:val="24"/>
        </w:rPr>
        <w:t>, arguably,</w:t>
      </w:r>
      <w:r w:rsidR="00447265" w:rsidRPr="00C148FA">
        <w:rPr>
          <w:sz w:val="24"/>
          <w:szCs w:val="24"/>
        </w:rPr>
        <w:t xml:space="preserve"> responsible for the entire balance.  Answer at 1, ¶</w:t>
      </w:r>
      <w:r w:rsidR="001B6CBA" w:rsidRPr="00C148FA">
        <w:rPr>
          <w:sz w:val="24"/>
          <w:szCs w:val="24"/>
        </w:rPr>
        <w:t xml:space="preserve">4; </w:t>
      </w:r>
      <w:proofErr w:type="gramStart"/>
      <w:r w:rsidR="001B6CBA" w:rsidRPr="00C148FA">
        <w:rPr>
          <w:sz w:val="24"/>
          <w:szCs w:val="24"/>
        </w:rPr>
        <w:t>fn</w:t>
      </w:r>
      <w:proofErr w:type="gramEnd"/>
      <w:r w:rsidR="001B6CBA" w:rsidRPr="00C148FA">
        <w:rPr>
          <w:sz w:val="24"/>
          <w:szCs w:val="24"/>
        </w:rPr>
        <w:t xml:space="preserve"> 1.  </w:t>
      </w:r>
    </w:p>
    <w:p w:rsidR="006671EF" w:rsidRDefault="006671EF" w:rsidP="00C148FA">
      <w:pPr>
        <w:spacing w:line="360" w:lineRule="auto"/>
        <w:rPr>
          <w:sz w:val="24"/>
          <w:szCs w:val="24"/>
        </w:rPr>
      </w:pPr>
    </w:p>
    <w:p w:rsidR="001B6CBA" w:rsidRPr="00C148FA" w:rsidRDefault="006671EF" w:rsidP="00C148FA">
      <w:pPr>
        <w:spacing w:line="360" w:lineRule="auto"/>
        <w:rPr>
          <w:sz w:val="24"/>
          <w:szCs w:val="24"/>
        </w:rPr>
      </w:pPr>
      <w:r>
        <w:rPr>
          <w:sz w:val="24"/>
          <w:szCs w:val="24"/>
        </w:rPr>
        <w:tab/>
      </w:r>
      <w:r>
        <w:rPr>
          <w:sz w:val="24"/>
          <w:szCs w:val="24"/>
        </w:rPr>
        <w:tab/>
      </w:r>
      <w:r w:rsidR="00F46689">
        <w:rPr>
          <w:sz w:val="24"/>
          <w:szCs w:val="24"/>
        </w:rPr>
        <w:t>T</w:t>
      </w:r>
      <w:r w:rsidR="001B6CBA" w:rsidRPr="00C148FA">
        <w:rPr>
          <w:sz w:val="24"/>
          <w:szCs w:val="24"/>
        </w:rPr>
        <w:t xml:space="preserve">he PECO letter of May 26, 2010, </w:t>
      </w:r>
      <w:r w:rsidR="00FB31D9">
        <w:rPr>
          <w:sz w:val="24"/>
          <w:szCs w:val="24"/>
        </w:rPr>
        <w:t xml:space="preserve">is of great significance in this case.  The letter </w:t>
      </w:r>
      <w:r w:rsidR="001B6CBA" w:rsidRPr="00C148FA">
        <w:rPr>
          <w:sz w:val="24"/>
          <w:szCs w:val="24"/>
        </w:rPr>
        <w:t>states:</w:t>
      </w:r>
    </w:p>
    <w:p w:rsidR="001B6CBA" w:rsidRPr="00C148FA" w:rsidRDefault="001B6CBA" w:rsidP="00C148FA">
      <w:pPr>
        <w:spacing w:line="360" w:lineRule="auto"/>
        <w:rPr>
          <w:sz w:val="24"/>
          <w:szCs w:val="24"/>
        </w:rPr>
      </w:pPr>
    </w:p>
    <w:p w:rsidR="00176DFF" w:rsidRPr="00C148FA" w:rsidRDefault="001B6CBA" w:rsidP="00E17435">
      <w:pPr>
        <w:ind w:left="1440" w:right="1440"/>
        <w:rPr>
          <w:sz w:val="24"/>
          <w:szCs w:val="24"/>
        </w:rPr>
      </w:pPr>
      <w:r w:rsidRPr="00C148FA">
        <w:rPr>
          <w:sz w:val="24"/>
          <w:szCs w:val="24"/>
        </w:rPr>
        <w:t>When PECO identifies foreign wiring and foreign piping, Pennsylvania State Law requires the electric and gas service to be transferred into the name of the landlord</w:t>
      </w:r>
      <w:r w:rsidR="00176DFF" w:rsidRPr="00C148FA">
        <w:rPr>
          <w:sz w:val="24"/>
          <w:szCs w:val="24"/>
        </w:rPr>
        <w:t>, until the wiring and piping is properly corrected. (Per Section 1529.1(b) of the Pennsylvania Public Utility Code, 66 Pa. C.S. § 1529.1)</w:t>
      </w:r>
    </w:p>
    <w:p w:rsidR="00176DFF" w:rsidRPr="00C148FA" w:rsidRDefault="00176DFF" w:rsidP="00E17435">
      <w:pPr>
        <w:ind w:left="1440" w:right="1440"/>
        <w:rPr>
          <w:sz w:val="24"/>
          <w:szCs w:val="24"/>
        </w:rPr>
      </w:pPr>
    </w:p>
    <w:p w:rsidR="00E47376" w:rsidRPr="00C148FA" w:rsidRDefault="00176DFF" w:rsidP="00E17435">
      <w:pPr>
        <w:ind w:left="1440" w:right="1440"/>
        <w:rPr>
          <w:sz w:val="24"/>
          <w:szCs w:val="24"/>
        </w:rPr>
      </w:pPr>
      <w:r w:rsidRPr="00C148FA">
        <w:rPr>
          <w:sz w:val="24"/>
          <w:szCs w:val="24"/>
        </w:rPr>
        <w:t xml:space="preserve">Please be advised that the electric and gas service for the accounts in question will be transferred into your name effective immediately.  If any of the current tenant’s balance due is attributable to the found foreign wiring and piping, </w:t>
      </w:r>
      <w:r w:rsidRPr="00C148FA">
        <w:rPr>
          <w:i/>
          <w:sz w:val="24"/>
          <w:szCs w:val="24"/>
        </w:rPr>
        <w:t xml:space="preserve">the portion of that balance attributable </w:t>
      </w:r>
      <w:r w:rsidR="00E47376" w:rsidRPr="00C148FA">
        <w:rPr>
          <w:i/>
          <w:sz w:val="24"/>
          <w:szCs w:val="24"/>
        </w:rPr>
        <w:t>to the foreign wiring and piping will be transferred into your name as well</w:t>
      </w:r>
      <w:r w:rsidR="00E47376" w:rsidRPr="00C148FA">
        <w:rPr>
          <w:sz w:val="24"/>
          <w:szCs w:val="24"/>
        </w:rPr>
        <w:t>.  The service can only go back into your tenant’s name if you have your electrician and/or contractor correct the wiring and piping for each apartment.</w:t>
      </w:r>
    </w:p>
    <w:p w:rsidR="00E47376" w:rsidRPr="00C148FA" w:rsidRDefault="00E47376" w:rsidP="00E17435">
      <w:pPr>
        <w:ind w:left="1440" w:right="1440"/>
        <w:rPr>
          <w:sz w:val="24"/>
          <w:szCs w:val="24"/>
        </w:rPr>
      </w:pPr>
    </w:p>
    <w:p w:rsidR="005230F1" w:rsidRPr="00C148FA" w:rsidRDefault="00E47376" w:rsidP="00E17435">
      <w:pPr>
        <w:ind w:left="1440" w:right="1440"/>
        <w:rPr>
          <w:sz w:val="24"/>
          <w:szCs w:val="24"/>
        </w:rPr>
      </w:pPr>
      <w:r w:rsidRPr="00C148FA">
        <w:rPr>
          <w:sz w:val="24"/>
          <w:szCs w:val="24"/>
        </w:rPr>
        <w:t>Complaint Attachment A</w:t>
      </w:r>
      <w:r w:rsidR="00412D44" w:rsidRPr="00C148FA">
        <w:rPr>
          <w:sz w:val="24"/>
          <w:szCs w:val="24"/>
        </w:rPr>
        <w:t xml:space="preserve"> </w:t>
      </w:r>
      <w:r w:rsidR="006533A4" w:rsidRPr="00C148FA">
        <w:rPr>
          <w:sz w:val="24"/>
          <w:szCs w:val="24"/>
        </w:rPr>
        <w:t>(emphasis added)</w:t>
      </w:r>
    </w:p>
    <w:p w:rsidR="005230F1" w:rsidRPr="00C148FA" w:rsidRDefault="005230F1" w:rsidP="00C148FA">
      <w:pPr>
        <w:spacing w:line="360" w:lineRule="auto"/>
        <w:rPr>
          <w:sz w:val="24"/>
          <w:szCs w:val="24"/>
        </w:rPr>
      </w:pPr>
    </w:p>
    <w:p w:rsidR="00413F4E" w:rsidRDefault="00A22B82" w:rsidP="00C148FA">
      <w:pPr>
        <w:spacing w:line="360" w:lineRule="auto"/>
        <w:rPr>
          <w:sz w:val="24"/>
          <w:szCs w:val="24"/>
        </w:rPr>
      </w:pPr>
      <w:r w:rsidRPr="00C148FA">
        <w:rPr>
          <w:sz w:val="24"/>
          <w:szCs w:val="24"/>
        </w:rPr>
        <w:tab/>
      </w:r>
      <w:r w:rsidRPr="00C148FA">
        <w:rPr>
          <w:sz w:val="24"/>
          <w:szCs w:val="24"/>
        </w:rPr>
        <w:tab/>
      </w:r>
      <w:r w:rsidR="00E47376" w:rsidRPr="00C148FA">
        <w:rPr>
          <w:sz w:val="24"/>
          <w:szCs w:val="24"/>
        </w:rPr>
        <w:t xml:space="preserve">Read in conjunction with PECO’s </w:t>
      </w:r>
      <w:r w:rsidR="0067453B" w:rsidRPr="00C148FA">
        <w:rPr>
          <w:sz w:val="24"/>
          <w:szCs w:val="24"/>
        </w:rPr>
        <w:t xml:space="preserve">voluntary </w:t>
      </w:r>
      <w:r w:rsidR="00E47376" w:rsidRPr="00C148FA">
        <w:rPr>
          <w:sz w:val="24"/>
          <w:szCs w:val="24"/>
        </w:rPr>
        <w:t xml:space="preserve">apportionment of the electric bill attributable to foreign wiring, it is easy to see how the Complainants were confused </w:t>
      </w:r>
      <w:r w:rsidR="0067453B" w:rsidRPr="00C148FA">
        <w:rPr>
          <w:sz w:val="24"/>
          <w:szCs w:val="24"/>
        </w:rPr>
        <w:t xml:space="preserve">by the letter </w:t>
      </w:r>
      <w:r w:rsidR="00E47376" w:rsidRPr="00C148FA">
        <w:rPr>
          <w:sz w:val="24"/>
          <w:szCs w:val="24"/>
        </w:rPr>
        <w:t>and ir</w:t>
      </w:r>
      <w:r w:rsidR="003E7035">
        <w:rPr>
          <w:sz w:val="24"/>
          <w:szCs w:val="24"/>
        </w:rPr>
        <w:t>ritated</w:t>
      </w:r>
      <w:r w:rsidR="00E47376" w:rsidRPr="00C148FA">
        <w:rPr>
          <w:sz w:val="24"/>
          <w:szCs w:val="24"/>
        </w:rPr>
        <w:t xml:space="preserve"> </w:t>
      </w:r>
      <w:r w:rsidR="004B3536" w:rsidRPr="00C148FA">
        <w:rPr>
          <w:sz w:val="24"/>
          <w:szCs w:val="24"/>
        </w:rPr>
        <w:t>when</w:t>
      </w:r>
      <w:r w:rsidR="00E47376" w:rsidRPr="00C148FA">
        <w:rPr>
          <w:sz w:val="24"/>
          <w:szCs w:val="24"/>
        </w:rPr>
        <w:t xml:space="preserve"> the entire amount of the gas service bill appear</w:t>
      </w:r>
      <w:r w:rsidR="004B3536" w:rsidRPr="00C148FA">
        <w:rPr>
          <w:sz w:val="24"/>
          <w:szCs w:val="24"/>
        </w:rPr>
        <w:t>ed</w:t>
      </w:r>
      <w:r w:rsidR="00E47376" w:rsidRPr="00C148FA">
        <w:rPr>
          <w:sz w:val="24"/>
          <w:szCs w:val="24"/>
        </w:rPr>
        <w:t xml:space="preserve"> in their name.</w:t>
      </w:r>
      <w:r w:rsidR="00780C16" w:rsidRPr="00C148FA">
        <w:rPr>
          <w:sz w:val="24"/>
          <w:szCs w:val="24"/>
        </w:rPr>
        <w:t xml:space="preserve">  </w:t>
      </w:r>
      <w:r w:rsidR="00F46689">
        <w:rPr>
          <w:sz w:val="24"/>
          <w:szCs w:val="24"/>
        </w:rPr>
        <w:t>T</w:t>
      </w:r>
      <w:r w:rsidR="005E2080" w:rsidRPr="00C148FA">
        <w:rPr>
          <w:sz w:val="24"/>
          <w:szCs w:val="24"/>
        </w:rPr>
        <w:t>he PECO letter of May 26, 2010 refers to “the portion of that balance att</w:t>
      </w:r>
      <w:r w:rsidR="00E17435">
        <w:rPr>
          <w:sz w:val="24"/>
          <w:szCs w:val="24"/>
        </w:rPr>
        <w:t xml:space="preserve">ributable to the foreign </w:t>
      </w:r>
      <w:r w:rsidR="005E2080" w:rsidRPr="00C148FA">
        <w:rPr>
          <w:sz w:val="24"/>
          <w:szCs w:val="24"/>
        </w:rPr>
        <w:t>piping</w:t>
      </w:r>
      <w:r w:rsidR="006671EF">
        <w:rPr>
          <w:sz w:val="24"/>
          <w:szCs w:val="24"/>
        </w:rPr>
        <w:t>.</w:t>
      </w:r>
      <w:r w:rsidR="005E2080" w:rsidRPr="00C148FA">
        <w:rPr>
          <w:sz w:val="24"/>
          <w:szCs w:val="24"/>
        </w:rPr>
        <w:t xml:space="preserve">” </w:t>
      </w:r>
      <w:r w:rsidR="00F46689">
        <w:rPr>
          <w:sz w:val="24"/>
          <w:szCs w:val="24"/>
        </w:rPr>
        <w:t>While i</w:t>
      </w:r>
      <w:r w:rsidR="005E2080" w:rsidRPr="00C148FA">
        <w:rPr>
          <w:sz w:val="24"/>
          <w:szCs w:val="24"/>
        </w:rPr>
        <w:t xml:space="preserve">t does not promise “apportionment” </w:t>
      </w:r>
      <w:r w:rsidR="00B46E58">
        <w:rPr>
          <w:sz w:val="24"/>
          <w:szCs w:val="24"/>
        </w:rPr>
        <w:t xml:space="preserve">of the gas bill, </w:t>
      </w:r>
      <w:r w:rsidR="00F46689">
        <w:rPr>
          <w:sz w:val="24"/>
          <w:szCs w:val="24"/>
        </w:rPr>
        <w:t xml:space="preserve">that </w:t>
      </w:r>
      <w:r w:rsidR="005E2080" w:rsidRPr="00C148FA">
        <w:rPr>
          <w:sz w:val="24"/>
          <w:szCs w:val="24"/>
        </w:rPr>
        <w:t>is how the Complainants have</w:t>
      </w:r>
      <w:r w:rsidR="009F45AC">
        <w:rPr>
          <w:sz w:val="24"/>
          <w:szCs w:val="24"/>
        </w:rPr>
        <w:t>, understandably,</w:t>
      </w:r>
      <w:r w:rsidR="005E2080" w:rsidRPr="00C148FA">
        <w:rPr>
          <w:sz w:val="24"/>
          <w:szCs w:val="24"/>
        </w:rPr>
        <w:t xml:space="preserve"> interpreted the letter.</w:t>
      </w:r>
    </w:p>
    <w:p w:rsidR="00413F4E" w:rsidRDefault="00413F4E" w:rsidP="00C148FA">
      <w:pPr>
        <w:spacing w:line="360" w:lineRule="auto"/>
        <w:rPr>
          <w:sz w:val="24"/>
          <w:szCs w:val="24"/>
        </w:rPr>
      </w:pPr>
    </w:p>
    <w:p w:rsidR="00B46E58" w:rsidRDefault="00235B6C" w:rsidP="00B46E58">
      <w:pPr>
        <w:spacing w:line="360" w:lineRule="auto"/>
        <w:rPr>
          <w:sz w:val="24"/>
          <w:szCs w:val="24"/>
        </w:rPr>
      </w:pPr>
      <w:r w:rsidRPr="00C148FA">
        <w:rPr>
          <w:sz w:val="24"/>
          <w:szCs w:val="24"/>
        </w:rPr>
        <w:lastRenderedPageBreak/>
        <w:tab/>
      </w:r>
      <w:r w:rsidRPr="00C148FA">
        <w:rPr>
          <w:sz w:val="24"/>
          <w:szCs w:val="24"/>
        </w:rPr>
        <w:tab/>
      </w:r>
      <w:r w:rsidR="006775E3" w:rsidRPr="00C148FA">
        <w:rPr>
          <w:sz w:val="24"/>
          <w:szCs w:val="24"/>
        </w:rPr>
        <w:t xml:space="preserve">PECO </w:t>
      </w:r>
      <w:r w:rsidRPr="00C148FA">
        <w:rPr>
          <w:sz w:val="24"/>
          <w:szCs w:val="24"/>
        </w:rPr>
        <w:t xml:space="preserve">argues </w:t>
      </w:r>
      <w:r w:rsidR="006775E3" w:rsidRPr="00C148FA">
        <w:rPr>
          <w:sz w:val="24"/>
          <w:szCs w:val="24"/>
        </w:rPr>
        <w:t xml:space="preserve">that the Complaint is legally insufficient because it fails to state a claim upon which the Commission can grant relief and </w:t>
      </w:r>
      <w:r w:rsidRPr="00C148FA">
        <w:rPr>
          <w:sz w:val="24"/>
          <w:szCs w:val="24"/>
        </w:rPr>
        <w:t xml:space="preserve">that the Complaint is beyond the jurisdiction of the </w:t>
      </w:r>
      <w:r w:rsidR="006775E3" w:rsidRPr="00C148FA">
        <w:rPr>
          <w:sz w:val="24"/>
          <w:szCs w:val="24"/>
        </w:rPr>
        <w:t>Commission</w:t>
      </w:r>
      <w:r w:rsidR="002C609A" w:rsidRPr="00C148FA">
        <w:rPr>
          <w:sz w:val="24"/>
          <w:szCs w:val="24"/>
        </w:rPr>
        <w:t>.</w:t>
      </w:r>
      <w:r w:rsidR="00F46D15" w:rsidRPr="00C148FA">
        <w:rPr>
          <w:rStyle w:val="FootnoteReference"/>
          <w:sz w:val="24"/>
          <w:szCs w:val="24"/>
        </w:rPr>
        <w:footnoteReference w:id="4"/>
      </w:r>
      <w:r w:rsidR="00B46E58">
        <w:rPr>
          <w:sz w:val="24"/>
          <w:szCs w:val="24"/>
        </w:rPr>
        <w:t xml:space="preserve">  PECO also argues that the </w:t>
      </w:r>
      <w:r w:rsidR="006775E3" w:rsidRPr="00C148FA">
        <w:rPr>
          <w:sz w:val="24"/>
          <w:szCs w:val="24"/>
        </w:rPr>
        <w:t xml:space="preserve">Code requires that the presence of "foreign load" (which exists where tenants have a meter and are direct utility customers and utility service for other tenants or for the landlord is being billed through their meter) prevents a dwelling unit from being deemed "individually metered" within the meaning of 66 Pa. C.S. § </w:t>
      </w:r>
      <w:r w:rsidR="006775E3" w:rsidRPr="00C148FA">
        <w:rPr>
          <w:bCs/>
          <w:sz w:val="24"/>
          <w:szCs w:val="24"/>
        </w:rPr>
        <w:t>1529.1</w:t>
      </w:r>
      <w:r w:rsidRPr="00C148FA">
        <w:rPr>
          <w:bCs/>
          <w:sz w:val="24"/>
          <w:szCs w:val="24"/>
        </w:rPr>
        <w:t xml:space="preserve">. </w:t>
      </w:r>
      <w:r w:rsidR="006775E3" w:rsidRPr="00C148FA">
        <w:rPr>
          <w:sz w:val="24"/>
          <w:szCs w:val="24"/>
        </w:rPr>
        <w:t xml:space="preserve"> </w:t>
      </w:r>
      <w:r w:rsidR="00791FD7">
        <w:rPr>
          <w:sz w:val="24"/>
          <w:szCs w:val="24"/>
        </w:rPr>
        <w:t xml:space="preserve">That is correct under </w:t>
      </w:r>
      <w:r w:rsidR="00791FD7" w:rsidRPr="00791FD7">
        <w:rPr>
          <w:i/>
          <w:sz w:val="24"/>
          <w:szCs w:val="24"/>
        </w:rPr>
        <w:t>current</w:t>
      </w:r>
      <w:r w:rsidR="00791FD7">
        <w:rPr>
          <w:sz w:val="24"/>
          <w:szCs w:val="24"/>
        </w:rPr>
        <w:t xml:space="preserve"> Commission policy.</w:t>
      </w:r>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791FD7">
        <w:rPr>
          <w:sz w:val="24"/>
          <w:szCs w:val="24"/>
        </w:rPr>
        <w:t>However, and most s</w:t>
      </w:r>
      <w:r w:rsidR="00B46E58">
        <w:rPr>
          <w:sz w:val="24"/>
          <w:szCs w:val="24"/>
        </w:rPr>
        <w:t xml:space="preserve">ignificantly, the PECO letter </w:t>
      </w:r>
      <w:r w:rsidR="00FB31D9">
        <w:rPr>
          <w:sz w:val="24"/>
          <w:szCs w:val="24"/>
        </w:rPr>
        <w:t>of May 26, 2010</w:t>
      </w:r>
      <w:r w:rsidR="009F45AC">
        <w:rPr>
          <w:sz w:val="24"/>
          <w:szCs w:val="24"/>
        </w:rPr>
        <w:t>, upon which the Complainants rely,</w:t>
      </w:r>
      <w:r w:rsidR="00FB31D9">
        <w:rPr>
          <w:sz w:val="24"/>
          <w:szCs w:val="24"/>
        </w:rPr>
        <w:t xml:space="preserve"> </w:t>
      </w:r>
      <w:r w:rsidR="00B46E58">
        <w:rPr>
          <w:sz w:val="24"/>
          <w:szCs w:val="24"/>
        </w:rPr>
        <w:t xml:space="preserve">is consistent with </w:t>
      </w:r>
      <w:r w:rsidR="00B46E58" w:rsidRPr="00791FD7">
        <w:rPr>
          <w:i/>
          <w:sz w:val="24"/>
          <w:szCs w:val="24"/>
        </w:rPr>
        <w:t>prior</w:t>
      </w:r>
      <w:r w:rsidR="00B46E58">
        <w:rPr>
          <w:sz w:val="24"/>
          <w:szCs w:val="24"/>
        </w:rPr>
        <w:t xml:space="preserve"> Commission policy under </w:t>
      </w:r>
      <w:proofErr w:type="spellStart"/>
      <w:r w:rsidR="00B46E58" w:rsidRPr="00AE3C15">
        <w:rPr>
          <w:i/>
          <w:sz w:val="24"/>
          <w:szCs w:val="24"/>
        </w:rPr>
        <w:t>Afshari</w:t>
      </w:r>
      <w:proofErr w:type="spellEnd"/>
      <w:r w:rsidR="00B46E58" w:rsidRPr="00AE3C15">
        <w:rPr>
          <w:i/>
          <w:sz w:val="24"/>
          <w:szCs w:val="24"/>
        </w:rPr>
        <w:t xml:space="preserve"> v. PPL Electric Utilities Corporation</w:t>
      </w:r>
      <w:r w:rsidR="00B46E58">
        <w:rPr>
          <w:sz w:val="24"/>
          <w:szCs w:val="24"/>
        </w:rPr>
        <w:t>, Docket No. C-200555547 (Order entered April 9, 2008) relating to foreign load cases.</w:t>
      </w:r>
      <w:r w:rsidR="00B46E58" w:rsidRPr="00C148FA">
        <w:rPr>
          <w:sz w:val="24"/>
          <w:szCs w:val="24"/>
        </w:rPr>
        <w:t xml:space="preserve">  </w:t>
      </w:r>
      <w:r w:rsidR="00B46E58">
        <w:rPr>
          <w:sz w:val="24"/>
          <w:szCs w:val="24"/>
        </w:rPr>
        <w:t xml:space="preserve">The </w:t>
      </w:r>
      <w:proofErr w:type="spellStart"/>
      <w:r w:rsidR="00B46E58" w:rsidRPr="00AE3C15">
        <w:rPr>
          <w:i/>
          <w:sz w:val="24"/>
          <w:szCs w:val="24"/>
        </w:rPr>
        <w:t>Afshari</w:t>
      </w:r>
      <w:proofErr w:type="spellEnd"/>
      <w:r w:rsidR="00B46E58">
        <w:rPr>
          <w:sz w:val="24"/>
          <w:szCs w:val="24"/>
        </w:rPr>
        <w:t xml:space="preserve"> policy was implemented in 2008 to soften harsh results on landlords and allowed apportionment of arrearages attributable to foreign load.  </w:t>
      </w:r>
      <w:proofErr w:type="spellStart"/>
      <w:r w:rsidR="00B46E58" w:rsidRPr="00AA6C2F">
        <w:rPr>
          <w:i/>
          <w:sz w:val="24"/>
          <w:szCs w:val="24"/>
        </w:rPr>
        <w:t>Afshari</w:t>
      </w:r>
      <w:proofErr w:type="spellEnd"/>
      <w:r w:rsidR="00B46E58">
        <w:rPr>
          <w:sz w:val="24"/>
          <w:szCs w:val="24"/>
        </w:rPr>
        <w:t xml:space="preserve"> was subsequently rescinded in the case of </w:t>
      </w:r>
      <w:r w:rsidR="00B46E58" w:rsidRPr="00AA6C2F">
        <w:rPr>
          <w:i/>
          <w:sz w:val="24"/>
          <w:szCs w:val="24"/>
        </w:rPr>
        <w:t>Ace Check Cashing v. PGW</w:t>
      </w:r>
      <w:r w:rsidR="00B46E58">
        <w:rPr>
          <w:sz w:val="24"/>
          <w:szCs w:val="24"/>
        </w:rPr>
        <w:t>, Docket No. C-2008-2056428 (Order entered May 21, 2010).</w:t>
      </w:r>
      <w:r w:rsidR="009F45AC">
        <w:rPr>
          <w:rStyle w:val="FootnoteReference"/>
          <w:sz w:val="24"/>
          <w:szCs w:val="24"/>
        </w:rPr>
        <w:footnoteReference w:id="5"/>
      </w:r>
      <w:r w:rsidR="00B46E58">
        <w:rPr>
          <w:sz w:val="24"/>
          <w:szCs w:val="24"/>
        </w:rPr>
        <w:t xml:space="preserve">  Since </w:t>
      </w:r>
      <w:r w:rsidR="00B46E58" w:rsidRPr="00AA6C2F">
        <w:rPr>
          <w:i/>
          <w:sz w:val="24"/>
          <w:szCs w:val="24"/>
        </w:rPr>
        <w:t>Ace</w:t>
      </w:r>
      <w:r w:rsidR="00B46E58">
        <w:rPr>
          <w:sz w:val="24"/>
          <w:szCs w:val="24"/>
        </w:rPr>
        <w:t xml:space="preserve">, Commission policy </w:t>
      </w:r>
      <w:r w:rsidR="00791FD7">
        <w:rPr>
          <w:sz w:val="24"/>
          <w:szCs w:val="24"/>
        </w:rPr>
        <w:t>has been</w:t>
      </w:r>
      <w:r w:rsidR="00B46E58">
        <w:rPr>
          <w:sz w:val="24"/>
          <w:szCs w:val="24"/>
        </w:rPr>
        <w:t xml:space="preserve"> to require the utility to transfer the entire arrearage to the landlord and to treat any apportionment as a private matter.  </w:t>
      </w:r>
      <w:r w:rsidR="00B46E58" w:rsidRPr="00AA6C2F">
        <w:rPr>
          <w:i/>
          <w:sz w:val="24"/>
          <w:szCs w:val="24"/>
        </w:rPr>
        <w:t>Ace</w:t>
      </w:r>
      <w:r w:rsidR="00B46E58">
        <w:rPr>
          <w:sz w:val="24"/>
          <w:szCs w:val="24"/>
        </w:rPr>
        <w:t xml:space="preserve"> does not permit the utility discretion in this regard but requires the utility to transfer the entire balance to the landlord pursuant to Section 1529.1 of the Code once foreign load has been verified.</w:t>
      </w:r>
      <w:r w:rsidR="00FB31D9">
        <w:rPr>
          <w:sz w:val="24"/>
          <w:szCs w:val="24"/>
        </w:rPr>
        <w:t xml:space="preserve">  </w:t>
      </w:r>
      <w:r w:rsidR="00791FD7">
        <w:rPr>
          <w:sz w:val="24"/>
          <w:szCs w:val="24"/>
        </w:rPr>
        <w:t>Thus, n</w:t>
      </w:r>
      <w:r w:rsidR="00FB31D9" w:rsidRPr="00C148FA">
        <w:rPr>
          <w:sz w:val="24"/>
          <w:szCs w:val="24"/>
        </w:rPr>
        <w:t>o tenant pays for common area usage or the usage of another tenant.</w:t>
      </w:r>
      <w:r w:rsidR="00791FD7">
        <w:rPr>
          <w:sz w:val="24"/>
          <w:szCs w:val="24"/>
        </w:rPr>
        <w:t xml:space="preserve"> </w:t>
      </w:r>
      <w:r w:rsidR="00FB31D9" w:rsidRPr="00C148FA">
        <w:rPr>
          <w:sz w:val="24"/>
          <w:szCs w:val="24"/>
        </w:rPr>
        <w:t xml:space="preserve"> The incentive </w:t>
      </w:r>
      <w:r w:rsidR="00791FD7">
        <w:rPr>
          <w:sz w:val="24"/>
          <w:szCs w:val="24"/>
        </w:rPr>
        <w:t xml:space="preserve">is created </w:t>
      </w:r>
      <w:r w:rsidR="00FB31D9" w:rsidRPr="00C148FA">
        <w:rPr>
          <w:sz w:val="24"/>
          <w:szCs w:val="24"/>
        </w:rPr>
        <w:t xml:space="preserve">for landlords to ensure that correct wiring exists </w:t>
      </w:r>
      <w:r w:rsidR="00791FD7">
        <w:rPr>
          <w:sz w:val="24"/>
          <w:szCs w:val="24"/>
        </w:rPr>
        <w:t>by holding</w:t>
      </w:r>
      <w:r w:rsidR="00FB31D9" w:rsidRPr="00C148FA">
        <w:rPr>
          <w:sz w:val="24"/>
          <w:szCs w:val="24"/>
        </w:rPr>
        <w:t xml:space="preserve"> the landlord responsible for the entire utility bill until the problem is fixed.  </w:t>
      </w:r>
    </w:p>
    <w:p w:rsidR="00B46E58" w:rsidRDefault="00B46E58" w:rsidP="00B46E58">
      <w:pPr>
        <w:spacing w:line="360" w:lineRule="auto"/>
        <w:rPr>
          <w:sz w:val="24"/>
          <w:szCs w:val="24"/>
        </w:rPr>
      </w:pPr>
    </w:p>
    <w:p w:rsidR="00B46E58" w:rsidRDefault="00B46E58" w:rsidP="00B46E58">
      <w:pPr>
        <w:spacing w:line="360" w:lineRule="auto"/>
        <w:rPr>
          <w:sz w:val="24"/>
          <w:szCs w:val="24"/>
        </w:rPr>
      </w:pPr>
      <w:r>
        <w:rPr>
          <w:sz w:val="24"/>
          <w:szCs w:val="24"/>
        </w:rPr>
        <w:tab/>
      </w:r>
      <w:r>
        <w:rPr>
          <w:sz w:val="24"/>
          <w:szCs w:val="24"/>
        </w:rPr>
        <w:tab/>
      </w:r>
      <w:r w:rsidR="001937FC">
        <w:rPr>
          <w:sz w:val="24"/>
          <w:szCs w:val="24"/>
        </w:rPr>
        <w:t>However, i</w:t>
      </w:r>
      <w:r>
        <w:rPr>
          <w:sz w:val="24"/>
          <w:szCs w:val="24"/>
        </w:rPr>
        <w:t>n this case, PECO sent the letter of May 26, 2010</w:t>
      </w:r>
      <w:r w:rsidR="001937FC">
        <w:rPr>
          <w:sz w:val="24"/>
          <w:szCs w:val="24"/>
        </w:rPr>
        <w:t xml:space="preserve">, which is clearly based on the </w:t>
      </w:r>
      <w:proofErr w:type="spellStart"/>
      <w:r w:rsidR="001937FC" w:rsidRPr="001937FC">
        <w:rPr>
          <w:i/>
          <w:sz w:val="24"/>
          <w:szCs w:val="24"/>
        </w:rPr>
        <w:t>Afshari</w:t>
      </w:r>
      <w:proofErr w:type="spellEnd"/>
      <w:r w:rsidR="001937FC">
        <w:rPr>
          <w:sz w:val="24"/>
          <w:szCs w:val="24"/>
        </w:rPr>
        <w:t xml:space="preserve"> policy,</w:t>
      </w:r>
      <w:r>
        <w:rPr>
          <w:sz w:val="24"/>
          <w:szCs w:val="24"/>
        </w:rPr>
        <w:t xml:space="preserve"> to the Complainants five days after </w:t>
      </w:r>
      <w:proofErr w:type="spellStart"/>
      <w:r w:rsidRPr="0000349E">
        <w:rPr>
          <w:i/>
          <w:sz w:val="24"/>
          <w:szCs w:val="24"/>
        </w:rPr>
        <w:t>Afshari</w:t>
      </w:r>
      <w:proofErr w:type="spellEnd"/>
      <w:r>
        <w:rPr>
          <w:sz w:val="24"/>
          <w:szCs w:val="24"/>
        </w:rPr>
        <w:t xml:space="preserve"> was rescinded by the Commission.  Though the Complainants, who are proceeding </w:t>
      </w:r>
      <w:r w:rsidRPr="0000349E">
        <w:rPr>
          <w:i/>
          <w:sz w:val="24"/>
          <w:szCs w:val="24"/>
        </w:rPr>
        <w:t>pro se</w:t>
      </w:r>
      <w:r>
        <w:rPr>
          <w:sz w:val="24"/>
          <w:szCs w:val="24"/>
        </w:rPr>
        <w:t>, probably did not realize it</w:t>
      </w:r>
      <w:r w:rsidR="001937FC">
        <w:rPr>
          <w:sz w:val="24"/>
          <w:szCs w:val="24"/>
        </w:rPr>
        <w:t xml:space="preserve"> when they filed their Complaint</w:t>
      </w:r>
      <w:r>
        <w:rPr>
          <w:sz w:val="24"/>
          <w:szCs w:val="24"/>
        </w:rPr>
        <w:t xml:space="preserve">, this gives rise to the issue of whether PECO rendered “reasonable service” consistent with 66 Pa. C.S. § 1501, and whether PECO has violated the </w:t>
      </w:r>
      <w:r>
        <w:rPr>
          <w:sz w:val="24"/>
          <w:szCs w:val="24"/>
        </w:rPr>
        <w:lastRenderedPageBreak/>
        <w:t>Commission</w:t>
      </w:r>
      <w:r w:rsidR="006671EF">
        <w:rPr>
          <w:sz w:val="24"/>
          <w:szCs w:val="24"/>
        </w:rPr>
        <w:t xml:space="preserve">’s </w:t>
      </w:r>
      <w:proofErr w:type="gramStart"/>
      <w:r w:rsidR="006671EF" w:rsidRPr="006671EF">
        <w:rPr>
          <w:i/>
          <w:sz w:val="24"/>
          <w:szCs w:val="24"/>
        </w:rPr>
        <w:t>Ace</w:t>
      </w:r>
      <w:r w:rsidR="006671EF">
        <w:rPr>
          <w:sz w:val="24"/>
          <w:szCs w:val="24"/>
        </w:rPr>
        <w:t xml:space="preserve"> </w:t>
      </w:r>
      <w:r>
        <w:rPr>
          <w:sz w:val="24"/>
          <w:szCs w:val="24"/>
        </w:rPr>
        <w:t xml:space="preserve"> policy</w:t>
      </w:r>
      <w:proofErr w:type="gramEnd"/>
      <w:r>
        <w:rPr>
          <w:sz w:val="24"/>
          <w:szCs w:val="24"/>
        </w:rPr>
        <w:t xml:space="preserve">.  Also unresolved is the related fact question of why PECO apportioned the electric bill </w:t>
      </w:r>
      <w:r w:rsidR="009F45AC">
        <w:rPr>
          <w:sz w:val="24"/>
          <w:szCs w:val="24"/>
        </w:rPr>
        <w:t>but</w:t>
      </w:r>
      <w:r>
        <w:rPr>
          <w:sz w:val="24"/>
          <w:szCs w:val="24"/>
        </w:rPr>
        <w:t xml:space="preserve"> not the </w:t>
      </w:r>
      <w:r w:rsidR="001937FC">
        <w:rPr>
          <w:sz w:val="24"/>
          <w:szCs w:val="24"/>
        </w:rPr>
        <w:t xml:space="preserve">natural </w:t>
      </w:r>
      <w:r>
        <w:rPr>
          <w:sz w:val="24"/>
          <w:szCs w:val="24"/>
        </w:rPr>
        <w:t xml:space="preserve">gas bill. </w:t>
      </w:r>
    </w:p>
    <w:p w:rsidR="006671EF" w:rsidRDefault="006671EF" w:rsidP="00B46E58">
      <w:pPr>
        <w:spacing w:line="360" w:lineRule="auto"/>
        <w:rPr>
          <w:sz w:val="24"/>
          <w:szCs w:val="24"/>
        </w:rPr>
      </w:pPr>
    </w:p>
    <w:p w:rsidR="009308A4" w:rsidRDefault="00DC174B" w:rsidP="009308A4">
      <w:pPr>
        <w:spacing w:after="200" w:line="360" w:lineRule="auto"/>
        <w:rPr>
          <w:sz w:val="24"/>
          <w:szCs w:val="24"/>
        </w:rPr>
      </w:pPr>
      <w:r w:rsidRPr="00C148FA">
        <w:rPr>
          <w:sz w:val="24"/>
          <w:szCs w:val="24"/>
        </w:rPr>
        <w:tab/>
      </w:r>
      <w:r w:rsidRPr="00C148FA">
        <w:rPr>
          <w:sz w:val="24"/>
          <w:szCs w:val="24"/>
        </w:rPr>
        <w:tab/>
      </w:r>
      <w:r w:rsidR="00B46E58" w:rsidRPr="00C148FA">
        <w:rPr>
          <w:sz w:val="24"/>
          <w:szCs w:val="24"/>
        </w:rPr>
        <w:t xml:space="preserve">In deciding preliminary objections, the Commission must determine whether, based on well-pleaded factual averments of the </w:t>
      </w:r>
      <w:r w:rsidR="00A143D9">
        <w:rPr>
          <w:sz w:val="24"/>
          <w:szCs w:val="24"/>
        </w:rPr>
        <w:t>c</w:t>
      </w:r>
      <w:r w:rsidR="006671EF">
        <w:rPr>
          <w:sz w:val="24"/>
          <w:szCs w:val="24"/>
        </w:rPr>
        <w:t>omplainants</w:t>
      </w:r>
      <w:r w:rsidR="00B46E58" w:rsidRPr="00C148FA">
        <w:rPr>
          <w:sz w:val="24"/>
          <w:szCs w:val="24"/>
        </w:rPr>
        <w:t xml:space="preserve">, recovery or relief is possible. </w:t>
      </w:r>
      <w:proofErr w:type="gramStart"/>
      <w:r w:rsidR="00B46E58" w:rsidRPr="00C148FA">
        <w:rPr>
          <w:i/>
          <w:iCs/>
          <w:sz w:val="24"/>
          <w:szCs w:val="24"/>
        </w:rPr>
        <w:t>Dept. of Auditor General, et al v. SERS, et al</w:t>
      </w:r>
      <w:r w:rsidR="00B46E58" w:rsidRPr="00C148FA">
        <w:rPr>
          <w:sz w:val="24"/>
          <w:szCs w:val="24"/>
        </w:rPr>
        <w:t>., 836 A.2d 1053, 1064 (Pa. Cmwlth. 2003), 2003 Pa. Commw.</w:t>
      </w:r>
      <w:proofErr w:type="gramEnd"/>
      <w:r w:rsidR="00B46E58" w:rsidRPr="00C148FA">
        <w:rPr>
          <w:sz w:val="24"/>
          <w:szCs w:val="24"/>
        </w:rPr>
        <w:t xml:space="preserve"> </w:t>
      </w:r>
      <w:proofErr w:type="gramStart"/>
      <w:r w:rsidR="00B46E58" w:rsidRPr="00C148FA">
        <w:rPr>
          <w:sz w:val="24"/>
          <w:szCs w:val="24"/>
        </w:rPr>
        <w:t xml:space="preserve">LEXIS 849; </w:t>
      </w:r>
      <w:r w:rsidR="00B46E58" w:rsidRPr="00C148FA">
        <w:rPr>
          <w:i/>
          <w:iCs/>
          <w:sz w:val="24"/>
          <w:szCs w:val="24"/>
        </w:rPr>
        <w:t>P.J.S. v. Pa. State Ethics Comm'n</w:t>
      </w:r>
      <w:r w:rsidR="00B46E58" w:rsidRPr="00C148FA">
        <w:rPr>
          <w:sz w:val="24"/>
          <w:szCs w:val="24"/>
        </w:rPr>
        <w:t>, 669 A.2d 1105 (Pa. Cmwlth. 1996) 1996 Pa. Commw.</w:t>
      </w:r>
      <w:proofErr w:type="gramEnd"/>
      <w:r w:rsidR="00B46E58" w:rsidRPr="00C148FA">
        <w:rPr>
          <w:sz w:val="24"/>
          <w:szCs w:val="24"/>
        </w:rPr>
        <w:t xml:space="preserve"> </w:t>
      </w:r>
      <w:proofErr w:type="gramStart"/>
      <w:r w:rsidR="00B46E58" w:rsidRPr="00C148FA">
        <w:rPr>
          <w:sz w:val="24"/>
          <w:szCs w:val="24"/>
        </w:rPr>
        <w:t>LEXIS 11.</w:t>
      </w:r>
      <w:proofErr w:type="gramEnd"/>
      <w:r w:rsidR="00B46E58" w:rsidRPr="00C148FA">
        <w:rPr>
          <w:sz w:val="24"/>
          <w:szCs w:val="24"/>
        </w:rPr>
        <w:t xml:space="preserve">  Any doubt must be resolved in favor of the non-moving party by refusing to sustain the preliminary objections. </w:t>
      </w:r>
      <w:r w:rsidR="00B46E58" w:rsidRPr="00C148FA">
        <w:rPr>
          <w:i/>
          <w:iCs/>
          <w:sz w:val="24"/>
          <w:szCs w:val="24"/>
        </w:rPr>
        <w:t>Boyd v. Ward</w:t>
      </w:r>
      <w:r w:rsidR="00B46E58" w:rsidRPr="00C148FA">
        <w:rPr>
          <w:sz w:val="24"/>
          <w:szCs w:val="24"/>
        </w:rPr>
        <w:t xml:space="preserve">, 802 A.2d 705 (Pa.Cmwlth. 2002) 2002 Pa. Commw. </w:t>
      </w:r>
      <w:proofErr w:type="gramStart"/>
      <w:r w:rsidR="00B46E58" w:rsidRPr="00C148FA">
        <w:rPr>
          <w:sz w:val="24"/>
          <w:szCs w:val="24"/>
        </w:rPr>
        <w:t>LEXIS 580.</w:t>
      </w:r>
      <w:proofErr w:type="gramEnd"/>
      <w:r w:rsidR="00B46E58" w:rsidRPr="00C148FA">
        <w:rPr>
          <w:sz w:val="24"/>
          <w:szCs w:val="24"/>
        </w:rPr>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00B46E58" w:rsidRPr="00C148FA">
        <w:rPr>
          <w:i/>
          <w:iCs/>
          <w:sz w:val="24"/>
          <w:szCs w:val="24"/>
        </w:rPr>
        <w:t>Ridge v. State Employees' Retirement Board</w:t>
      </w:r>
      <w:r w:rsidR="00B46E58" w:rsidRPr="00C148FA">
        <w:rPr>
          <w:sz w:val="24"/>
          <w:szCs w:val="24"/>
        </w:rPr>
        <w:t>, 690 A.2d 1312 (Pa. Cmwlth. 1997) 1997 Pa. Commw.</w:t>
      </w:r>
      <w:proofErr w:type="gramEnd"/>
      <w:r w:rsidR="00B46E58" w:rsidRPr="00C148FA">
        <w:rPr>
          <w:sz w:val="24"/>
          <w:szCs w:val="24"/>
        </w:rPr>
        <w:t xml:space="preserve"> </w:t>
      </w:r>
      <w:proofErr w:type="gramStart"/>
      <w:r w:rsidR="00B46E58" w:rsidRPr="00C148FA">
        <w:rPr>
          <w:sz w:val="24"/>
          <w:szCs w:val="24"/>
        </w:rPr>
        <w:t>LEXIS 148.</w:t>
      </w:r>
      <w:proofErr w:type="gramEnd"/>
      <w:r w:rsidR="00B46E58" w:rsidRPr="00C148FA">
        <w:rPr>
          <w:sz w:val="24"/>
          <w:szCs w:val="24"/>
        </w:rPr>
        <w:t> </w:t>
      </w:r>
      <w:r w:rsidR="00B46E58" w:rsidRPr="00C148FA">
        <w:rPr>
          <w:sz w:val="24"/>
          <w:szCs w:val="24"/>
        </w:rPr>
        <w:br/>
      </w:r>
      <w:r w:rsidR="00B46E58" w:rsidRPr="00C148FA">
        <w:rPr>
          <w:sz w:val="24"/>
          <w:szCs w:val="24"/>
        </w:rPr>
        <w:br/>
      </w:r>
      <w:r w:rsidR="00B46E58" w:rsidRPr="00C148FA">
        <w:rPr>
          <w:sz w:val="24"/>
          <w:szCs w:val="24"/>
        </w:rPr>
        <w:tab/>
      </w:r>
      <w:r w:rsidR="00B46E58" w:rsidRPr="00C148FA">
        <w:rPr>
          <w:sz w:val="24"/>
          <w:szCs w:val="24"/>
        </w:rPr>
        <w:tab/>
        <w:t xml:space="preserve">Therefore, the preliminary objection can be granted only if recovery or relief is not possible after all of the Complainants' averments in the </w:t>
      </w:r>
      <w:r w:rsidR="00A143D9">
        <w:rPr>
          <w:sz w:val="24"/>
          <w:szCs w:val="24"/>
        </w:rPr>
        <w:t>c</w:t>
      </w:r>
      <w:r w:rsidR="00B46E58" w:rsidRPr="00C148FA">
        <w:rPr>
          <w:sz w:val="24"/>
          <w:szCs w:val="24"/>
        </w:rPr>
        <w:t>omplaint are viewed as true for purposes of deciding the preliminary objection, using only those facts specifically admitted.</w:t>
      </w:r>
      <w:r w:rsidR="009308A4">
        <w:rPr>
          <w:sz w:val="24"/>
          <w:szCs w:val="24"/>
        </w:rPr>
        <w:t xml:space="preserve">  In this case, </w:t>
      </w:r>
      <w:r w:rsidR="009308A4" w:rsidRPr="00C148FA">
        <w:rPr>
          <w:sz w:val="24"/>
          <w:szCs w:val="24"/>
        </w:rPr>
        <w:t>based on well-pl</w:t>
      </w:r>
      <w:r w:rsidR="009308A4">
        <w:rPr>
          <w:sz w:val="24"/>
          <w:szCs w:val="24"/>
        </w:rPr>
        <w:t>eaded factual averments of the C</w:t>
      </w:r>
      <w:r w:rsidR="009308A4" w:rsidRPr="00C148FA">
        <w:rPr>
          <w:sz w:val="24"/>
          <w:szCs w:val="24"/>
        </w:rPr>
        <w:t>omplaint, recovery or relief is possible</w:t>
      </w:r>
      <w:r w:rsidR="001937FC">
        <w:rPr>
          <w:sz w:val="24"/>
          <w:szCs w:val="24"/>
        </w:rPr>
        <w:t>.  Therefore, the Respondent’s P</w:t>
      </w:r>
      <w:r w:rsidR="009308A4">
        <w:rPr>
          <w:sz w:val="24"/>
          <w:szCs w:val="24"/>
        </w:rPr>
        <w:t>reliminary Objection must be denied and this matter set for hearing.</w:t>
      </w:r>
    </w:p>
    <w:p w:rsidR="00EA71C7" w:rsidRDefault="00EA71C7" w:rsidP="009308A4">
      <w:pPr>
        <w:spacing w:after="200" w:line="360" w:lineRule="auto"/>
        <w:rPr>
          <w:sz w:val="24"/>
          <w:szCs w:val="24"/>
        </w:rPr>
      </w:pPr>
    </w:p>
    <w:p w:rsidR="001C60DE" w:rsidRPr="00C148FA" w:rsidRDefault="001C60DE" w:rsidP="00C148FA">
      <w:pPr>
        <w:spacing w:line="360" w:lineRule="auto"/>
        <w:jc w:val="center"/>
        <w:rPr>
          <w:sz w:val="24"/>
          <w:szCs w:val="24"/>
          <w:u w:val="single"/>
        </w:rPr>
      </w:pPr>
      <w:r w:rsidRPr="00C148FA">
        <w:rPr>
          <w:sz w:val="24"/>
          <w:szCs w:val="24"/>
          <w:u w:val="single"/>
        </w:rPr>
        <w:t>CONCLUSIONS OF LAW</w:t>
      </w:r>
    </w:p>
    <w:p w:rsidR="001C60DE" w:rsidRPr="00C148FA" w:rsidRDefault="001C60DE" w:rsidP="00C148FA">
      <w:pPr>
        <w:spacing w:line="360" w:lineRule="auto"/>
        <w:rPr>
          <w:sz w:val="24"/>
          <w:szCs w:val="24"/>
        </w:rPr>
      </w:pPr>
    </w:p>
    <w:p w:rsidR="007F78B6" w:rsidRPr="00C148FA" w:rsidRDefault="00B52FEE" w:rsidP="00C148FA">
      <w:pPr>
        <w:spacing w:line="360" w:lineRule="auto"/>
        <w:rPr>
          <w:sz w:val="24"/>
          <w:szCs w:val="24"/>
        </w:rPr>
      </w:pPr>
      <w:r w:rsidRPr="00C148FA">
        <w:rPr>
          <w:sz w:val="24"/>
          <w:szCs w:val="24"/>
        </w:rPr>
        <w:tab/>
      </w:r>
      <w:r w:rsidRPr="00C148FA">
        <w:rPr>
          <w:sz w:val="24"/>
          <w:szCs w:val="24"/>
        </w:rPr>
        <w:tab/>
      </w:r>
      <w:r w:rsidR="006775E3" w:rsidRPr="00C148FA">
        <w:rPr>
          <w:sz w:val="24"/>
          <w:szCs w:val="24"/>
        </w:rPr>
        <w:t xml:space="preserve">1. </w:t>
      </w:r>
      <w:r w:rsidRPr="00C148FA">
        <w:rPr>
          <w:sz w:val="24"/>
          <w:szCs w:val="24"/>
        </w:rPr>
        <w:tab/>
      </w:r>
      <w:r w:rsidR="006775E3" w:rsidRPr="00C148FA">
        <w:rPr>
          <w:sz w:val="24"/>
          <w:szCs w:val="24"/>
        </w:rPr>
        <w:t xml:space="preserve">The Commission has jurisdiction over the billing </w:t>
      </w:r>
      <w:r w:rsidR="001937FC">
        <w:rPr>
          <w:sz w:val="24"/>
          <w:szCs w:val="24"/>
        </w:rPr>
        <w:t>by</w:t>
      </w:r>
      <w:r w:rsidR="006775E3" w:rsidRPr="00C148FA">
        <w:rPr>
          <w:sz w:val="24"/>
          <w:szCs w:val="24"/>
        </w:rPr>
        <w:t xml:space="preserve"> a</w:t>
      </w:r>
      <w:r w:rsidR="001937FC">
        <w:rPr>
          <w:sz w:val="24"/>
          <w:szCs w:val="24"/>
        </w:rPr>
        <w:t xml:space="preserve"> utility</w:t>
      </w:r>
      <w:r w:rsidR="006775E3" w:rsidRPr="00C148FA">
        <w:rPr>
          <w:sz w:val="24"/>
          <w:szCs w:val="24"/>
        </w:rPr>
        <w:t xml:space="preserve"> to a landlord when foreign load is discovered. </w:t>
      </w:r>
      <w:r w:rsidR="001937FC">
        <w:rPr>
          <w:sz w:val="24"/>
          <w:szCs w:val="24"/>
        </w:rPr>
        <w:t xml:space="preserve"> </w:t>
      </w:r>
      <w:proofErr w:type="gramStart"/>
      <w:r w:rsidR="006775E3" w:rsidRPr="00C148FA">
        <w:rPr>
          <w:sz w:val="24"/>
          <w:szCs w:val="24"/>
        </w:rPr>
        <w:t xml:space="preserve">66 Pa. C.S. § </w:t>
      </w:r>
      <w:r w:rsidR="006775E3" w:rsidRPr="00C148FA">
        <w:rPr>
          <w:bCs/>
          <w:sz w:val="24"/>
          <w:szCs w:val="24"/>
        </w:rPr>
        <w:t>1529.1</w:t>
      </w:r>
      <w:r w:rsidRPr="00C148FA">
        <w:rPr>
          <w:sz w:val="24"/>
          <w:szCs w:val="24"/>
        </w:rPr>
        <w:t>.</w:t>
      </w:r>
      <w:proofErr w:type="gramEnd"/>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 xml:space="preserve">2. </w:t>
      </w:r>
      <w:r w:rsidRPr="00C148FA">
        <w:rPr>
          <w:sz w:val="24"/>
          <w:szCs w:val="24"/>
        </w:rPr>
        <w:tab/>
      </w:r>
      <w:r w:rsidR="006775E3" w:rsidRPr="00C148FA">
        <w:rPr>
          <w:sz w:val="24"/>
          <w:szCs w:val="24"/>
        </w:rPr>
        <w:t>Commission regulations permit the filing of preliminary objections. 52 Pa. Code §§ 5.101(a</w:t>
      </w:r>
      <w:proofErr w:type="gramStart"/>
      <w:r w:rsidR="006775E3" w:rsidRPr="00C148FA">
        <w:rPr>
          <w:sz w:val="24"/>
          <w:szCs w:val="24"/>
        </w:rPr>
        <w:t>)(</w:t>
      </w:r>
      <w:proofErr w:type="gramEnd"/>
      <w:r w:rsidR="006775E3" w:rsidRPr="00C148FA">
        <w:rPr>
          <w:sz w:val="24"/>
          <w:szCs w:val="24"/>
        </w:rPr>
        <w:t xml:space="preserve">1)-(6). </w:t>
      </w:r>
      <w:r w:rsidRPr="00C148FA">
        <w:rPr>
          <w:sz w:val="24"/>
          <w:szCs w:val="24"/>
        </w:rPr>
        <w:t xml:space="preserve"> </w:t>
      </w:r>
      <w:r w:rsidR="006775E3" w:rsidRPr="00C148FA">
        <w:rPr>
          <w:sz w:val="24"/>
          <w:szCs w:val="24"/>
        </w:rPr>
        <w:t xml:space="preserve">Preliminary objection practice before the Commission is similar to Pennsylvania civil practice respecting preliminary objections. </w:t>
      </w:r>
      <w:r w:rsidR="006775E3" w:rsidRPr="00C148FA">
        <w:rPr>
          <w:i/>
          <w:iCs/>
          <w:sz w:val="24"/>
          <w:szCs w:val="24"/>
        </w:rPr>
        <w:t xml:space="preserve">Equitable Small Transportation </w:t>
      </w:r>
      <w:r w:rsidR="006775E3" w:rsidRPr="00C148FA">
        <w:rPr>
          <w:i/>
          <w:iCs/>
          <w:sz w:val="24"/>
          <w:szCs w:val="24"/>
        </w:rPr>
        <w:lastRenderedPageBreak/>
        <w:t>Intervenors v. Equitable Gas Company</w:t>
      </w:r>
      <w:r w:rsidR="006775E3" w:rsidRPr="00C148FA">
        <w:rPr>
          <w:sz w:val="24"/>
          <w:szCs w:val="24"/>
        </w:rPr>
        <w:t xml:space="preserve">, 1994 Pa. PUC LEXIS 69, Docket No. </w:t>
      </w:r>
      <w:proofErr w:type="gramStart"/>
      <w:r w:rsidR="006775E3" w:rsidRPr="00C148FA">
        <w:rPr>
          <w:sz w:val="24"/>
          <w:szCs w:val="24"/>
        </w:rPr>
        <w:t>C-00935435 (July</w:t>
      </w:r>
      <w:r w:rsidR="00EA71C7">
        <w:rPr>
          <w:sz w:val="24"/>
          <w:szCs w:val="24"/>
        </w:rPr>
        <w:t> </w:t>
      </w:r>
      <w:r w:rsidR="006775E3" w:rsidRPr="00C148FA">
        <w:rPr>
          <w:sz w:val="24"/>
          <w:szCs w:val="24"/>
        </w:rPr>
        <w:t>18, 1994).</w:t>
      </w:r>
      <w:proofErr w:type="gramEnd"/>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3.</w:t>
      </w:r>
      <w:r w:rsidRPr="00C148FA">
        <w:rPr>
          <w:sz w:val="24"/>
          <w:szCs w:val="24"/>
        </w:rPr>
        <w:tab/>
      </w:r>
      <w:r w:rsidR="006775E3" w:rsidRPr="00C148FA">
        <w:rPr>
          <w:sz w:val="24"/>
          <w:szCs w:val="24"/>
        </w:rPr>
        <w:t xml:space="preserve">In deciding the preliminary objection, the Commission must determine whether, based on well-pleaded factual averments of the Petitioner, recovery or relief is possible. </w:t>
      </w:r>
      <w:proofErr w:type="gramStart"/>
      <w:r w:rsidR="006775E3" w:rsidRPr="00C148FA">
        <w:rPr>
          <w:i/>
          <w:iCs/>
          <w:sz w:val="24"/>
          <w:szCs w:val="24"/>
        </w:rPr>
        <w:t>Dept. of Auditor General, et al v. SERS, et al</w:t>
      </w:r>
      <w:r w:rsidR="006775E3" w:rsidRPr="00C148FA">
        <w:rPr>
          <w:sz w:val="24"/>
          <w:szCs w:val="24"/>
        </w:rPr>
        <w:t>., 836 A.2d 1053, 1064 (Pa. Cmwlth. 2003), 2003 Pa. Commw.</w:t>
      </w:r>
      <w:proofErr w:type="gramEnd"/>
      <w:r w:rsidR="006775E3" w:rsidRPr="00C148FA">
        <w:rPr>
          <w:sz w:val="24"/>
          <w:szCs w:val="24"/>
        </w:rPr>
        <w:t xml:space="preserve"> LEXIS 849</w:t>
      </w:r>
      <w:proofErr w:type="gramStart"/>
      <w:r w:rsidR="006775E3" w:rsidRPr="00C148FA">
        <w:rPr>
          <w:sz w:val="24"/>
          <w:szCs w:val="24"/>
        </w:rPr>
        <w:t>;</w:t>
      </w:r>
      <w:r w:rsidRPr="00C148FA">
        <w:rPr>
          <w:sz w:val="24"/>
          <w:szCs w:val="24"/>
        </w:rPr>
        <w:t xml:space="preserve"> </w:t>
      </w:r>
      <w:r w:rsidR="006775E3" w:rsidRPr="00C148FA">
        <w:rPr>
          <w:sz w:val="24"/>
          <w:szCs w:val="24"/>
        </w:rPr>
        <w:t xml:space="preserve"> </w:t>
      </w:r>
      <w:r w:rsidR="006775E3" w:rsidRPr="00C148FA">
        <w:rPr>
          <w:i/>
          <w:iCs/>
          <w:sz w:val="24"/>
          <w:szCs w:val="24"/>
        </w:rPr>
        <w:t>P.J.S</w:t>
      </w:r>
      <w:proofErr w:type="gramEnd"/>
      <w:r w:rsidR="006775E3" w:rsidRPr="00C148FA">
        <w:rPr>
          <w:i/>
          <w:iCs/>
          <w:sz w:val="24"/>
          <w:szCs w:val="24"/>
        </w:rPr>
        <w:t>. v. Pa. State Ethics Comm'n</w:t>
      </w:r>
      <w:r w:rsidR="006775E3" w:rsidRPr="00C148FA">
        <w:rPr>
          <w:sz w:val="24"/>
          <w:szCs w:val="24"/>
        </w:rPr>
        <w:t xml:space="preserve">, 669 A.2d 1105 (Pa. Cmwlth. 1996) 1996 Pa. Commw. </w:t>
      </w:r>
      <w:proofErr w:type="gramStart"/>
      <w:r w:rsidR="006775E3" w:rsidRPr="00C148FA">
        <w:rPr>
          <w:sz w:val="24"/>
          <w:szCs w:val="24"/>
        </w:rPr>
        <w:t>LEXIS 11.</w:t>
      </w:r>
      <w:proofErr w:type="gramEnd"/>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 xml:space="preserve">4. </w:t>
      </w:r>
      <w:r w:rsidRPr="00C148FA">
        <w:rPr>
          <w:sz w:val="24"/>
          <w:szCs w:val="24"/>
        </w:rPr>
        <w:tab/>
      </w:r>
      <w:r w:rsidR="006775E3" w:rsidRPr="00C148FA">
        <w:rPr>
          <w:sz w:val="24"/>
          <w:szCs w:val="24"/>
        </w:rPr>
        <w:t xml:space="preserve">Any doubt must be resolved in favor of the non-moving party by refusing to sustain the preliminary objections. </w:t>
      </w:r>
      <w:r w:rsidR="006775E3" w:rsidRPr="00C148FA">
        <w:rPr>
          <w:i/>
          <w:iCs/>
          <w:sz w:val="24"/>
          <w:szCs w:val="24"/>
        </w:rPr>
        <w:t>Boyd v. Ward</w:t>
      </w:r>
      <w:r w:rsidR="006775E3" w:rsidRPr="00C148FA">
        <w:rPr>
          <w:sz w:val="24"/>
          <w:szCs w:val="24"/>
        </w:rPr>
        <w:t xml:space="preserve">, 802 A.2d 705 (Pa.Cmwlth. 2002) 2002 Pa. Commw. </w:t>
      </w:r>
      <w:proofErr w:type="gramStart"/>
      <w:r w:rsidR="006775E3" w:rsidRPr="00C148FA">
        <w:rPr>
          <w:sz w:val="24"/>
          <w:szCs w:val="24"/>
        </w:rPr>
        <w:t>LEXIS 580.</w:t>
      </w:r>
      <w:proofErr w:type="gramEnd"/>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 xml:space="preserve">5. </w:t>
      </w:r>
      <w:r w:rsidRPr="00C148FA">
        <w:rPr>
          <w:sz w:val="24"/>
          <w:szCs w:val="24"/>
        </w:rPr>
        <w:tab/>
      </w:r>
      <w:r w:rsidR="006775E3" w:rsidRPr="00C148FA">
        <w:rPr>
          <w:sz w:val="24"/>
          <w:szCs w:val="24"/>
        </w:rPr>
        <w:t>All of the non-moving party's averments in the complaint must be viewed as true for purposes of deciding the preliminary objections, and only those facts specifically admitted may be considered against the non-moving party.</w:t>
      </w:r>
      <w:r w:rsidR="00603A26" w:rsidRPr="00C148FA">
        <w:rPr>
          <w:sz w:val="24"/>
          <w:szCs w:val="24"/>
        </w:rPr>
        <w:t xml:space="preserve"> </w:t>
      </w:r>
      <w:r w:rsidR="006775E3" w:rsidRPr="00C148FA">
        <w:rPr>
          <w:sz w:val="24"/>
          <w:szCs w:val="24"/>
        </w:rPr>
        <w:t xml:space="preserve"> </w:t>
      </w:r>
      <w:proofErr w:type="gramStart"/>
      <w:r w:rsidR="006775E3" w:rsidRPr="00C148FA">
        <w:rPr>
          <w:i/>
          <w:iCs/>
          <w:sz w:val="24"/>
          <w:szCs w:val="24"/>
        </w:rPr>
        <w:t>Ridge v. State Employees' Retirement</w:t>
      </w:r>
      <w:r w:rsidR="006775E3" w:rsidRPr="00C148FA">
        <w:rPr>
          <w:sz w:val="24"/>
          <w:szCs w:val="24"/>
        </w:rPr>
        <w:t xml:space="preserve"> </w:t>
      </w:r>
      <w:r w:rsidR="006775E3" w:rsidRPr="00CF279F">
        <w:rPr>
          <w:i/>
          <w:sz w:val="24"/>
          <w:szCs w:val="24"/>
        </w:rPr>
        <w:t>Board</w:t>
      </w:r>
      <w:r w:rsidR="006775E3" w:rsidRPr="00C148FA">
        <w:rPr>
          <w:sz w:val="24"/>
          <w:szCs w:val="24"/>
        </w:rPr>
        <w:t>, 690 A.2d 1312 (Pa. Cmwlth. 1997) 1997 Pa. Commw.</w:t>
      </w:r>
      <w:proofErr w:type="gramEnd"/>
      <w:r w:rsidR="006775E3" w:rsidRPr="00C148FA">
        <w:rPr>
          <w:sz w:val="24"/>
          <w:szCs w:val="24"/>
        </w:rPr>
        <w:t xml:space="preserve"> </w:t>
      </w:r>
      <w:proofErr w:type="gramStart"/>
      <w:r w:rsidR="006775E3" w:rsidRPr="00C148FA">
        <w:rPr>
          <w:sz w:val="24"/>
          <w:szCs w:val="24"/>
        </w:rPr>
        <w:t>LEXIS 148.</w:t>
      </w:r>
      <w:proofErr w:type="gramEnd"/>
      <w:r w:rsidR="006775E3" w:rsidRPr="00C148FA">
        <w:rPr>
          <w:sz w:val="24"/>
          <w:szCs w:val="24"/>
        </w:rPr>
        <w:br/>
      </w:r>
      <w:r w:rsidR="006775E3" w:rsidRPr="00C148FA">
        <w:rPr>
          <w:sz w:val="24"/>
          <w:szCs w:val="24"/>
        </w:rPr>
        <w:br/>
      </w:r>
      <w:r w:rsidRPr="00C148FA">
        <w:rPr>
          <w:sz w:val="24"/>
          <w:szCs w:val="24"/>
        </w:rPr>
        <w:tab/>
      </w:r>
      <w:r w:rsidRPr="00C148FA">
        <w:rPr>
          <w:sz w:val="24"/>
          <w:szCs w:val="24"/>
        </w:rPr>
        <w:tab/>
      </w:r>
      <w:r w:rsidR="006775E3" w:rsidRPr="00C148FA">
        <w:rPr>
          <w:sz w:val="24"/>
          <w:szCs w:val="24"/>
        </w:rPr>
        <w:t xml:space="preserve">6. </w:t>
      </w:r>
      <w:r w:rsidRPr="00C148FA">
        <w:rPr>
          <w:sz w:val="24"/>
          <w:szCs w:val="24"/>
        </w:rPr>
        <w:tab/>
      </w:r>
      <w:r w:rsidR="006775E3" w:rsidRPr="00C148FA">
        <w:rPr>
          <w:sz w:val="24"/>
          <w:szCs w:val="24"/>
        </w:rPr>
        <w:t>Preliminary objections can be granted only if recovery or relief is not possible after all of the Complainants' averments in the complaint are viewed as true for purposes of deciding the preliminary objections, using only those facts specifically admitted.</w:t>
      </w:r>
    </w:p>
    <w:p w:rsidR="007F78B6" w:rsidRPr="00C148FA" w:rsidRDefault="007F78B6" w:rsidP="00C148FA">
      <w:pPr>
        <w:spacing w:line="360" w:lineRule="auto"/>
        <w:rPr>
          <w:sz w:val="24"/>
          <w:szCs w:val="24"/>
        </w:rPr>
      </w:pPr>
    </w:p>
    <w:p w:rsidR="002647AA" w:rsidRPr="00C148FA" w:rsidRDefault="007F78B6" w:rsidP="00C148FA">
      <w:pPr>
        <w:spacing w:line="360" w:lineRule="auto"/>
        <w:rPr>
          <w:sz w:val="24"/>
          <w:szCs w:val="24"/>
        </w:rPr>
      </w:pPr>
      <w:r w:rsidRPr="00C148FA">
        <w:rPr>
          <w:sz w:val="24"/>
          <w:szCs w:val="24"/>
        </w:rPr>
        <w:tab/>
      </w:r>
      <w:r w:rsidRPr="00C148FA">
        <w:rPr>
          <w:sz w:val="24"/>
          <w:szCs w:val="24"/>
        </w:rPr>
        <w:tab/>
        <w:t>7.</w:t>
      </w:r>
      <w:r w:rsidRPr="00C148FA">
        <w:rPr>
          <w:sz w:val="24"/>
          <w:szCs w:val="24"/>
        </w:rPr>
        <w:tab/>
      </w:r>
      <w:r w:rsidR="006775E3" w:rsidRPr="00C148FA">
        <w:rPr>
          <w:sz w:val="24"/>
          <w:szCs w:val="24"/>
        </w:rPr>
        <w:t>The Complaint allege</w:t>
      </w:r>
      <w:r w:rsidR="00B464EE">
        <w:rPr>
          <w:sz w:val="24"/>
          <w:szCs w:val="24"/>
        </w:rPr>
        <w:t>s</w:t>
      </w:r>
      <w:r w:rsidR="006775E3" w:rsidRPr="00C148FA">
        <w:rPr>
          <w:sz w:val="24"/>
          <w:szCs w:val="24"/>
        </w:rPr>
        <w:t xml:space="preserve"> a ut</w:t>
      </w:r>
      <w:r w:rsidR="00EA71C7">
        <w:rPr>
          <w:sz w:val="24"/>
          <w:szCs w:val="24"/>
        </w:rPr>
        <w:t xml:space="preserve">ility violation of a </w:t>
      </w:r>
      <w:proofErr w:type="spellStart"/>
      <w:r w:rsidR="00EA71C7">
        <w:rPr>
          <w:sz w:val="24"/>
          <w:szCs w:val="24"/>
        </w:rPr>
        <w:t>Commission</w:t>
      </w:r>
      <w:r w:rsidR="00EA71C7">
        <w:rPr>
          <w:sz w:val="24"/>
          <w:szCs w:val="24"/>
        </w:rPr>
        <w:noBreakHyphen/>
      </w:r>
      <w:r w:rsidR="006775E3" w:rsidRPr="00C148FA">
        <w:rPr>
          <w:sz w:val="24"/>
          <w:szCs w:val="24"/>
        </w:rPr>
        <w:t>administered</w:t>
      </w:r>
      <w:proofErr w:type="spellEnd"/>
      <w:r w:rsidR="006775E3" w:rsidRPr="00C148FA">
        <w:rPr>
          <w:sz w:val="24"/>
          <w:szCs w:val="24"/>
        </w:rPr>
        <w:t xml:space="preserve"> statute, regulation or order; therefore, there is</w:t>
      </w:r>
      <w:r w:rsidR="00B464EE">
        <w:rPr>
          <w:sz w:val="24"/>
          <w:szCs w:val="24"/>
        </w:rPr>
        <w:t>, potentially, a reme</w:t>
      </w:r>
      <w:r w:rsidR="006775E3" w:rsidRPr="00C148FA">
        <w:rPr>
          <w:sz w:val="24"/>
          <w:szCs w:val="24"/>
        </w:rPr>
        <w:t>dy available from the Commission.</w:t>
      </w:r>
      <w:r w:rsidR="00B464EE">
        <w:rPr>
          <w:sz w:val="24"/>
          <w:szCs w:val="24"/>
        </w:rPr>
        <w:t xml:space="preserve">  </w:t>
      </w:r>
      <w:proofErr w:type="gramStart"/>
      <w:r w:rsidR="00B464EE">
        <w:rPr>
          <w:sz w:val="24"/>
          <w:szCs w:val="24"/>
        </w:rPr>
        <w:t>66 Pa. C.S. § 1501.</w:t>
      </w:r>
      <w:proofErr w:type="gramEnd"/>
    </w:p>
    <w:p w:rsidR="002647AA" w:rsidRDefault="002647AA" w:rsidP="00C148FA">
      <w:pPr>
        <w:spacing w:line="360" w:lineRule="auto"/>
        <w:rPr>
          <w:sz w:val="24"/>
          <w:szCs w:val="24"/>
        </w:rPr>
      </w:pPr>
    </w:p>
    <w:p w:rsidR="00A143D9" w:rsidRDefault="00A143D9" w:rsidP="00C148FA">
      <w:pPr>
        <w:spacing w:line="360" w:lineRule="auto"/>
        <w:rPr>
          <w:sz w:val="24"/>
          <w:szCs w:val="24"/>
        </w:rPr>
      </w:pPr>
    </w:p>
    <w:p w:rsidR="00A143D9" w:rsidRDefault="00A143D9" w:rsidP="00C148FA">
      <w:pPr>
        <w:spacing w:line="360" w:lineRule="auto"/>
        <w:rPr>
          <w:sz w:val="24"/>
          <w:szCs w:val="24"/>
        </w:rPr>
      </w:pPr>
    </w:p>
    <w:p w:rsidR="00A143D9" w:rsidRDefault="00A143D9" w:rsidP="00C148FA">
      <w:pPr>
        <w:spacing w:line="360" w:lineRule="auto"/>
        <w:rPr>
          <w:sz w:val="24"/>
          <w:szCs w:val="24"/>
        </w:rPr>
      </w:pPr>
    </w:p>
    <w:p w:rsidR="00A143D9" w:rsidRDefault="00A143D9" w:rsidP="00C148FA">
      <w:pPr>
        <w:spacing w:line="360" w:lineRule="auto"/>
        <w:rPr>
          <w:sz w:val="24"/>
          <w:szCs w:val="24"/>
        </w:rPr>
      </w:pPr>
    </w:p>
    <w:p w:rsidR="00A143D9" w:rsidRPr="00C148FA" w:rsidRDefault="00A143D9" w:rsidP="00C148FA">
      <w:pPr>
        <w:spacing w:line="360" w:lineRule="auto"/>
        <w:rPr>
          <w:sz w:val="24"/>
          <w:szCs w:val="24"/>
        </w:rPr>
      </w:pPr>
    </w:p>
    <w:p w:rsidR="002647AA" w:rsidRPr="00C148FA" w:rsidRDefault="00493D39" w:rsidP="00C148FA">
      <w:pPr>
        <w:spacing w:line="360" w:lineRule="auto"/>
        <w:jc w:val="center"/>
        <w:rPr>
          <w:sz w:val="24"/>
          <w:szCs w:val="24"/>
        </w:rPr>
      </w:pPr>
      <w:r w:rsidRPr="00C148FA">
        <w:rPr>
          <w:sz w:val="24"/>
          <w:szCs w:val="24"/>
          <w:u w:val="single"/>
        </w:rPr>
        <w:lastRenderedPageBreak/>
        <w:t>ORDER</w:t>
      </w:r>
    </w:p>
    <w:p w:rsidR="00493D39" w:rsidRDefault="00493D39" w:rsidP="00C148FA">
      <w:pPr>
        <w:spacing w:line="360" w:lineRule="auto"/>
        <w:jc w:val="center"/>
        <w:rPr>
          <w:sz w:val="24"/>
          <w:szCs w:val="24"/>
        </w:rPr>
      </w:pPr>
    </w:p>
    <w:p w:rsidR="00493D39" w:rsidRPr="00C148FA" w:rsidRDefault="00493D39" w:rsidP="00C148FA">
      <w:pPr>
        <w:spacing w:line="360" w:lineRule="auto"/>
        <w:rPr>
          <w:sz w:val="24"/>
          <w:szCs w:val="24"/>
        </w:rPr>
      </w:pPr>
      <w:r w:rsidRPr="00C148FA">
        <w:rPr>
          <w:sz w:val="24"/>
          <w:szCs w:val="24"/>
        </w:rPr>
        <w:tab/>
      </w:r>
      <w:r w:rsidRPr="00C148FA">
        <w:rPr>
          <w:sz w:val="24"/>
          <w:szCs w:val="24"/>
        </w:rPr>
        <w:tab/>
        <w:t>THEREFORE</w:t>
      </w:r>
    </w:p>
    <w:p w:rsidR="00493D39" w:rsidRPr="00C148FA" w:rsidRDefault="00493D39" w:rsidP="00C148FA">
      <w:pPr>
        <w:spacing w:line="360" w:lineRule="auto"/>
        <w:rPr>
          <w:sz w:val="24"/>
          <w:szCs w:val="24"/>
        </w:rPr>
      </w:pPr>
    </w:p>
    <w:p w:rsidR="00493D39" w:rsidRPr="00C148FA" w:rsidRDefault="00493D39" w:rsidP="00C148FA">
      <w:pPr>
        <w:spacing w:line="360" w:lineRule="auto"/>
        <w:rPr>
          <w:sz w:val="24"/>
          <w:szCs w:val="24"/>
        </w:rPr>
      </w:pPr>
      <w:r w:rsidRPr="00C148FA">
        <w:rPr>
          <w:sz w:val="24"/>
          <w:szCs w:val="24"/>
        </w:rPr>
        <w:tab/>
      </w:r>
      <w:r w:rsidRPr="00C148FA">
        <w:rPr>
          <w:sz w:val="24"/>
          <w:szCs w:val="24"/>
        </w:rPr>
        <w:tab/>
        <w:t>IT IS ORDERED:</w:t>
      </w:r>
    </w:p>
    <w:p w:rsidR="00EA71C7" w:rsidRPr="00C148FA" w:rsidRDefault="006775E3" w:rsidP="00C148FA">
      <w:pPr>
        <w:spacing w:line="360" w:lineRule="auto"/>
        <w:rPr>
          <w:sz w:val="24"/>
          <w:szCs w:val="24"/>
        </w:rPr>
      </w:pPr>
      <w:r w:rsidRPr="00C148FA">
        <w:rPr>
          <w:sz w:val="24"/>
          <w:szCs w:val="24"/>
        </w:rPr>
        <w:br/>
      </w:r>
      <w:r w:rsidR="00493D39" w:rsidRPr="00C148FA">
        <w:rPr>
          <w:sz w:val="24"/>
          <w:szCs w:val="24"/>
        </w:rPr>
        <w:tab/>
      </w:r>
      <w:r w:rsidR="00493D39" w:rsidRPr="00C148FA">
        <w:rPr>
          <w:sz w:val="24"/>
          <w:szCs w:val="24"/>
        </w:rPr>
        <w:tab/>
      </w:r>
      <w:r w:rsidRPr="00C148FA">
        <w:rPr>
          <w:sz w:val="24"/>
          <w:szCs w:val="24"/>
        </w:rPr>
        <w:t xml:space="preserve">1. </w:t>
      </w:r>
      <w:r w:rsidR="00493D39" w:rsidRPr="00C148FA">
        <w:rPr>
          <w:sz w:val="24"/>
          <w:szCs w:val="24"/>
        </w:rPr>
        <w:tab/>
      </w:r>
      <w:r w:rsidRPr="00C148FA">
        <w:rPr>
          <w:sz w:val="24"/>
          <w:szCs w:val="24"/>
        </w:rPr>
        <w:t xml:space="preserve">That the Preliminary Objection filed by PECO Energy Company in the case captioned </w:t>
      </w:r>
      <w:r w:rsidR="00493D39" w:rsidRPr="00C148FA">
        <w:rPr>
          <w:i/>
          <w:sz w:val="24"/>
          <w:szCs w:val="24"/>
        </w:rPr>
        <w:t>Diana &amp; Phillip McKee</w:t>
      </w:r>
      <w:r w:rsidR="00493D39" w:rsidRPr="00C148FA">
        <w:rPr>
          <w:sz w:val="24"/>
          <w:szCs w:val="24"/>
        </w:rPr>
        <w:t xml:space="preserve"> </w:t>
      </w:r>
      <w:r w:rsidRPr="00C148FA">
        <w:rPr>
          <w:i/>
          <w:iCs/>
          <w:sz w:val="24"/>
          <w:szCs w:val="24"/>
        </w:rPr>
        <w:t>v. PECO Energy Company</w:t>
      </w:r>
      <w:r w:rsidR="00EA71C7">
        <w:rPr>
          <w:sz w:val="24"/>
          <w:szCs w:val="24"/>
        </w:rPr>
        <w:t xml:space="preserve"> at PUC Docket No. F</w:t>
      </w:r>
      <w:r w:rsidR="00EA71C7">
        <w:rPr>
          <w:sz w:val="24"/>
          <w:szCs w:val="24"/>
        </w:rPr>
        <w:noBreakHyphen/>
      </w:r>
      <w:r w:rsidRPr="00C148FA">
        <w:rPr>
          <w:sz w:val="24"/>
          <w:szCs w:val="24"/>
        </w:rPr>
        <w:t>20</w:t>
      </w:r>
      <w:r w:rsidR="00493D39" w:rsidRPr="00C148FA">
        <w:rPr>
          <w:sz w:val="24"/>
          <w:szCs w:val="24"/>
        </w:rPr>
        <w:t>1</w:t>
      </w:r>
      <w:r w:rsidR="00EA71C7">
        <w:rPr>
          <w:sz w:val="24"/>
          <w:szCs w:val="24"/>
        </w:rPr>
        <w:t>0</w:t>
      </w:r>
      <w:r w:rsidR="00EA71C7">
        <w:rPr>
          <w:sz w:val="24"/>
          <w:szCs w:val="24"/>
        </w:rPr>
        <w:noBreakHyphen/>
      </w:r>
      <w:r w:rsidR="00493D39" w:rsidRPr="00C148FA">
        <w:rPr>
          <w:sz w:val="24"/>
          <w:szCs w:val="24"/>
        </w:rPr>
        <w:t>2213216</w:t>
      </w:r>
      <w:r w:rsidRPr="00C148FA">
        <w:rPr>
          <w:sz w:val="24"/>
          <w:szCs w:val="24"/>
        </w:rPr>
        <w:t xml:space="preserve"> </w:t>
      </w:r>
      <w:r w:rsidR="00A143D9">
        <w:rPr>
          <w:sz w:val="24"/>
          <w:szCs w:val="24"/>
        </w:rPr>
        <w:t>is</w:t>
      </w:r>
      <w:r w:rsidRPr="00C148FA">
        <w:rPr>
          <w:sz w:val="24"/>
          <w:szCs w:val="24"/>
        </w:rPr>
        <w:t xml:space="preserve"> </w:t>
      </w:r>
      <w:r w:rsidR="00B464EE">
        <w:rPr>
          <w:sz w:val="24"/>
          <w:szCs w:val="24"/>
        </w:rPr>
        <w:t>denied</w:t>
      </w:r>
      <w:r w:rsidRPr="00C148FA">
        <w:rPr>
          <w:sz w:val="24"/>
          <w:szCs w:val="24"/>
        </w:rPr>
        <w:t>.</w:t>
      </w:r>
      <w:r w:rsidRPr="00C148FA">
        <w:rPr>
          <w:sz w:val="24"/>
          <w:szCs w:val="24"/>
        </w:rPr>
        <w:br/>
      </w:r>
      <w:r w:rsidRPr="00C148FA">
        <w:rPr>
          <w:sz w:val="24"/>
          <w:szCs w:val="24"/>
        </w:rPr>
        <w:br/>
      </w:r>
      <w:r w:rsidR="00493D39" w:rsidRPr="00C148FA">
        <w:rPr>
          <w:sz w:val="24"/>
          <w:szCs w:val="24"/>
        </w:rPr>
        <w:tab/>
      </w:r>
      <w:r w:rsidR="00493D39" w:rsidRPr="00C148FA">
        <w:rPr>
          <w:sz w:val="24"/>
          <w:szCs w:val="24"/>
        </w:rPr>
        <w:tab/>
      </w:r>
      <w:r w:rsidRPr="00C148FA">
        <w:rPr>
          <w:sz w:val="24"/>
          <w:szCs w:val="24"/>
        </w:rPr>
        <w:t xml:space="preserve">2. </w:t>
      </w:r>
      <w:r w:rsidR="00493D39" w:rsidRPr="00C148FA">
        <w:rPr>
          <w:sz w:val="24"/>
          <w:szCs w:val="24"/>
        </w:rPr>
        <w:tab/>
      </w:r>
      <w:r w:rsidRPr="00C148FA">
        <w:rPr>
          <w:sz w:val="24"/>
          <w:szCs w:val="24"/>
        </w:rPr>
        <w:t xml:space="preserve">That the Complaint filed in the case captioned </w:t>
      </w:r>
      <w:r w:rsidR="00493D39" w:rsidRPr="00C148FA">
        <w:rPr>
          <w:i/>
          <w:sz w:val="24"/>
          <w:szCs w:val="24"/>
        </w:rPr>
        <w:t>Diana &amp; Phillip McKee</w:t>
      </w:r>
      <w:r w:rsidR="00493D39" w:rsidRPr="00C148FA">
        <w:rPr>
          <w:sz w:val="24"/>
          <w:szCs w:val="24"/>
        </w:rPr>
        <w:t xml:space="preserve"> </w:t>
      </w:r>
      <w:r w:rsidR="00493D39" w:rsidRPr="00C148FA">
        <w:rPr>
          <w:i/>
          <w:iCs/>
          <w:sz w:val="24"/>
          <w:szCs w:val="24"/>
        </w:rPr>
        <w:t>v. PECO Energy Company</w:t>
      </w:r>
      <w:r w:rsidR="00493D39" w:rsidRPr="00C148FA">
        <w:rPr>
          <w:sz w:val="24"/>
          <w:szCs w:val="24"/>
        </w:rPr>
        <w:t xml:space="preserve"> at PUC Docket No. F-2010-2213216</w:t>
      </w:r>
      <w:r w:rsidRPr="00C148FA">
        <w:rPr>
          <w:sz w:val="24"/>
          <w:szCs w:val="24"/>
        </w:rPr>
        <w:t xml:space="preserve"> </w:t>
      </w:r>
      <w:r w:rsidR="00B464EE">
        <w:rPr>
          <w:sz w:val="24"/>
          <w:szCs w:val="24"/>
        </w:rPr>
        <w:t>shall be set for hearing</w:t>
      </w:r>
      <w:r w:rsidRPr="00C148FA">
        <w:rPr>
          <w:sz w:val="24"/>
          <w:szCs w:val="24"/>
        </w:rPr>
        <w:t>.</w:t>
      </w:r>
      <w:r w:rsidRPr="00C148FA">
        <w:rPr>
          <w:sz w:val="24"/>
          <w:szCs w:val="24"/>
        </w:rPr>
        <w:br/>
      </w:r>
      <w:r w:rsidRPr="00C148FA">
        <w:rPr>
          <w:sz w:val="24"/>
          <w:szCs w:val="24"/>
        </w:rPr>
        <w:br/>
      </w:r>
      <w:r w:rsidR="00493D39" w:rsidRPr="00C148FA">
        <w:rPr>
          <w:sz w:val="24"/>
          <w:szCs w:val="24"/>
        </w:rPr>
        <w:tab/>
      </w:r>
      <w:r w:rsidR="00493D39" w:rsidRPr="00C148FA">
        <w:rPr>
          <w:sz w:val="24"/>
          <w:szCs w:val="24"/>
        </w:rPr>
        <w:tab/>
      </w:r>
    </w:p>
    <w:p w:rsidR="00DD3605" w:rsidRPr="00C148FA" w:rsidRDefault="00DD3605" w:rsidP="00C148FA">
      <w:pPr>
        <w:rPr>
          <w:sz w:val="24"/>
          <w:szCs w:val="24"/>
        </w:rPr>
      </w:pPr>
      <w:r w:rsidRPr="00C148FA">
        <w:rPr>
          <w:sz w:val="24"/>
          <w:szCs w:val="24"/>
        </w:rPr>
        <w:t>Date:</w:t>
      </w:r>
      <w:r w:rsidRPr="00C148FA">
        <w:rPr>
          <w:sz w:val="24"/>
          <w:szCs w:val="24"/>
        </w:rPr>
        <w:tab/>
      </w:r>
      <w:r w:rsidR="002C539B" w:rsidRPr="00C148FA">
        <w:rPr>
          <w:sz w:val="24"/>
          <w:szCs w:val="24"/>
          <w:u w:val="single"/>
        </w:rPr>
        <w:t>March 1</w:t>
      </w:r>
      <w:r w:rsidR="00B464EE">
        <w:rPr>
          <w:sz w:val="24"/>
          <w:szCs w:val="24"/>
          <w:u w:val="single"/>
        </w:rPr>
        <w:t>5</w:t>
      </w:r>
      <w:r w:rsidR="002C539B" w:rsidRPr="00C148FA">
        <w:rPr>
          <w:sz w:val="24"/>
          <w:szCs w:val="24"/>
          <w:u w:val="single"/>
        </w:rPr>
        <w:t>, 2011</w:t>
      </w:r>
      <w:r w:rsidRPr="00C148FA">
        <w:rPr>
          <w:sz w:val="24"/>
          <w:szCs w:val="24"/>
        </w:rPr>
        <w:tab/>
      </w:r>
      <w:r w:rsidRPr="00C148FA">
        <w:rPr>
          <w:sz w:val="24"/>
          <w:szCs w:val="24"/>
        </w:rPr>
        <w:tab/>
      </w:r>
      <w:r w:rsidRPr="00C148FA">
        <w:rPr>
          <w:sz w:val="24"/>
          <w:szCs w:val="24"/>
        </w:rPr>
        <w:tab/>
      </w:r>
      <w:r w:rsidRPr="00C148FA">
        <w:rPr>
          <w:sz w:val="24"/>
          <w:szCs w:val="24"/>
        </w:rPr>
        <w:tab/>
        <w:t>______________________________</w:t>
      </w:r>
    </w:p>
    <w:p w:rsidR="00DD3605" w:rsidRPr="00C148FA" w:rsidRDefault="00DD3605" w:rsidP="00C148FA">
      <w:pPr>
        <w:rPr>
          <w:sz w:val="24"/>
          <w:szCs w:val="24"/>
        </w:rPr>
      </w:pP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t>Dennis J. Buckley</w:t>
      </w:r>
    </w:p>
    <w:p w:rsidR="00E9099D" w:rsidRDefault="00DD3605" w:rsidP="00C148FA">
      <w:pPr>
        <w:ind w:hanging="720"/>
        <w:rPr>
          <w:sz w:val="24"/>
          <w:szCs w:val="24"/>
        </w:rPr>
        <w:sectPr w:rsidR="00E9099D" w:rsidSect="00C72CBB">
          <w:footerReference w:type="default" r:id="rId7"/>
          <w:pgSz w:w="12240" w:h="15840"/>
          <w:pgMar w:top="1440" w:right="1440" w:bottom="1440" w:left="1440" w:header="720" w:footer="720" w:gutter="0"/>
          <w:cols w:space="720"/>
          <w:titlePg/>
          <w:docGrid w:linePitch="360"/>
        </w:sectPr>
      </w:pP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Pr="00C148FA">
        <w:rPr>
          <w:sz w:val="24"/>
          <w:szCs w:val="24"/>
        </w:rPr>
        <w:tab/>
      </w:r>
      <w:r w:rsidR="00E45B3C" w:rsidRPr="00C148FA">
        <w:rPr>
          <w:sz w:val="24"/>
          <w:szCs w:val="24"/>
        </w:rPr>
        <w:tab/>
      </w:r>
      <w:r w:rsidRPr="00C148FA">
        <w:rPr>
          <w:sz w:val="24"/>
          <w:szCs w:val="24"/>
        </w:rPr>
        <w:t>Administrative Law Judge</w:t>
      </w:r>
    </w:p>
    <w:p w:rsidR="00E9099D" w:rsidRDefault="00E9099D" w:rsidP="00E9099D">
      <w:r>
        <w:rPr>
          <w:rFonts w:ascii="Microsoft Sans Serif"/>
          <w:b/>
          <w:sz w:val="24"/>
          <w:u w:val="single"/>
        </w:rPr>
        <w:lastRenderedPageBreak/>
        <w:t>F-2010-2213216 - DIANA &amp; PHILLIP MCKEE v. PECO ENERGY CO</w:t>
      </w:r>
      <w:r>
        <w:rPr>
          <w:rFonts w:ascii="Microsoft Sans Serif"/>
          <w:b/>
          <w:sz w:val="24"/>
          <w:u w:val="single"/>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Pr>
          <w:rFonts w:ascii="Microsoft Sans Serif"/>
          <w:sz w:val="24"/>
        </w:rPr>
        <w:cr/>
        <w:t>DIANA &amp; PHILLIP MCKEE</w:t>
      </w:r>
      <w:r>
        <w:rPr>
          <w:rFonts w:ascii="Microsoft Sans Serif"/>
          <w:sz w:val="24"/>
        </w:rPr>
        <w:cr/>
        <w:t>1821 ERKIOMENVILLE ROAD</w:t>
      </w:r>
      <w:r>
        <w:rPr>
          <w:rFonts w:ascii="Microsoft Sans Serif"/>
          <w:sz w:val="24"/>
        </w:rPr>
        <w:cr/>
        <w:t>PERKIOMENVILLE, PA 18074</w:t>
      </w:r>
      <w:r>
        <w:rPr>
          <w:rFonts w:ascii="Microsoft Sans Serif"/>
          <w:sz w:val="24"/>
        </w:rPr>
        <w:cr/>
        <w:t>215-234-0377</w:t>
      </w:r>
      <w:r>
        <w:rPr>
          <w:rFonts w:ascii="Microsoft Sans Serif"/>
          <w:sz w:val="24"/>
        </w:rPr>
        <w:cr/>
      </w:r>
    </w:p>
    <w:p w:rsidR="00E9099D" w:rsidRDefault="00E9099D" w:rsidP="00E9099D"/>
    <w:p w:rsidR="00DC7E1B" w:rsidRPr="00C148FA" w:rsidRDefault="00DC7E1B" w:rsidP="00C148FA">
      <w:pPr>
        <w:ind w:hanging="720"/>
        <w:rPr>
          <w:sz w:val="24"/>
          <w:szCs w:val="24"/>
        </w:rPr>
      </w:pPr>
    </w:p>
    <w:sectPr w:rsidR="00DC7E1B" w:rsidRPr="00C148FA" w:rsidSect="00C65C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8A0" w:rsidRDefault="006378A0" w:rsidP="007237C5">
      <w:r>
        <w:separator/>
      </w:r>
    </w:p>
  </w:endnote>
  <w:endnote w:type="continuationSeparator" w:id="0">
    <w:p w:rsidR="006378A0" w:rsidRDefault="006378A0"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C0130C" w:rsidRDefault="00FF105E">
        <w:pPr>
          <w:pStyle w:val="Footer"/>
          <w:jc w:val="center"/>
        </w:pPr>
        <w:r w:rsidRPr="00C72CBB">
          <w:rPr>
            <w:sz w:val="20"/>
            <w:szCs w:val="20"/>
          </w:rPr>
          <w:fldChar w:fldCharType="begin"/>
        </w:r>
        <w:r w:rsidR="00C0130C" w:rsidRPr="00C72CBB">
          <w:rPr>
            <w:sz w:val="20"/>
            <w:szCs w:val="20"/>
          </w:rPr>
          <w:instrText xml:space="preserve"> PAGE   \* MERGEFORMAT </w:instrText>
        </w:r>
        <w:r w:rsidRPr="00C72CBB">
          <w:rPr>
            <w:sz w:val="20"/>
            <w:szCs w:val="20"/>
          </w:rPr>
          <w:fldChar w:fldCharType="separate"/>
        </w:r>
        <w:r w:rsidR="00E9099D">
          <w:rPr>
            <w:noProof/>
            <w:sz w:val="20"/>
            <w:szCs w:val="20"/>
          </w:rPr>
          <w:t>2</w:t>
        </w:r>
        <w:r w:rsidRPr="00C72CBB">
          <w:rPr>
            <w:sz w:val="20"/>
            <w:szCs w:val="20"/>
          </w:rPr>
          <w:fldChar w:fldCharType="end"/>
        </w:r>
      </w:p>
    </w:sdtContent>
  </w:sdt>
  <w:p w:rsidR="00C0130C" w:rsidRDefault="00C01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8A0" w:rsidRDefault="006378A0" w:rsidP="007237C5">
      <w:r>
        <w:separator/>
      </w:r>
    </w:p>
  </w:footnote>
  <w:footnote w:type="continuationSeparator" w:id="0">
    <w:p w:rsidR="006378A0" w:rsidRDefault="006378A0" w:rsidP="007237C5">
      <w:r>
        <w:continuationSeparator/>
      </w:r>
    </w:p>
  </w:footnote>
  <w:footnote w:id="1">
    <w:p w:rsidR="00C0130C" w:rsidRPr="00B50633" w:rsidRDefault="00C0130C">
      <w:pPr>
        <w:pStyle w:val="FootnoteText"/>
      </w:pPr>
      <w:r w:rsidRPr="00B50633">
        <w:rPr>
          <w:rStyle w:val="FootnoteReference"/>
        </w:rPr>
        <w:footnoteRef/>
      </w:r>
      <w:r w:rsidRPr="00B50633">
        <w:t xml:space="preserve"> </w:t>
      </w:r>
      <w:r w:rsidRPr="00B50633">
        <w:tab/>
        <w:t>It is unclear on the face of the record whether the Complainants are joint owners of the rental property in question.  The disputed bill is in the name of Complainant Diana McKee.  As the McKees filed a joint Complaint and the allegations therein use the plural form, the plural form “Complainants” will be used herein.</w:t>
      </w:r>
    </w:p>
  </w:footnote>
  <w:footnote w:id="2">
    <w:p w:rsidR="00C0130C" w:rsidRPr="00B50633" w:rsidRDefault="00C0130C">
      <w:pPr>
        <w:pStyle w:val="FootnoteText"/>
      </w:pPr>
      <w:r w:rsidRPr="00B50633">
        <w:rPr>
          <w:rStyle w:val="FootnoteReference"/>
        </w:rPr>
        <w:footnoteRef/>
      </w:r>
      <w:r w:rsidRPr="00B50633">
        <w:t xml:space="preserve"> </w:t>
      </w:r>
      <w:r w:rsidRPr="00B50633">
        <w:tab/>
        <w:t xml:space="preserve">According to the Commission's regulations, 52 Pa. Code 5.63(b), failure to file a timely reply to new matter may be deemed in default, and relevant facts stated in the new matter may be </w:t>
      </w:r>
      <w:r w:rsidRPr="00B50633">
        <w:rPr>
          <w:bCs/>
        </w:rPr>
        <w:t>deemed to be admitted.</w:t>
      </w:r>
    </w:p>
  </w:footnote>
  <w:footnote w:id="3">
    <w:p w:rsidR="00C0130C" w:rsidRPr="00B50633" w:rsidRDefault="00C0130C">
      <w:pPr>
        <w:pStyle w:val="FootnoteText"/>
      </w:pPr>
      <w:r w:rsidRPr="00B50633">
        <w:rPr>
          <w:rStyle w:val="FootnoteReference"/>
        </w:rPr>
        <w:footnoteRef/>
      </w:r>
      <w:r w:rsidRPr="00B50633">
        <w:t xml:space="preserve"> </w:t>
      </w:r>
      <w:r w:rsidRPr="00B50633">
        <w:tab/>
        <w:t>In PECO’s New Matter, Paragraphs 6 through 13 are missing.  Given the flow of the text, this appears to be a numbering error rather than the deletion of text.  For the sake of clarity, I am maintaining the actual paragraph numbering used in the New Matter as opposed to correcting the numbering.</w:t>
      </w:r>
    </w:p>
  </w:footnote>
  <w:footnote w:id="4">
    <w:p w:rsidR="00C0130C" w:rsidRDefault="00C0130C">
      <w:pPr>
        <w:pStyle w:val="FootnoteText"/>
      </w:pPr>
      <w:r w:rsidRPr="00E17435">
        <w:rPr>
          <w:rStyle w:val="FootnoteReference"/>
        </w:rPr>
        <w:footnoteRef/>
      </w:r>
      <w:r w:rsidRPr="00E17435">
        <w:t xml:space="preserve"> </w:t>
      </w:r>
      <w:r w:rsidRPr="00E17435">
        <w:tab/>
        <w:t xml:space="preserve">In fact, the Commission has jurisdiction over the billing of an electric distribution company to a landlord when foreign load is discovered.  </w:t>
      </w:r>
      <w:proofErr w:type="gramStart"/>
      <w:r w:rsidRPr="00E17435">
        <w:t xml:space="preserve">66 Pa. C.S. § </w:t>
      </w:r>
      <w:r w:rsidRPr="00E17435">
        <w:rPr>
          <w:bCs/>
        </w:rPr>
        <w:t>1529.1</w:t>
      </w:r>
      <w:r w:rsidRPr="00E17435">
        <w:t>.</w:t>
      </w:r>
      <w:proofErr w:type="gramEnd"/>
    </w:p>
    <w:p w:rsidR="009F45AC" w:rsidRPr="00E17435" w:rsidRDefault="009F45AC">
      <w:pPr>
        <w:pStyle w:val="FootnoteText"/>
      </w:pPr>
    </w:p>
  </w:footnote>
  <w:footnote w:id="5">
    <w:p w:rsidR="009F45AC" w:rsidRDefault="009F45AC">
      <w:pPr>
        <w:pStyle w:val="FootnoteText"/>
      </w:pPr>
      <w:r>
        <w:rPr>
          <w:rStyle w:val="FootnoteReference"/>
        </w:rPr>
        <w:footnoteRef/>
      </w:r>
      <w:r>
        <w:t xml:space="preserve"> </w:t>
      </w:r>
      <w:r>
        <w:tab/>
        <w:t xml:space="preserve">PECO relies extensively on </w:t>
      </w:r>
      <w:r w:rsidRPr="00FF69AE">
        <w:rPr>
          <w:i/>
        </w:rPr>
        <w:t>Ace</w:t>
      </w:r>
      <w:r>
        <w:t xml:space="preserve"> in its Preliminary Objection.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D3605"/>
    <w:rsid w:val="00000B68"/>
    <w:rsid w:val="0000349E"/>
    <w:rsid w:val="0000764F"/>
    <w:rsid w:val="000172AC"/>
    <w:rsid w:val="00017703"/>
    <w:rsid w:val="000203D4"/>
    <w:rsid w:val="00020616"/>
    <w:rsid w:val="00020ACF"/>
    <w:rsid w:val="00031580"/>
    <w:rsid w:val="000361C6"/>
    <w:rsid w:val="000453F0"/>
    <w:rsid w:val="00051531"/>
    <w:rsid w:val="00051A42"/>
    <w:rsid w:val="00065E2A"/>
    <w:rsid w:val="00065E73"/>
    <w:rsid w:val="00071466"/>
    <w:rsid w:val="0008097E"/>
    <w:rsid w:val="00081C45"/>
    <w:rsid w:val="00086142"/>
    <w:rsid w:val="000875CF"/>
    <w:rsid w:val="0009315C"/>
    <w:rsid w:val="00093946"/>
    <w:rsid w:val="000B28AF"/>
    <w:rsid w:val="000B615A"/>
    <w:rsid w:val="000B7C4C"/>
    <w:rsid w:val="000E3437"/>
    <w:rsid w:val="000E3C33"/>
    <w:rsid w:val="000E4B75"/>
    <w:rsid w:val="000F78B9"/>
    <w:rsid w:val="00100967"/>
    <w:rsid w:val="0010462E"/>
    <w:rsid w:val="00110162"/>
    <w:rsid w:val="0011388A"/>
    <w:rsid w:val="00113C3C"/>
    <w:rsid w:val="0012103D"/>
    <w:rsid w:val="00123515"/>
    <w:rsid w:val="00127AFC"/>
    <w:rsid w:val="00131408"/>
    <w:rsid w:val="0013260C"/>
    <w:rsid w:val="00132676"/>
    <w:rsid w:val="001362F6"/>
    <w:rsid w:val="00146666"/>
    <w:rsid w:val="00156549"/>
    <w:rsid w:val="00157A98"/>
    <w:rsid w:val="00166EF7"/>
    <w:rsid w:val="00170D92"/>
    <w:rsid w:val="00172CCF"/>
    <w:rsid w:val="00172EB1"/>
    <w:rsid w:val="00175A9B"/>
    <w:rsid w:val="00176DFF"/>
    <w:rsid w:val="0017718A"/>
    <w:rsid w:val="0018450B"/>
    <w:rsid w:val="0018501E"/>
    <w:rsid w:val="0018624F"/>
    <w:rsid w:val="001937FC"/>
    <w:rsid w:val="001A2FF6"/>
    <w:rsid w:val="001A3B11"/>
    <w:rsid w:val="001A4593"/>
    <w:rsid w:val="001A731D"/>
    <w:rsid w:val="001A7AE4"/>
    <w:rsid w:val="001B13A4"/>
    <w:rsid w:val="001B327A"/>
    <w:rsid w:val="001B6CBA"/>
    <w:rsid w:val="001C60DE"/>
    <w:rsid w:val="001C7B8E"/>
    <w:rsid w:val="001E0DF2"/>
    <w:rsid w:val="001E4F6B"/>
    <w:rsid w:val="001F3FEC"/>
    <w:rsid w:val="001F7687"/>
    <w:rsid w:val="00203174"/>
    <w:rsid w:val="002036DB"/>
    <w:rsid w:val="0021560B"/>
    <w:rsid w:val="002226E1"/>
    <w:rsid w:val="00222CDF"/>
    <w:rsid w:val="00230D85"/>
    <w:rsid w:val="002325DF"/>
    <w:rsid w:val="002357D9"/>
    <w:rsid w:val="00235B6C"/>
    <w:rsid w:val="00235F06"/>
    <w:rsid w:val="00243B5A"/>
    <w:rsid w:val="00251461"/>
    <w:rsid w:val="002531EB"/>
    <w:rsid w:val="00253546"/>
    <w:rsid w:val="00255B68"/>
    <w:rsid w:val="00257EEB"/>
    <w:rsid w:val="00262889"/>
    <w:rsid w:val="002647AA"/>
    <w:rsid w:val="00267C75"/>
    <w:rsid w:val="00270362"/>
    <w:rsid w:val="002870A9"/>
    <w:rsid w:val="00287328"/>
    <w:rsid w:val="00297A4A"/>
    <w:rsid w:val="002A3CF4"/>
    <w:rsid w:val="002A7FA1"/>
    <w:rsid w:val="002B1C21"/>
    <w:rsid w:val="002B2079"/>
    <w:rsid w:val="002B2EE6"/>
    <w:rsid w:val="002B42FA"/>
    <w:rsid w:val="002B53C8"/>
    <w:rsid w:val="002C539B"/>
    <w:rsid w:val="002C609A"/>
    <w:rsid w:val="002C70C0"/>
    <w:rsid w:val="002D12EC"/>
    <w:rsid w:val="002D6A4C"/>
    <w:rsid w:val="002D75C6"/>
    <w:rsid w:val="002E32B5"/>
    <w:rsid w:val="002E4F07"/>
    <w:rsid w:val="002E6958"/>
    <w:rsid w:val="002F019F"/>
    <w:rsid w:val="002F52AF"/>
    <w:rsid w:val="003009DE"/>
    <w:rsid w:val="00304C14"/>
    <w:rsid w:val="003073EE"/>
    <w:rsid w:val="00311384"/>
    <w:rsid w:val="00311460"/>
    <w:rsid w:val="00312033"/>
    <w:rsid w:val="0031226D"/>
    <w:rsid w:val="00313F43"/>
    <w:rsid w:val="00316202"/>
    <w:rsid w:val="00317B1C"/>
    <w:rsid w:val="00323C28"/>
    <w:rsid w:val="00323E8F"/>
    <w:rsid w:val="003277DB"/>
    <w:rsid w:val="00331361"/>
    <w:rsid w:val="003413DF"/>
    <w:rsid w:val="00341F77"/>
    <w:rsid w:val="00343410"/>
    <w:rsid w:val="0034382B"/>
    <w:rsid w:val="00351AD2"/>
    <w:rsid w:val="00352155"/>
    <w:rsid w:val="003568DB"/>
    <w:rsid w:val="00360427"/>
    <w:rsid w:val="0036195B"/>
    <w:rsid w:val="003627CB"/>
    <w:rsid w:val="0036596E"/>
    <w:rsid w:val="00366A60"/>
    <w:rsid w:val="00367C94"/>
    <w:rsid w:val="00375267"/>
    <w:rsid w:val="00376495"/>
    <w:rsid w:val="0038241E"/>
    <w:rsid w:val="00384FE3"/>
    <w:rsid w:val="00390836"/>
    <w:rsid w:val="003A024E"/>
    <w:rsid w:val="003A15DB"/>
    <w:rsid w:val="003A251A"/>
    <w:rsid w:val="003A3D12"/>
    <w:rsid w:val="003A3EEB"/>
    <w:rsid w:val="003A5AD3"/>
    <w:rsid w:val="003B28F4"/>
    <w:rsid w:val="003B363D"/>
    <w:rsid w:val="003B48F6"/>
    <w:rsid w:val="003B5F87"/>
    <w:rsid w:val="003B67C1"/>
    <w:rsid w:val="003E12A9"/>
    <w:rsid w:val="003E60C1"/>
    <w:rsid w:val="003E7035"/>
    <w:rsid w:val="003E7B2E"/>
    <w:rsid w:val="003F04A5"/>
    <w:rsid w:val="003F0D0A"/>
    <w:rsid w:val="003F17AC"/>
    <w:rsid w:val="003F480E"/>
    <w:rsid w:val="00400003"/>
    <w:rsid w:val="00402FD8"/>
    <w:rsid w:val="004116D3"/>
    <w:rsid w:val="00412D44"/>
    <w:rsid w:val="004132CF"/>
    <w:rsid w:val="00413DFB"/>
    <w:rsid w:val="00413F4E"/>
    <w:rsid w:val="004161DA"/>
    <w:rsid w:val="004164FE"/>
    <w:rsid w:val="00421719"/>
    <w:rsid w:val="0042367A"/>
    <w:rsid w:val="004337A3"/>
    <w:rsid w:val="004461BA"/>
    <w:rsid w:val="00447265"/>
    <w:rsid w:val="00452DC3"/>
    <w:rsid w:val="00461BE2"/>
    <w:rsid w:val="004629D8"/>
    <w:rsid w:val="0046613C"/>
    <w:rsid w:val="00466412"/>
    <w:rsid w:val="00472390"/>
    <w:rsid w:val="00476AA5"/>
    <w:rsid w:val="00477308"/>
    <w:rsid w:val="00491969"/>
    <w:rsid w:val="00493D39"/>
    <w:rsid w:val="00494177"/>
    <w:rsid w:val="00495A17"/>
    <w:rsid w:val="004A4A92"/>
    <w:rsid w:val="004A55D1"/>
    <w:rsid w:val="004A5D58"/>
    <w:rsid w:val="004B3536"/>
    <w:rsid w:val="004B3B38"/>
    <w:rsid w:val="004C07D2"/>
    <w:rsid w:val="004C2794"/>
    <w:rsid w:val="004D4447"/>
    <w:rsid w:val="004E133C"/>
    <w:rsid w:val="004E1A8C"/>
    <w:rsid w:val="004E4202"/>
    <w:rsid w:val="004F51B0"/>
    <w:rsid w:val="004F6C8E"/>
    <w:rsid w:val="005028FF"/>
    <w:rsid w:val="00504287"/>
    <w:rsid w:val="005074C3"/>
    <w:rsid w:val="005230F1"/>
    <w:rsid w:val="00523C09"/>
    <w:rsid w:val="00532616"/>
    <w:rsid w:val="005352D3"/>
    <w:rsid w:val="00540ACE"/>
    <w:rsid w:val="005475EC"/>
    <w:rsid w:val="0055134B"/>
    <w:rsid w:val="00552D9B"/>
    <w:rsid w:val="0055746B"/>
    <w:rsid w:val="00564484"/>
    <w:rsid w:val="00567509"/>
    <w:rsid w:val="00582365"/>
    <w:rsid w:val="00582CD8"/>
    <w:rsid w:val="00584CB4"/>
    <w:rsid w:val="0058784C"/>
    <w:rsid w:val="00590965"/>
    <w:rsid w:val="0059506A"/>
    <w:rsid w:val="005A0C0F"/>
    <w:rsid w:val="005B2D8D"/>
    <w:rsid w:val="005B34B9"/>
    <w:rsid w:val="005B4379"/>
    <w:rsid w:val="005B6B5D"/>
    <w:rsid w:val="005B6C2B"/>
    <w:rsid w:val="005C2E38"/>
    <w:rsid w:val="005C319B"/>
    <w:rsid w:val="005D1CEB"/>
    <w:rsid w:val="005D2D39"/>
    <w:rsid w:val="005E2080"/>
    <w:rsid w:val="005E6784"/>
    <w:rsid w:val="005F0C32"/>
    <w:rsid w:val="005F659B"/>
    <w:rsid w:val="005F6D34"/>
    <w:rsid w:val="005F6F2D"/>
    <w:rsid w:val="00603A26"/>
    <w:rsid w:val="00610B4E"/>
    <w:rsid w:val="00617E46"/>
    <w:rsid w:val="00621A47"/>
    <w:rsid w:val="00626705"/>
    <w:rsid w:val="00630B12"/>
    <w:rsid w:val="00632286"/>
    <w:rsid w:val="006339E4"/>
    <w:rsid w:val="006346FB"/>
    <w:rsid w:val="00636C19"/>
    <w:rsid w:val="006378A0"/>
    <w:rsid w:val="00641F63"/>
    <w:rsid w:val="00642625"/>
    <w:rsid w:val="00647443"/>
    <w:rsid w:val="006533A4"/>
    <w:rsid w:val="00655B19"/>
    <w:rsid w:val="0066186C"/>
    <w:rsid w:val="006671EF"/>
    <w:rsid w:val="00667FCA"/>
    <w:rsid w:val="00672BA8"/>
    <w:rsid w:val="00672D17"/>
    <w:rsid w:val="0067453B"/>
    <w:rsid w:val="00676751"/>
    <w:rsid w:val="00676817"/>
    <w:rsid w:val="00676D90"/>
    <w:rsid w:val="006775E3"/>
    <w:rsid w:val="006826C5"/>
    <w:rsid w:val="006843A8"/>
    <w:rsid w:val="006900D5"/>
    <w:rsid w:val="0069027E"/>
    <w:rsid w:val="00690843"/>
    <w:rsid w:val="00692368"/>
    <w:rsid w:val="00692CE6"/>
    <w:rsid w:val="006933E4"/>
    <w:rsid w:val="006A41E4"/>
    <w:rsid w:val="006A4608"/>
    <w:rsid w:val="006A7438"/>
    <w:rsid w:val="006B1A38"/>
    <w:rsid w:val="006B4F76"/>
    <w:rsid w:val="006C11E9"/>
    <w:rsid w:val="006C24A2"/>
    <w:rsid w:val="006D05F2"/>
    <w:rsid w:val="006D3591"/>
    <w:rsid w:val="006D36AC"/>
    <w:rsid w:val="006D3B25"/>
    <w:rsid w:val="006D4B2A"/>
    <w:rsid w:val="006D6151"/>
    <w:rsid w:val="006F79B1"/>
    <w:rsid w:val="006F7F52"/>
    <w:rsid w:val="00700A03"/>
    <w:rsid w:val="00703DE0"/>
    <w:rsid w:val="0070421D"/>
    <w:rsid w:val="00715F0A"/>
    <w:rsid w:val="007237C5"/>
    <w:rsid w:val="007244D1"/>
    <w:rsid w:val="00725255"/>
    <w:rsid w:val="00727658"/>
    <w:rsid w:val="00737842"/>
    <w:rsid w:val="007403C2"/>
    <w:rsid w:val="007408D5"/>
    <w:rsid w:val="007452F3"/>
    <w:rsid w:val="00746E27"/>
    <w:rsid w:val="00772706"/>
    <w:rsid w:val="007774E5"/>
    <w:rsid w:val="00780C16"/>
    <w:rsid w:val="00787F88"/>
    <w:rsid w:val="0079158C"/>
    <w:rsid w:val="00791FD7"/>
    <w:rsid w:val="00793DB4"/>
    <w:rsid w:val="007A477C"/>
    <w:rsid w:val="007A717B"/>
    <w:rsid w:val="007B0837"/>
    <w:rsid w:val="007B0DBB"/>
    <w:rsid w:val="007B49D8"/>
    <w:rsid w:val="007B69CE"/>
    <w:rsid w:val="007C2A51"/>
    <w:rsid w:val="007C6B1F"/>
    <w:rsid w:val="007D4157"/>
    <w:rsid w:val="007E1AA0"/>
    <w:rsid w:val="007E2D1F"/>
    <w:rsid w:val="007F0C9F"/>
    <w:rsid w:val="007F1EAC"/>
    <w:rsid w:val="007F5EE7"/>
    <w:rsid w:val="007F6C3C"/>
    <w:rsid w:val="007F6F94"/>
    <w:rsid w:val="007F78B6"/>
    <w:rsid w:val="00802919"/>
    <w:rsid w:val="0080458B"/>
    <w:rsid w:val="00804FB2"/>
    <w:rsid w:val="008104AB"/>
    <w:rsid w:val="008215D0"/>
    <w:rsid w:val="00821A92"/>
    <w:rsid w:val="008424A6"/>
    <w:rsid w:val="00844511"/>
    <w:rsid w:val="00844DBE"/>
    <w:rsid w:val="008605CF"/>
    <w:rsid w:val="00867164"/>
    <w:rsid w:val="00876810"/>
    <w:rsid w:val="00880C89"/>
    <w:rsid w:val="00881023"/>
    <w:rsid w:val="00882CF9"/>
    <w:rsid w:val="00883BB5"/>
    <w:rsid w:val="00890339"/>
    <w:rsid w:val="0089738C"/>
    <w:rsid w:val="008A2208"/>
    <w:rsid w:val="008B15C0"/>
    <w:rsid w:val="008B5D4A"/>
    <w:rsid w:val="008B6419"/>
    <w:rsid w:val="008B65EE"/>
    <w:rsid w:val="008C09AC"/>
    <w:rsid w:val="008C22D3"/>
    <w:rsid w:val="008C258A"/>
    <w:rsid w:val="008C52E5"/>
    <w:rsid w:val="008C6F9E"/>
    <w:rsid w:val="008C74A6"/>
    <w:rsid w:val="008D041F"/>
    <w:rsid w:val="008D3A8B"/>
    <w:rsid w:val="008E0524"/>
    <w:rsid w:val="008E0C61"/>
    <w:rsid w:val="008F03F5"/>
    <w:rsid w:val="008F604A"/>
    <w:rsid w:val="008F633F"/>
    <w:rsid w:val="009062E7"/>
    <w:rsid w:val="00911641"/>
    <w:rsid w:val="009167A8"/>
    <w:rsid w:val="00920354"/>
    <w:rsid w:val="00923042"/>
    <w:rsid w:val="00930862"/>
    <w:rsid w:val="009308A4"/>
    <w:rsid w:val="009356A3"/>
    <w:rsid w:val="00946E14"/>
    <w:rsid w:val="00947D3F"/>
    <w:rsid w:val="0095403D"/>
    <w:rsid w:val="00955C2C"/>
    <w:rsid w:val="00957300"/>
    <w:rsid w:val="0096711C"/>
    <w:rsid w:val="0097391A"/>
    <w:rsid w:val="00982D5E"/>
    <w:rsid w:val="00982EC4"/>
    <w:rsid w:val="0099359B"/>
    <w:rsid w:val="00994702"/>
    <w:rsid w:val="009A0A30"/>
    <w:rsid w:val="009A3A50"/>
    <w:rsid w:val="009A3DCD"/>
    <w:rsid w:val="009A5DD5"/>
    <w:rsid w:val="009A6E84"/>
    <w:rsid w:val="009B56F5"/>
    <w:rsid w:val="009C13ED"/>
    <w:rsid w:val="009C1D62"/>
    <w:rsid w:val="009D5C76"/>
    <w:rsid w:val="009E1F11"/>
    <w:rsid w:val="009E434D"/>
    <w:rsid w:val="009E58EA"/>
    <w:rsid w:val="009E6AAE"/>
    <w:rsid w:val="009F0455"/>
    <w:rsid w:val="009F15D3"/>
    <w:rsid w:val="009F1830"/>
    <w:rsid w:val="009F1C4B"/>
    <w:rsid w:val="009F45AC"/>
    <w:rsid w:val="009F55FC"/>
    <w:rsid w:val="009F6E9D"/>
    <w:rsid w:val="009F72A1"/>
    <w:rsid w:val="00A00DC5"/>
    <w:rsid w:val="00A052F0"/>
    <w:rsid w:val="00A07865"/>
    <w:rsid w:val="00A07B60"/>
    <w:rsid w:val="00A07DDD"/>
    <w:rsid w:val="00A10BD9"/>
    <w:rsid w:val="00A12D79"/>
    <w:rsid w:val="00A143D9"/>
    <w:rsid w:val="00A14AF3"/>
    <w:rsid w:val="00A1500A"/>
    <w:rsid w:val="00A22B82"/>
    <w:rsid w:val="00A23F46"/>
    <w:rsid w:val="00A36C62"/>
    <w:rsid w:val="00A37544"/>
    <w:rsid w:val="00A37E71"/>
    <w:rsid w:val="00A402ED"/>
    <w:rsid w:val="00A44D00"/>
    <w:rsid w:val="00A46561"/>
    <w:rsid w:val="00A56232"/>
    <w:rsid w:val="00A573E3"/>
    <w:rsid w:val="00A706A1"/>
    <w:rsid w:val="00A74DE5"/>
    <w:rsid w:val="00A760BB"/>
    <w:rsid w:val="00A7719B"/>
    <w:rsid w:val="00A83E41"/>
    <w:rsid w:val="00A92073"/>
    <w:rsid w:val="00A9233C"/>
    <w:rsid w:val="00AA19FC"/>
    <w:rsid w:val="00AA6C2F"/>
    <w:rsid w:val="00AA7F1F"/>
    <w:rsid w:val="00AB43D7"/>
    <w:rsid w:val="00AC0097"/>
    <w:rsid w:val="00AC5B63"/>
    <w:rsid w:val="00AC6E42"/>
    <w:rsid w:val="00AD3B56"/>
    <w:rsid w:val="00AD74B1"/>
    <w:rsid w:val="00AE253B"/>
    <w:rsid w:val="00AE3C15"/>
    <w:rsid w:val="00AE5977"/>
    <w:rsid w:val="00B030B6"/>
    <w:rsid w:val="00B07E83"/>
    <w:rsid w:val="00B126F5"/>
    <w:rsid w:val="00B202BE"/>
    <w:rsid w:val="00B207AC"/>
    <w:rsid w:val="00B228F1"/>
    <w:rsid w:val="00B231B1"/>
    <w:rsid w:val="00B25B93"/>
    <w:rsid w:val="00B25E50"/>
    <w:rsid w:val="00B30739"/>
    <w:rsid w:val="00B321B4"/>
    <w:rsid w:val="00B35928"/>
    <w:rsid w:val="00B364CD"/>
    <w:rsid w:val="00B434EF"/>
    <w:rsid w:val="00B43B71"/>
    <w:rsid w:val="00B43E9A"/>
    <w:rsid w:val="00B464EE"/>
    <w:rsid w:val="00B46E58"/>
    <w:rsid w:val="00B50633"/>
    <w:rsid w:val="00B50A65"/>
    <w:rsid w:val="00B50E38"/>
    <w:rsid w:val="00B510A7"/>
    <w:rsid w:val="00B52FEE"/>
    <w:rsid w:val="00B56159"/>
    <w:rsid w:val="00B575FE"/>
    <w:rsid w:val="00B60B06"/>
    <w:rsid w:val="00B61ABD"/>
    <w:rsid w:val="00B64A18"/>
    <w:rsid w:val="00B6796D"/>
    <w:rsid w:val="00B751A6"/>
    <w:rsid w:val="00B80C4A"/>
    <w:rsid w:val="00B82999"/>
    <w:rsid w:val="00B83072"/>
    <w:rsid w:val="00B85D7E"/>
    <w:rsid w:val="00B92410"/>
    <w:rsid w:val="00B92D56"/>
    <w:rsid w:val="00BA0462"/>
    <w:rsid w:val="00BA2207"/>
    <w:rsid w:val="00BA51EE"/>
    <w:rsid w:val="00BB0D68"/>
    <w:rsid w:val="00BB0E58"/>
    <w:rsid w:val="00BB2911"/>
    <w:rsid w:val="00BB2F82"/>
    <w:rsid w:val="00BB3AAC"/>
    <w:rsid w:val="00BC444B"/>
    <w:rsid w:val="00BD214E"/>
    <w:rsid w:val="00BD2318"/>
    <w:rsid w:val="00BD58D1"/>
    <w:rsid w:val="00BD7FB0"/>
    <w:rsid w:val="00BE0B88"/>
    <w:rsid w:val="00BE218D"/>
    <w:rsid w:val="00BE21F8"/>
    <w:rsid w:val="00BE2CA6"/>
    <w:rsid w:val="00BE63DD"/>
    <w:rsid w:val="00BF017E"/>
    <w:rsid w:val="00BF07E7"/>
    <w:rsid w:val="00BF44C3"/>
    <w:rsid w:val="00BF48D5"/>
    <w:rsid w:val="00C00211"/>
    <w:rsid w:val="00C0130C"/>
    <w:rsid w:val="00C034CC"/>
    <w:rsid w:val="00C0579B"/>
    <w:rsid w:val="00C07FAC"/>
    <w:rsid w:val="00C10E27"/>
    <w:rsid w:val="00C148FA"/>
    <w:rsid w:val="00C14F0F"/>
    <w:rsid w:val="00C15F63"/>
    <w:rsid w:val="00C20CC2"/>
    <w:rsid w:val="00C27227"/>
    <w:rsid w:val="00C27268"/>
    <w:rsid w:val="00C3217C"/>
    <w:rsid w:val="00C372F6"/>
    <w:rsid w:val="00C65744"/>
    <w:rsid w:val="00C65E00"/>
    <w:rsid w:val="00C67449"/>
    <w:rsid w:val="00C71BD5"/>
    <w:rsid w:val="00C72B24"/>
    <w:rsid w:val="00C72CBB"/>
    <w:rsid w:val="00C809F4"/>
    <w:rsid w:val="00C823B3"/>
    <w:rsid w:val="00C85419"/>
    <w:rsid w:val="00CA0EFC"/>
    <w:rsid w:val="00CA2977"/>
    <w:rsid w:val="00CA6E2E"/>
    <w:rsid w:val="00CB17FD"/>
    <w:rsid w:val="00CB300C"/>
    <w:rsid w:val="00CB327A"/>
    <w:rsid w:val="00CB7129"/>
    <w:rsid w:val="00CC4531"/>
    <w:rsid w:val="00CC72F5"/>
    <w:rsid w:val="00CE348B"/>
    <w:rsid w:val="00CE4F5D"/>
    <w:rsid w:val="00CE65F2"/>
    <w:rsid w:val="00CF258C"/>
    <w:rsid w:val="00CF2739"/>
    <w:rsid w:val="00CF279F"/>
    <w:rsid w:val="00CF4F5C"/>
    <w:rsid w:val="00D01486"/>
    <w:rsid w:val="00D022E5"/>
    <w:rsid w:val="00D0529F"/>
    <w:rsid w:val="00D12866"/>
    <w:rsid w:val="00D20E17"/>
    <w:rsid w:val="00D22CE8"/>
    <w:rsid w:val="00D23841"/>
    <w:rsid w:val="00D26522"/>
    <w:rsid w:val="00D27357"/>
    <w:rsid w:val="00D2744A"/>
    <w:rsid w:val="00D466F1"/>
    <w:rsid w:val="00D51800"/>
    <w:rsid w:val="00D533E3"/>
    <w:rsid w:val="00D67EFA"/>
    <w:rsid w:val="00D729E8"/>
    <w:rsid w:val="00D76969"/>
    <w:rsid w:val="00D823D4"/>
    <w:rsid w:val="00D85135"/>
    <w:rsid w:val="00D91B13"/>
    <w:rsid w:val="00DA4B0A"/>
    <w:rsid w:val="00DA576C"/>
    <w:rsid w:val="00DB0E37"/>
    <w:rsid w:val="00DB2D57"/>
    <w:rsid w:val="00DB3CBF"/>
    <w:rsid w:val="00DB44A1"/>
    <w:rsid w:val="00DB61DB"/>
    <w:rsid w:val="00DB7570"/>
    <w:rsid w:val="00DC1089"/>
    <w:rsid w:val="00DC174B"/>
    <w:rsid w:val="00DC1F47"/>
    <w:rsid w:val="00DC3FED"/>
    <w:rsid w:val="00DC7E1B"/>
    <w:rsid w:val="00DD3605"/>
    <w:rsid w:val="00DE0CC9"/>
    <w:rsid w:val="00DE7AF5"/>
    <w:rsid w:val="00DF0959"/>
    <w:rsid w:val="00DF0F34"/>
    <w:rsid w:val="00DF1607"/>
    <w:rsid w:val="00E03B65"/>
    <w:rsid w:val="00E04D6D"/>
    <w:rsid w:val="00E122C5"/>
    <w:rsid w:val="00E13121"/>
    <w:rsid w:val="00E17435"/>
    <w:rsid w:val="00E22B70"/>
    <w:rsid w:val="00E34F98"/>
    <w:rsid w:val="00E42181"/>
    <w:rsid w:val="00E42B48"/>
    <w:rsid w:val="00E43476"/>
    <w:rsid w:val="00E4372B"/>
    <w:rsid w:val="00E45B3C"/>
    <w:rsid w:val="00E46934"/>
    <w:rsid w:val="00E47376"/>
    <w:rsid w:val="00E51F3B"/>
    <w:rsid w:val="00E5493C"/>
    <w:rsid w:val="00E54F9C"/>
    <w:rsid w:val="00E568A4"/>
    <w:rsid w:val="00E577BB"/>
    <w:rsid w:val="00E61AD9"/>
    <w:rsid w:val="00E80B4A"/>
    <w:rsid w:val="00E81240"/>
    <w:rsid w:val="00E82D2D"/>
    <w:rsid w:val="00E87367"/>
    <w:rsid w:val="00E9099D"/>
    <w:rsid w:val="00E926E2"/>
    <w:rsid w:val="00E94B13"/>
    <w:rsid w:val="00E95C4C"/>
    <w:rsid w:val="00E95C8A"/>
    <w:rsid w:val="00E97D61"/>
    <w:rsid w:val="00EA4BB6"/>
    <w:rsid w:val="00EA70CC"/>
    <w:rsid w:val="00EA71C7"/>
    <w:rsid w:val="00EA7F7A"/>
    <w:rsid w:val="00EC0F19"/>
    <w:rsid w:val="00EC695A"/>
    <w:rsid w:val="00EE449D"/>
    <w:rsid w:val="00EE7AC4"/>
    <w:rsid w:val="00EF3627"/>
    <w:rsid w:val="00EF6D5D"/>
    <w:rsid w:val="00EF7ECB"/>
    <w:rsid w:val="00F009D8"/>
    <w:rsid w:val="00F06B35"/>
    <w:rsid w:val="00F1060F"/>
    <w:rsid w:val="00F108E7"/>
    <w:rsid w:val="00F10C4C"/>
    <w:rsid w:val="00F11EC3"/>
    <w:rsid w:val="00F1568B"/>
    <w:rsid w:val="00F1639E"/>
    <w:rsid w:val="00F20E7B"/>
    <w:rsid w:val="00F20F4E"/>
    <w:rsid w:val="00F22398"/>
    <w:rsid w:val="00F25D5E"/>
    <w:rsid w:val="00F31EF0"/>
    <w:rsid w:val="00F3603B"/>
    <w:rsid w:val="00F36206"/>
    <w:rsid w:val="00F37196"/>
    <w:rsid w:val="00F37D54"/>
    <w:rsid w:val="00F45224"/>
    <w:rsid w:val="00F46689"/>
    <w:rsid w:val="00F46D15"/>
    <w:rsid w:val="00F565C4"/>
    <w:rsid w:val="00F64558"/>
    <w:rsid w:val="00F77F48"/>
    <w:rsid w:val="00F85F87"/>
    <w:rsid w:val="00F905C5"/>
    <w:rsid w:val="00F91381"/>
    <w:rsid w:val="00F9221D"/>
    <w:rsid w:val="00F956D6"/>
    <w:rsid w:val="00F9579B"/>
    <w:rsid w:val="00F959F7"/>
    <w:rsid w:val="00F95A13"/>
    <w:rsid w:val="00FA03E2"/>
    <w:rsid w:val="00FA2790"/>
    <w:rsid w:val="00FA5806"/>
    <w:rsid w:val="00FB1DBA"/>
    <w:rsid w:val="00FB27C5"/>
    <w:rsid w:val="00FB31D9"/>
    <w:rsid w:val="00FB508C"/>
    <w:rsid w:val="00FB794B"/>
    <w:rsid w:val="00FC3AA9"/>
    <w:rsid w:val="00FC4372"/>
    <w:rsid w:val="00FD247D"/>
    <w:rsid w:val="00FD32F7"/>
    <w:rsid w:val="00FE1A37"/>
    <w:rsid w:val="00FE2517"/>
    <w:rsid w:val="00FE3969"/>
    <w:rsid w:val="00FE718A"/>
    <w:rsid w:val="00FE7AC8"/>
    <w:rsid w:val="00FE7F0C"/>
    <w:rsid w:val="00FF105E"/>
    <w:rsid w:val="00FF323A"/>
    <w:rsid w:val="00FF6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A9233C"/>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A9233C"/>
    <w:rPr>
      <w:rFonts w:ascii="Courier" w:eastAsia="Times New Roman" w:hAnsi="Courier" w:cs="Times New Roman"/>
      <w:sz w:val="24"/>
      <w:szCs w:val="20"/>
    </w:rPr>
  </w:style>
  <w:style w:type="paragraph" w:styleId="ListParagraph">
    <w:name w:val="List Paragraph"/>
    <w:basedOn w:val="Normal"/>
    <w:uiPriority w:val="34"/>
    <w:qFormat/>
    <w:rsid w:val="00E17435"/>
    <w:pPr>
      <w:ind w:left="720"/>
      <w:contextualSpacing/>
    </w:pPr>
  </w:style>
  <w:style w:type="paragraph" w:styleId="BalloonText">
    <w:name w:val="Balloon Text"/>
    <w:basedOn w:val="Normal"/>
    <w:link w:val="BalloonTextChar"/>
    <w:uiPriority w:val="99"/>
    <w:semiHidden/>
    <w:unhideWhenUsed/>
    <w:rsid w:val="00E9099D"/>
    <w:rPr>
      <w:rFonts w:ascii="Tahoma" w:hAnsi="Tahoma" w:cs="Tahoma"/>
      <w:sz w:val="16"/>
      <w:szCs w:val="16"/>
    </w:rPr>
  </w:style>
  <w:style w:type="character" w:customStyle="1" w:styleId="BalloonTextChar">
    <w:name w:val="Balloon Text Char"/>
    <w:basedOn w:val="DefaultParagraphFont"/>
    <w:link w:val="BalloonText"/>
    <w:uiPriority w:val="99"/>
    <w:semiHidden/>
    <w:rsid w:val="00E9099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630450">
      <w:bodyDiv w:val="1"/>
      <w:marLeft w:val="0"/>
      <w:marRight w:val="0"/>
      <w:marTop w:val="0"/>
      <w:marBottom w:val="0"/>
      <w:divBdr>
        <w:top w:val="none" w:sz="0" w:space="0" w:color="auto"/>
        <w:left w:val="none" w:sz="0" w:space="0" w:color="auto"/>
        <w:bottom w:val="none" w:sz="0" w:space="0" w:color="auto"/>
        <w:right w:val="none" w:sz="0" w:space="0" w:color="auto"/>
      </w:divBdr>
      <w:divsChild>
        <w:div w:id="1745451949">
          <w:marLeft w:val="0"/>
          <w:marRight w:val="0"/>
          <w:marTop w:val="0"/>
          <w:marBottom w:val="0"/>
          <w:divBdr>
            <w:top w:val="none" w:sz="0" w:space="0" w:color="auto"/>
            <w:left w:val="none" w:sz="0" w:space="0" w:color="auto"/>
            <w:bottom w:val="none" w:sz="0" w:space="0" w:color="auto"/>
            <w:right w:val="none" w:sz="0" w:space="0" w:color="auto"/>
          </w:divBdr>
          <w:divsChild>
            <w:div w:id="80302118">
              <w:marLeft w:val="0"/>
              <w:marRight w:val="0"/>
              <w:marTop w:val="0"/>
              <w:marBottom w:val="0"/>
              <w:divBdr>
                <w:top w:val="none" w:sz="0" w:space="0" w:color="auto"/>
                <w:left w:val="none" w:sz="0" w:space="0" w:color="auto"/>
                <w:bottom w:val="none" w:sz="0" w:space="0" w:color="auto"/>
                <w:right w:val="none" w:sz="0" w:space="0" w:color="auto"/>
              </w:divBdr>
              <w:divsChild>
                <w:div w:id="1391929137">
                  <w:marLeft w:val="0"/>
                  <w:marRight w:val="0"/>
                  <w:marTop w:val="0"/>
                  <w:marBottom w:val="0"/>
                  <w:divBdr>
                    <w:top w:val="none" w:sz="0" w:space="0" w:color="auto"/>
                    <w:left w:val="none" w:sz="0" w:space="0" w:color="auto"/>
                    <w:bottom w:val="none" w:sz="0" w:space="0" w:color="auto"/>
                    <w:right w:val="none" w:sz="0" w:space="0" w:color="auto"/>
                  </w:divBdr>
                  <w:divsChild>
                    <w:div w:id="20386997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48718">
      <w:bodyDiv w:val="1"/>
      <w:marLeft w:val="0"/>
      <w:marRight w:val="0"/>
      <w:marTop w:val="0"/>
      <w:marBottom w:val="0"/>
      <w:divBdr>
        <w:top w:val="none" w:sz="0" w:space="0" w:color="auto"/>
        <w:left w:val="none" w:sz="0" w:space="0" w:color="auto"/>
        <w:bottom w:val="none" w:sz="0" w:space="0" w:color="auto"/>
        <w:right w:val="none" w:sz="0" w:space="0" w:color="auto"/>
      </w:divBdr>
      <w:divsChild>
        <w:div w:id="1806777280">
          <w:marLeft w:val="0"/>
          <w:marRight w:val="0"/>
          <w:marTop w:val="0"/>
          <w:marBottom w:val="0"/>
          <w:divBdr>
            <w:top w:val="none" w:sz="0" w:space="0" w:color="auto"/>
            <w:left w:val="none" w:sz="0" w:space="0" w:color="auto"/>
            <w:bottom w:val="none" w:sz="0" w:space="0" w:color="auto"/>
            <w:right w:val="none" w:sz="0" w:space="0" w:color="auto"/>
          </w:divBdr>
          <w:divsChild>
            <w:div w:id="810557031">
              <w:marLeft w:val="0"/>
              <w:marRight w:val="0"/>
              <w:marTop w:val="0"/>
              <w:marBottom w:val="0"/>
              <w:divBdr>
                <w:top w:val="none" w:sz="0" w:space="0" w:color="auto"/>
                <w:left w:val="none" w:sz="0" w:space="0" w:color="auto"/>
                <w:bottom w:val="none" w:sz="0" w:space="0" w:color="auto"/>
                <w:right w:val="none" w:sz="0" w:space="0" w:color="auto"/>
              </w:divBdr>
              <w:divsChild>
                <w:div w:id="852569973">
                  <w:marLeft w:val="0"/>
                  <w:marRight w:val="0"/>
                  <w:marTop w:val="0"/>
                  <w:marBottom w:val="0"/>
                  <w:divBdr>
                    <w:top w:val="none" w:sz="0" w:space="0" w:color="auto"/>
                    <w:left w:val="none" w:sz="0" w:space="0" w:color="auto"/>
                    <w:bottom w:val="none" w:sz="0" w:space="0" w:color="auto"/>
                    <w:right w:val="none" w:sz="0" w:space="0" w:color="auto"/>
                  </w:divBdr>
                  <w:divsChild>
                    <w:div w:id="2721331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2404-7033-47AA-92C0-039F7776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2011-03-15T17:39:00Z</cp:lastPrinted>
  <dcterms:created xsi:type="dcterms:W3CDTF">2011-03-15T17:39:00Z</dcterms:created>
  <dcterms:modified xsi:type="dcterms:W3CDTF">2011-03-15T17:39:00Z</dcterms:modified>
</cp:coreProperties>
</file>