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99F" w:rsidRPr="0062499F" w:rsidRDefault="0062499F" w:rsidP="0062499F">
      <w:pPr>
        <w:jc w:val="center"/>
        <w:rPr>
          <w:b/>
        </w:rPr>
      </w:pPr>
      <w:r w:rsidRPr="0062499F">
        <w:rPr>
          <w:b/>
        </w:rPr>
        <w:t>BEFORE THE</w:t>
      </w:r>
    </w:p>
    <w:p w:rsidR="0062499F" w:rsidRPr="0062499F" w:rsidRDefault="0062499F" w:rsidP="0062499F">
      <w:pPr>
        <w:jc w:val="center"/>
      </w:pPr>
      <w:r w:rsidRPr="0062499F">
        <w:rPr>
          <w:b/>
        </w:rPr>
        <w:t>PENNSYLVANIA PUBLIC UTILITY COMMISSION</w:t>
      </w:r>
    </w:p>
    <w:p w:rsidR="0062499F" w:rsidRPr="0062499F" w:rsidRDefault="0062499F" w:rsidP="0062499F"/>
    <w:p w:rsidR="0062499F" w:rsidRDefault="0062499F" w:rsidP="0062499F"/>
    <w:p w:rsidR="008167D9" w:rsidRPr="0062499F" w:rsidRDefault="008167D9" w:rsidP="0062499F"/>
    <w:p w:rsidR="0062499F" w:rsidRPr="0062499F" w:rsidRDefault="0062499F" w:rsidP="0062499F">
      <w:r w:rsidRPr="0062499F">
        <w:t>Neville Island Supply Company, Inc.</w:t>
      </w:r>
      <w:r w:rsidRPr="0062499F">
        <w:tab/>
      </w:r>
      <w:r w:rsidRPr="0062499F">
        <w:tab/>
      </w:r>
      <w:r w:rsidRPr="0062499F">
        <w:tab/>
        <w:t>:</w:t>
      </w:r>
    </w:p>
    <w:p w:rsidR="0062499F" w:rsidRPr="0062499F" w:rsidRDefault="0062499F" w:rsidP="0062499F">
      <w:r w:rsidRPr="0062499F">
        <w:tab/>
      </w:r>
      <w:r w:rsidRPr="0062499F">
        <w:tab/>
      </w:r>
      <w:r w:rsidRPr="0062499F">
        <w:tab/>
      </w:r>
      <w:r w:rsidRPr="0062499F">
        <w:tab/>
      </w:r>
      <w:r w:rsidRPr="0062499F">
        <w:tab/>
      </w:r>
      <w:r w:rsidRPr="0062499F">
        <w:tab/>
      </w:r>
      <w:r w:rsidRPr="0062499F">
        <w:tab/>
        <w:t>:</w:t>
      </w:r>
    </w:p>
    <w:p w:rsidR="0062499F" w:rsidRPr="0062499F" w:rsidRDefault="0062499F" w:rsidP="0062499F">
      <w:r w:rsidRPr="0062499F">
        <w:tab/>
        <w:t>v.</w:t>
      </w:r>
      <w:r w:rsidRPr="0062499F">
        <w:tab/>
      </w:r>
      <w:r w:rsidRPr="0062499F">
        <w:tab/>
      </w:r>
      <w:r w:rsidRPr="0062499F">
        <w:tab/>
      </w:r>
      <w:r w:rsidRPr="0062499F">
        <w:tab/>
      </w:r>
      <w:r w:rsidRPr="0062499F">
        <w:tab/>
      </w:r>
      <w:r w:rsidRPr="0062499F">
        <w:tab/>
        <w:t>:</w:t>
      </w:r>
      <w:r w:rsidRPr="0062499F">
        <w:tab/>
      </w:r>
      <w:r w:rsidRPr="0062499F">
        <w:tab/>
        <w:t>C-2009-2132987</w:t>
      </w:r>
      <w:r w:rsidRPr="0062499F">
        <w:tab/>
      </w:r>
      <w:r w:rsidRPr="0062499F">
        <w:tab/>
      </w:r>
      <w:r w:rsidRPr="0062499F">
        <w:tab/>
      </w:r>
      <w:r w:rsidRPr="0062499F">
        <w:tab/>
      </w:r>
      <w:r w:rsidRPr="0062499F">
        <w:tab/>
      </w:r>
      <w:r w:rsidRPr="0062499F">
        <w:tab/>
      </w:r>
      <w:r w:rsidRPr="0062499F">
        <w:tab/>
      </w:r>
      <w:r w:rsidRPr="0062499F">
        <w:tab/>
      </w:r>
      <w:r w:rsidRPr="0062499F">
        <w:tab/>
        <w:t>:</w:t>
      </w:r>
    </w:p>
    <w:p w:rsidR="0062499F" w:rsidRPr="0062499F" w:rsidRDefault="0062499F" w:rsidP="0062499F">
      <w:r w:rsidRPr="0062499F">
        <w:t>Duquesne Light Company</w:t>
      </w:r>
      <w:r w:rsidRPr="0062499F">
        <w:tab/>
      </w:r>
      <w:r w:rsidRPr="0062499F">
        <w:tab/>
      </w:r>
      <w:r w:rsidRPr="0062499F">
        <w:tab/>
      </w:r>
      <w:r w:rsidRPr="0062499F">
        <w:tab/>
        <w:t>:</w:t>
      </w:r>
    </w:p>
    <w:p w:rsidR="0062499F" w:rsidRPr="0062499F" w:rsidRDefault="0062499F" w:rsidP="0062499F"/>
    <w:p w:rsidR="0062499F" w:rsidRDefault="0062499F" w:rsidP="0062499F"/>
    <w:p w:rsidR="008167D9" w:rsidRPr="0062499F" w:rsidRDefault="008167D9" w:rsidP="0062499F"/>
    <w:p w:rsidR="001A517C" w:rsidRDefault="0062499F" w:rsidP="0062499F">
      <w:pPr>
        <w:jc w:val="center"/>
      </w:pPr>
      <w:r>
        <w:rPr>
          <w:b/>
          <w:u w:val="single"/>
        </w:rPr>
        <w:t>INITIAL DECISION</w:t>
      </w:r>
    </w:p>
    <w:p w:rsidR="0062499F" w:rsidRDefault="0062499F" w:rsidP="0062499F">
      <w:pPr>
        <w:jc w:val="center"/>
      </w:pPr>
    </w:p>
    <w:p w:rsidR="0062499F" w:rsidRDefault="0062499F" w:rsidP="0062499F">
      <w:pPr>
        <w:jc w:val="center"/>
      </w:pPr>
    </w:p>
    <w:p w:rsidR="0062499F" w:rsidRDefault="0062499F" w:rsidP="0062499F">
      <w:pPr>
        <w:jc w:val="center"/>
      </w:pPr>
      <w:r>
        <w:t>Before</w:t>
      </w:r>
    </w:p>
    <w:p w:rsidR="0062499F" w:rsidRDefault="0062499F" w:rsidP="0062499F">
      <w:pPr>
        <w:jc w:val="center"/>
      </w:pPr>
      <w:r>
        <w:t>John H. Corbett, Jr.</w:t>
      </w:r>
    </w:p>
    <w:p w:rsidR="0062499F" w:rsidRDefault="0062499F" w:rsidP="0062499F">
      <w:pPr>
        <w:jc w:val="center"/>
      </w:pPr>
      <w:r>
        <w:t>Administrative Law Judge</w:t>
      </w:r>
    </w:p>
    <w:p w:rsidR="0062499F" w:rsidRDefault="0062499F" w:rsidP="0062499F">
      <w:pPr>
        <w:jc w:val="center"/>
      </w:pPr>
    </w:p>
    <w:p w:rsidR="0062499F" w:rsidRDefault="0062499F" w:rsidP="0062499F">
      <w:pPr>
        <w:jc w:val="center"/>
      </w:pPr>
    </w:p>
    <w:p w:rsidR="0062499F" w:rsidRDefault="00961E20" w:rsidP="0062499F">
      <w:pPr>
        <w:jc w:val="center"/>
      </w:pPr>
      <w:r>
        <w:rPr>
          <w:u w:val="single"/>
        </w:rPr>
        <w:t>HISTORY OF THE PROCEEDING</w:t>
      </w:r>
    </w:p>
    <w:p w:rsidR="00961E20" w:rsidRDefault="00961E20" w:rsidP="00961E20"/>
    <w:p w:rsidR="00961E20" w:rsidRDefault="00961E20" w:rsidP="00961E20"/>
    <w:p w:rsidR="00C6687B" w:rsidRDefault="00961E20" w:rsidP="00C6687B">
      <w:pPr>
        <w:spacing w:line="360" w:lineRule="auto"/>
      </w:pPr>
      <w:r>
        <w:tab/>
      </w:r>
      <w:r>
        <w:tab/>
      </w:r>
      <w:r w:rsidR="00C6687B" w:rsidRPr="00C6687B">
        <w:t>On September 28, 2009, Neville Island Supply Company, Inc. (“Complainant”</w:t>
      </w:r>
      <w:r w:rsidR="00C6687B">
        <w:t xml:space="preserve"> or “Neville Island”</w:t>
      </w:r>
      <w:r w:rsidR="00C6687B" w:rsidRPr="00C6687B">
        <w:t xml:space="preserve">) filed a complaint with the Pennsylvania Public Utility Commission (“Commission”) disputing </w:t>
      </w:r>
      <w:r w:rsidR="002035E9">
        <w:t xml:space="preserve">the </w:t>
      </w:r>
      <w:r w:rsidR="00C6687B" w:rsidRPr="00C6687B">
        <w:t>bills it received for commercial electric service from Duquesne Light Company (“Respondent”</w:t>
      </w:r>
      <w:r w:rsidR="00450705">
        <w:t xml:space="preserve"> or “</w:t>
      </w:r>
      <w:r w:rsidR="00450705" w:rsidRPr="00C6687B">
        <w:t>Duquesne Light</w:t>
      </w:r>
      <w:r w:rsidR="00450705">
        <w:t>”</w:t>
      </w:r>
      <w:r w:rsidR="00C6687B" w:rsidRPr="00C6687B">
        <w:t xml:space="preserve">).  </w:t>
      </w:r>
      <w:r w:rsidR="002A49CC">
        <w:t xml:space="preserve">More specifically, Complainant alleges that it has been charged incorrectly for electricity since it began receiving service from Duquesne Light in January 2008.  Neville Island </w:t>
      </w:r>
      <w:r w:rsidR="000866D1">
        <w:t xml:space="preserve">asserts it </w:t>
      </w:r>
      <w:r w:rsidR="002A49CC">
        <w:t xml:space="preserve">first became aware of the problem when it received a bill of $24,004.58 covering the period of </w:t>
      </w:r>
      <w:r w:rsidR="005D09A9">
        <w:t>July 31, 2009</w:t>
      </w:r>
      <w:r w:rsidR="00F30DD9">
        <w:t>–</w:t>
      </w:r>
      <w:r w:rsidR="005D09A9">
        <w:t>August 31, 2009, during which time Complainant alleges it was using electricity for only a small office and three lights in the plant.  According to Complainant, Respondent’s personnel</w:t>
      </w:r>
      <w:r w:rsidR="00323BAE">
        <w:t>,</w:t>
      </w:r>
      <w:r w:rsidR="005D09A9">
        <w:t xml:space="preserve"> upon visiting the plant site</w:t>
      </w:r>
      <w:r w:rsidR="00323BAE">
        <w:t>,</w:t>
      </w:r>
      <w:r w:rsidR="005D09A9">
        <w:t xml:space="preserve"> determined that the spike in electric usage was caused “from testing the meter.”</w:t>
      </w:r>
      <w:r w:rsidR="00A005B1">
        <w:t xml:space="preserve">  Although Duquesne Light issued a corrected bill to replace the one for $24,004.58, Complainant is concerned about being charged for other past or future occurrences of Duquesne Light meter testing</w:t>
      </w:r>
      <w:r w:rsidR="00F80057">
        <w:t>.  In addition, Complainant avers Respondent is charging it for keeping a large transformer on to supply electricity for one of Duquesne Light’s substations.  Also,</w:t>
      </w:r>
      <w:r w:rsidR="00220ADB">
        <w:t xml:space="preserve"> Complainant believes the substation in question provides service to other Duquesne Light customers.</w:t>
      </w:r>
      <w:r w:rsidR="005D09A9">
        <w:t xml:space="preserve">  </w:t>
      </w:r>
      <w:r w:rsidR="00C6687B" w:rsidRPr="00C6687B">
        <w:t xml:space="preserve">For relief, </w:t>
      </w:r>
      <w:r w:rsidR="00C6687B" w:rsidRPr="00C6687B">
        <w:lastRenderedPageBreak/>
        <w:t>Complainant requests an informal meeting with Respondent’s officials and a Commission representative</w:t>
      </w:r>
      <w:r w:rsidR="00220ADB">
        <w:t xml:space="preserve"> to correct the situation.</w:t>
      </w:r>
    </w:p>
    <w:p w:rsidR="00A04A58" w:rsidRDefault="00A04A58" w:rsidP="00C6687B">
      <w:pPr>
        <w:spacing w:line="360" w:lineRule="auto"/>
      </w:pPr>
    </w:p>
    <w:p w:rsidR="00A04A58" w:rsidRDefault="00A04A58" w:rsidP="00C6687B">
      <w:pPr>
        <w:spacing w:line="360" w:lineRule="auto"/>
      </w:pPr>
      <w:r>
        <w:tab/>
      </w:r>
      <w:r>
        <w:tab/>
      </w:r>
      <w:r w:rsidRPr="00C6687B">
        <w:t>On October 14, 2009, Respondent filed a motion to dismiss the complaint, because the Complainant was unrepresented by legal counsel and it is registered as a Pennsylvania business corporation with the Pennsylvania Department of State, Corporation Bureau.  On November 23, 2009, James R. Cooney, Esq. entered his appearance on behalf of Complainant.  By Interim Order issued on January 4, 2010, Chief Administrative Law Judge</w:t>
      </w:r>
      <w:r w:rsidR="00D55DFB">
        <w:t> </w:t>
      </w:r>
      <w:r w:rsidRPr="00C6687B">
        <w:t>Veronica A. Smith denied the motion to dismiss the complaint.</w:t>
      </w:r>
    </w:p>
    <w:p w:rsidR="008F04A4" w:rsidRDefault="008F04A4" w:rsidP="00C6687B">
      <w:pPr>
        <w:spacing w:line="360" w:lineRule="auto"/>
      </w:pPr>
    </w:p>
    <w:p w:rsidR="008F04A4" w:rsidRPr="00C6687B" w:rsidRDefault="008F04A4" w:rsidP="00C6687B">
      <w:pPr>
        <w:spacing w:line="360" w:lineRule="auto"/>
      </w:pPr>
      <w:r>
        <w:tab/>
      </w:r>
      <w:r>
        <w:tab/>
      </w:r>
      <w:r w:rsidRPr="00C6687B">
        <w:t>On February 10, 2010, Respondent answered the complaint</w:t>
      </w:r>
      <w:r w:rsidR="001D7FBB">
        <w:t xml:space="preserve"> as directed by the foregoing Interim Order.  Respondent declares the bills it tendered to Complainant are correct, the meter is registering accurately, and there is no foreign load.  By way of background, Duquesne Light explains</w:t>
      </w:r>
      <w:r w:rsidR="004B5DB3">
        <w:t xml:space="preserve"> this customer’s meter at one time serve</w:t>
      </w:r>
      <w:r w:rsidR="00BC5124">
        <w:t>d</w:t>
      </w:r>
      <w:r w:rsidR="004B5DB3">
        <w:t xml:space="preserve"> both Neville Island and another company, Cemex.  When a dispute arose between the two parties, Cemex paid to have a separate meter installed.  </w:t>
      </w:r>
      <w:r w:rsidR="00915DA8">
        <w:t xml:space="preserve">Since </w:t>
      </w:r>
      <w:r w:rsidR="004B5DB3">
        <w:t>Complainant</w:t>
      </w:r>
      <w:r w:rsidR="00BC5124">
        <w:t xml:space="preserve"> was not paying its bill, expressing a concern about a high bill</w:t>
      </w:r>
      <w:r w:rsidR="00915DA8">
        <w:t>,</w:t>
      </w:r>
      <w:r w:rsidR="00BC5124">
        <w:t xml:space="preserve"> Duquesne Light performed a meter inspection on August 10, 2009, which showed no problem with the meter.  </w:t>
      </w:r>
      <w:r w:rsidR="00DD6DF8">
        <w:t>After meeting with Complainant in August 2009, Respondent agreed to institute a rate change, which became effective with the next billing cycle.  The bill issued on August 31, 2009 showed a high reading on the date of the meter inspection.  Since that reading was inconsistent with the remainder of the month’s usage,</w:t>
      </w:r>
      <w:r w:rsidR="00D51C76">
        <w:t xml:space="preserve"> Duquesne Light adjusted the bill and reissued a bill for $3,238.17</w:t>
      </w:r>
      <w:r w:rsidR="00915DA8">
        <w:t>.  Respondent avers the substation</w:t>
      </w:r>
      <w:r w:rsidR="00346C81">
        <w:t xml:space="preserve"> at the premises belongs to Complainant and only serves its business.  Any power consumed in the substation is for Complainant’s benefit.</w:t>
      </w:r>
    </w:p>
    <w:p w:rsidR="00C6687B" w:rsidRPr="00C6687B" w:rsidRDefault="00C6687B" w:rsidP="00C6687B">
      <w:pPr>
        <w:spacing w:line="360" w:lineRule="auto"/>
      </w:pPr>
    </w:p>
    <w:p w:rsidR="00C6687B" w:rsidRPr="00C6687B" w:rsidRDefault="00C6687B" w:rsidP="00C6687B">
      <w:pPr>
        <w:spacing w:line="360" w:lineRule="auto"/>
      </w:pPr>
      <w:r w:rsidRPr="00C6687B">
        <w:tab/>
      </w:r>
      <w:r w:rsidRPr="00C6687B">
        <w:tab/>
        <w:t xml:space="preserve">On April 21, 2010, I received this case assignment.  A standard Prehearing Order was issued on April 23, 2010.  Altogether, four hearings were postponed due to the parties’ scheduling conflicts, to wit: May 25, 2010, June 23, 2010, August 25, 2010 and September 15, 2010.  </w:t>
      </w:r>
      <w:r w:rsidR="00CE64E7" w:rsidRPr="00CE64E7">
        <w:t xml:space="preserve">On November 30, 2010, Respondent filed a motion to compel discovery, purporting that on October 29, 2010 it served interrogatories upon Complainant to which Complainant neither </w:t>
      </w:r>
      <w:r w:rsidR="00CE64E7" w:rsidRPr="00CE64E7">
        <w:lastRenderedPageBreak/>
        <w:t>objected nor answered.</w:t>
      </w:r>
      <w:r w:rsidR="00CE64E7">
        <w:t xml:space="preserve">  </w:t>
      </w:r>
      <w:r w:rsidR="00BD15A5">
        <w:t xml:space="preserve">By a Fifth Interim Order issued on December 10, 2010, the motion was denied as </w:t>
      </w:r>
      <w:r w:rsidR="006339A1">
        <w:t xml:space="preserve">the request for discovery was </w:t>
      </w:r>
      <w:r w:rsidR="00BD15A5">
        <w:t>tardy.</w:t>
      </w:r>
    </w:p>
    <w:p w:rsidR="00961E20" w:rsidRDefault="00961E20" w:rsidP="00961E20">
      <w:pPr>
        <w:spacing w:line="360" w:lineRule="auto"/>
      </w:pPr>
    </w:p>
    <w:p w:rsidR="00BD15A5" w:rsidRDefault="00BD15A5" w:rsidP="00961E20">
      <w:pPr>
        <w:spacing w:line="360" w:lineRule="auto"/>
      </w:pPr>
      <w:r>
        <w:tab/>
      </w:r>
      <w:r>
        <w:tab/>
      </w:r>
      <w:r w:rsidRPr="00C6687B">
        <w:t>This case proceed</w:t>
      </w:r>
      <w:r w:rsidR="006339A1">
        <w:t>ed</w:t>
      </w:r>
      <w:r w:rsidRPr="00C6687B">
        <w:t xml:space="preserve"> to a hearing in the Pittsburgh offices of the Commission on December 21, 2010.</w:t>
      </w:r>
      <w:r w:rsidR="00B64E3E">
        <w:t xml:space="preserve">  James R. Cooney, Esq. represented Complainant.  Krysia Kubiak, Esq. represented Respondent, which offered four exhibits for admission into the record.</w:t>
      </w:r>
      <w:r w:rsidR="0057574A">
        <w:t xml:space="preserve">  The hearing generated 85 pages of notes of testimony.  No briefs were filed.  By Sixth Interim Order issued on </w:t>
      </w:r>
      <w:r w:rsidR="00ED4187">
        <w:t xml:space="preserve">March 2, 2011, the Affidavit of Richard Lachimia and Respondent’s Exhibit 5 were admitted into the record as </w:t>
      </w:r>
      <w:r w:rsidR="00470433">
        <w:t>a late-filed exhibit</w:t>
      </w:r>
      <w:r w:rsidR="00ED4187">
        <w:t xml:space="preserve">.  </w:t>
      </w:r>
      <w:r w:rsidR="00377DF4">
        <w:t>The same Order closed the record on that date.</w:t>
      </w:r>
    </w:p>
    <w:p w:rsidR="00377DF4" w:rsidRDefault="00377DF4" w:rsidP="00961E20">
      <w:pPr>
        <w:spacing w:line="360" w:lineRule="auto"/>
      </w:pPr>
    </w:p>
    <w:p w:rsidR="00377DF4" w:rsidRDefault="00377DF4" w:rsidP="00377DF4">
      <w:pPr>
        <w:spacing w:line="360" w:lineRule="auto"/>
        <w:jc w:val="center"/>
      </w:pPr>
      <w:r>
        <w:rPr>
          <w:u w:val="single"/>
        </w:rPr>
        <w:t>FINDINGS OF FACT</w:t>
      </w:r>
    </w:p>
    <w:p w:rsidR="00377DF4" w:rsidRDefault="00377DF4" w:rsidP="00377DF4">
      <w:pPr>
        <w:spacing w:line="360" w:lineRule="auto"/>
      </w:pPr>
    </w:p>
    <w:p w:rsidR="00377DF4" w:rsidRDefault="00761E5E" w:rsidP="00377DF4">
      <w:pPr>
        <w:pStyle w:val="ListParagraph"/>
        <w:numPr>
          <w:ilvl w:val="0"/>
          <w:numId w:val="1"/>
        </w:numPr>
        <w:spacing w:line="360" w:lineRule="auto"/>
        <w:ind w:left="0" w:firstLine="1440"/>
      </w:pPr>
      <w:r>
        <w:t xml:space="preserve">The Complainant is </w:t>
      </w:r>
      <w:r w:rsidRPr="0062499F">
        <w:t>Neville Island Supply Company, Inc.</w:t>
      </w:r>
      <w:r>
        <w:t xml:space="preserve"> (N.T. 6).</w:t>
      </w:r>
      <w:r w:rsidR="009A2F96">
        <w:rPr>
          <w:rStyle w:val="FootnoteReference"/>
        </w:rPr>
        <w:footnoteReference w:id="1"/>
      </w:r>
    </w:p>
    <w:p w:rsidR="008F7D28" w:rsidRDefault="008F7D28" w:rsidP="008F7D28">
      <w:pPr>
        <w:pStyle w:val="ListParagraph"/>
        <w:spacing w:line="360" w:lineRule="auto"/>
        <w:ind w:left="1440"/>
      </w:pPr>
    </w:p>
    <w:p w:rsidR="008F7D28" w:rsidRDefault="008F7D28" w:rsidP="00377DF4">
      <w:pPr>
        <w:pStyle w:val="ListParagraph"/>
        <w:numPr>
          <w:ilvl w:val="0"/>
          <w:numId w:val="1"/>
        </w:numPr>
        <w:spacing w:line="360" w:lineRule="auto"/>
        <w:ind w:left="0" w:firstLine="1440"/>
      </w:pPr>
      <w:r>
        <w:t xml:space="preserve">The Respondent, Duquesne Light Company, </w:t>
      </w:r>
      <w:r w:rsidR="00C53B93">
        <w:t xml:space="preserve">furnished </w:t>
      </w:r>
      <w:r>
        <w:t>commercial electric service</w:t>
      </w:r>
      <w:r w:rsidR="00BF15B9">
        <w:t xml:space="preserve"> to the Complainant </w:t>
      </w:r>
      <w:r w:rsidR="00C53B93">
        <w:t>from January 1, 2008 to September 29, 2010</w:t>
      </w:r>
      <w:r w:rsidR="00A07CAF">
        <w:t xml:space="preserve"> </w:t>
      </w:r>
      <w:r w:rsidR="00BF15B9">
        <w:t>(N.T. </w:t>
      </w:r>
      <w:r w:rsidR="007C7094">
        <w:t>7-8</w:t>
      </w:r>
      <w:r w:rsidR="00C53B93">
        <w:t xml:space="preserve">: Respondent’s </w:t>
      </w:r>
      <w:proofErr w:type="spellStart"/>
      <w:r w:rsidR="00C53B93">
        <w:t>Exh</w:t>
      </w:r>
      <w:proofErr w:type="spellEnd"/>
      <w:r w:rsidR="00C53B93">
        <w:t>. 1</w:t>
      </w:r>
      <w:r w:rsidR="00BF15B9">
        <w:t>).</w:t>
      </w:r>
    </w:p>
    <w:p w:rsidR="007C7094" w:rsidRDefault="007C7094" w:rsidP="007C7094">
      <w:pPr>
        <w:pStyle w:val="ListParagraph"/>
      </w:pPr>
    </w:p>
    <w:p w:rsidR="007C7094" w:rsidRDefault="00D8572F" w:rsidP="00377DF4">
      <w:pPr>
        <w:pStyle w:val="ListParagraph"/>
        <w:numPr>
          <w:ilvl w:val="0"/>
          <w:numId w:val="1"/>
        </w:numPr>
        <w:spacing w:line="360" w:lineRule="auto"/>
        <w:ind w:left="0" w:firstLine="1440"/>
      </w:pPr>
      <w:r>
        <w:t>The Complainant owes the Respondent $63,006.66 on this account (</w:t>
      </w:r>
      <w:r w:rsidR="00832F66">
        <w:t xml:space="preserve">N.T. 26-29; </w:t>
      </w:r>
      <w:r>
        <w:t>Respondent’s Exh. 1).</w:t>
      </w:r>
    </w:p>
    <w:p w:rsidR="008D14DA" w:rsidRDefault="008D14DA" w:rsidP="008D14DA">
      <w:pPr>
        <w:pStyle w:val="ListParagraph"/>
      </w:pPr>
    </w:p>
    <w:p w:rsidR="008D14DA" w:rsidRDefault="008D14DA" w:rsidP="00377DF4">
      <w:pPr>
        <w:pStyle w:val="ListParagraph"/>
        <w:numPr>
          <w:ilvl w:val="0"/>
          <w:numId w:val="1"/>
        </w:numPr>
        <w:spacing w:line="360" w:lineRule="auto"/>
        <w:ind w:left="0" w:firstLine="1440"/>
      </w:pPr>
      <w:r>
        <w:t>Michael Carlow, who describes himself as the assistant secretary, testified on behalf of the Complainant (N.T. 6</w:t>
      </w:r>
      <w:r w:rsidR="0045420F">
        <w:t>, 15</w:t>
      </w:r>
      <w:r>
        <w:t>).</w:t>
      </w:r>
    </w:p>
    <w:p w:rsidR="00D8572F" w:rsidRDefault="00D8572F" w:rsidP="00D8572F">
      <w:pPr>
        <w:pStyle w:val="ListParagraph"/>
      </w:pPr>
    </w:p>
    <w:p w:rsidR="00D8572F" w:rsidRDefault="00A93306" w:rsidP="00377DF4">
      <w:pPr>
        <w:pStyle w:val="ListParagraph"/>
        <w:numPr>
          <w:ilvl w:val="0"/>
          <w:numId w:val="1"/>
        </w:numPr>
        <w:spacing w:line="360" w:lineRule="auto"/>
        <w:ind w:left="0" w:firstLine="1440"/>
      </w:pPr>
      <w:r>
        <w:t>Mr. Carlow explains t</w:t>
      </w:r>
      <w:r w:rsidR="00B54963">
        <w:t>he Complainant was form</w:t>
      </w:r>
      <w:r w:rsidR="0075259F">
        <w:t>er</w:t>
      </w:r>
      <w:r w:rsidR="00B54963">
        <w:t>ly a cement plant that is situated on 11½ acres of land that is owned by GMI Land Company (N.T. </w:t>
      </w:r>
      <w:r w:rsidR="00337E81">
        <w:t>6-7</w:t>
      </w:r>
      <w:r w:rsidR="00B54963">
        <w:t>).</w:t>
      </w:r>
    </w:p>
    <w:p w:rsidR="00A93306" w:rsidRDefault="00A93306" w:rsidP="00A93306">
      <w:pPr>
        <w:pStyle w:val="ListParagraph"/>
      </w:pPr>
    </w:p>
    <w:p w:rsidR="008167D9" w:rsidRDefault="008167D9" w:rsidP="008167D9">
      <w:pPr>
        <w:pStyle w:val="ListParagraph"/>
        <w:spacing w:line="360" w:lineRule="auto"/>
        <w:ind w:left="1440"/>
      </w:pPr>
    </w:p>
    <w:p w:rsidR="008167D9" w:rsidRDefault="008167D9" w:rsidP="008167D9">
      <w:pPr>
        <w:pStyle w:val="ListParagraph"/>
        <w:spacing w:line="360" w:lineRule="auto"/>
        <w:ind w:left="1440"/>
      </w:pPr>
    </w:p>
    <w:p w:rsidR="00A93306" w:rsidRDefault="00A93306" w:rsidP="00377DF4">
      <w:pPr>
        <w:pStyle w:val="ListParagraph"/>
        <w:numPr>
          <w:ilvl w:val="0"/>
          <w:numId w:val="1"/>
        </w:numPr>
        <w:spacing w:line="360" w:lineRule="auto"/>
        <w:ind w:left="0" w:firstLine="1440"/>
      </w:pPr>
      <w:r>
        <w:lastRenderedPageBreak/>
        <w:t>Mr. Carlow is also</w:t>
      </w:r>
      <w:r w:rsidR="003425B3">
        <w:t xml:space="preserve"> vice-president and general manager</w:t>
      </w:r>
      <w:r>
        <w:t xml:space="preserve"> of GMI Land Company (N.T. 6</w:t>
      </w:r>
      <w:r w:rsidR="003425B3">
        <w:t>, 17-18</w:t>
      </w:r>
      <w:r>
        <w:t>).</w:t>
      </w:r>
    </w:p>
    <w:p w:rsidR="00B10918" w:rsidRDefault="00B10918" w:rsidP="00B10918">
      <w:pPr>
        <w:spacing w:line="360" w:lineRule="auto"/>
      </w:pPr>
    </w:p>
    <w:p w:rsidR="00CC349C" w:rsidRDefault="00CC349C" w:rsidP="00377DF4">
      <w:pPr>
        <w:pStyle w:val="ListParagraph"/>
        <w:numPr>
          <w:ilvl w:val="0"/>
          <w:numId w:val="1"/>
        </w:numPr>
        <w:spacing w:line="360" w:lineRule="auto"/>
        <w:ind w:left="0" w:firstLine="1440"/>
      </w:pPr>
      <w:r>
        <w:t>Prior to June 6, 2009, another company, Cemex,</w:t>
      </w:r>
      <w:r w:rsidR="00A268E0">
        <w:t xml:space="preserve"> shared the meter </w:t>
      </w:r>
      <w:r w:rsidR="00E57444">
        <w:t xml:space="preserve">and substation </w:t>
      </w:r>
      <w:r w:rsidR="00A268E0">
        <w:t xml:space="preserve">for electric service </w:t>
      </w:r>
      <w:r w:rsidR="00E57444">
        <w:t xml:space="preserve">from </w:t>
      </w:r>
      <w:r w:rsidR="00A268E0">
        <w:t>the Complainant at this site.  Thereafter, Cemex separated its facilities, installed its own transformer</w:t>
      </w:r>
      <w:r w:rsidR="000110F4">
        <w:t>, substation</w:t>
      </w:r>
      <w:r w:rsidR="00A268E0">
        <w:t xml:space="preserve"> and meter, and received electric service in its own right from Duquesne Light (N.T. </w:t>
      </w:r>
      <w:r w:rsidR="000110F4">
        <w:t xml:space="preserve">8-9, </w:t>
      </w:r>
      <w:r w:rsidR="00A268E0">
        <w:t>20).</w:t>
      </w:r>
    </w:p>
    <w:p w:rsidR="003425B3" w:rsidRDefault="003425B3" w:rsidP="003425B3">
      <w:pPr>
        <w:spacing w:line="360" w:lineRule="auto"/>
      </w:pPr>
    </w:p>
    <w:p w:rsidR="00337E81" w:rsidRDefault="007F6E85" w:rsidP="00377DF4">
      <w:pPr>
        <w:pStyle w:val="ListParagraph"/>
        <w:numPr>
          <w:ilvl w:val="0"/>
          <w:numId w:val="1"/>
        </w:numPr>
        <w:spacing w:line="360" w:lineRule="auto"/>
        <w:ind w:left="0" w:firstLine="1440"/>
      </w:pPr>
      <w:r>
        <w:t xml:space="preserve">Mr. Carlow </w:t>
      </w:r>
      <w:r w:rsidR="00DC0517">
        <w:t xml:space="preserve">insists the only equipment </w:t>
      </w:r>
      <w:r w:rsidR="00A268E0">
        <w:t xml:space="preserve">the Complainant </w:t>
      </w:r>
      <w:r w:rsidR="00DC0517">
        <w:t>operated on this site was an overhead crane that unloaded sludge from a pond for approximately three or four months from February until June 2008</w:t>
      </w:r>
      <w:r w:rsidR="003A4C84">
        <w:t xml:space="preserve"> (N.T. 7).</w:t>
      </w:r>
    </w:p>
    <w:p w:rsidR="003A4C84" w:rsidRDefault="003A4C84" w:rsidP="003A4C84">
      <w:pPr>
        <w:pStyle w:val="ListParagraph"/>
      </w:pPr>
    </w:p>
    <w:p w:rsidR="003A4C84" w:rsidRDefault="007F6E85" w:rsidP="00377DF4">
      <w:pPr>
        <w:pStyle w:val="ListParagraph"/>
        <w:numPr>
          <w:ilvl w:val="0"/>
          <w:numId w:val="1"/>
        </w:numPr>
        <w:spacing w:line="360" w:lineRule="auto"/>
        <w:ind w:left="0" w:firstLine="1440"/>
      </w:pPr>
      <w:r>
        <w:t xml:space="preserve">Mr. Carlow </w:t>
      </w:r>
      <w:r w:rsidR="00DA65FD">
        <w:t xml:space="preserve">alleges that all of </w:t>
      </w:r>
      <w:r>
        <w:t xml:space="preserve">the </w:t>
      </w:r>
      <w:r w:rsidR="00DA65FD">
        <w:t xml:space="preserve">bills for electric service were too high, starting with the first bills </w:t>
      </w:r>
      <w:r>
        <w:t xml:space="preserve">Complainant </w:t>
      </w:r>
      <w:r w:rsidR="00DA65FD">
        <w:t>received from Duquesne Light (N.T. 7-9).</w:t>
      </w:r>
    </w:p>
    <w:p w:rsidR="00DA65FD" w:rsidRDefault="00DA65FD" w:rsidP="00DA65FD">
      <w:pPr>
        <w:pStyle w:val="ListParagraph"/>
      </w:pPr>
    </w:p>
    <w:p w:rsidR="00DA65FD" w:rsidRDefault="00704727" w:rsidP="00377DF4">
      <w:pPr>
        <w:pStyle w:val="ListParagraph"/>
        <w:numPr>
          <w:ilvl w:val="0"/>
          <w:numId w:val="1"/>
        </w:numPr>
        <w:spacing w:line="360" w:lineRule="auto"/>
        <w:ind w:left="0" w:firstLine="1440"/>
      </w:pPr>
      <w:r>
        <w:t>Mr. Carlow states that i</w:t>
      </w:r>
      <w:r w:rsidR="00AB106F">
        <w:t>n June 200</w:t>
      </w:r>
      <w:r w:rsidR="001424D1">
        <w:t>9</w:t>
      </w:r>
      <w:r w:rsidR="00AB106F">
        <w:t>, representatives of the Complainant and the Respondent met to discuss the high bill dispute (N.T. 9).</w:t>
      </w:r>
    </w:p>
    <w:p w:rsidR="00AB106F" w:rsidRDefault="00AB106F" w:rsidP="00AB106F">
      <w:pPr>
        <w:pStyle w:val="ListParagraph"/>
      </w:pPr>
    </w:p>
    <w:p w:rsidR="00AB106F" w:rsidRDefault="00033C46" w:rsidP="00377DF4">
      <w:pPr>
        <w:pStyle w:val="ListParagraph"/>
        <w:numPr>
          <w:ilvl w:val="0"/>
          <w:numId w:val="1"/>
        </w:numPr>
        <w:spacing w:line="360" w:lineRule="auto"/>
        <w:ind w:left="0" w:firstLine="1440"/>
      </w:pPr>
      <w:r>
        <w:t>Mr. Carlow states that shortly after that meeting, the Complainant received a bill for electric service in excess of $24,000 (N.T. 9).</w:t>
      </w:r>
    </w:p>
    <w:p w:rsidR="00033C46" w:rsidRDefault="00033C46" w:rsidP="00033C46">
      <w:pPr>
        <w:pStyle w:val="ListParagraph"/>
      </w:pPr>
    </w:p>
    <w:p w:rsidR="00033C46" w:rsidRDefault="001424D1" w:rsidP="00377DF4">
      <w:pPr>
        <w:pStyle w:val="ListParagraph"/>
        <w:numPr>
          <w:ilvl w:val="0"/>
          <w:numId w:val="1"/>
        </w:numPr>
        <w:spacing w:line="360" w:lineRule="auto"/>
        <w:ind w:left="0" w:firstLine="1440"/>
      </w:pPr>
      <w:r>
        <w:t xml:space="preserve">The Complainant’s bill for electric service shows that in </w:t>
      </w:r>
      <w:r w:rsidR="00C307A9">
        <w:t xml:space="preserve">September </w:t>
      </w:r>
      <w:r>
        <w:t>2009, Duquesne Light charged it $24,004.58</w:t>
      </w:r>
      <w:r w:rsidR="006D5BD1">
        <w:t xml:space="preserve"> </w:t>
      </w:r>
      <w:r w:rsidR="00E57444">
        <w:t xml:space="preserve">for the period of </w:t>
      </w:r>
      <w:r w:rsidR="00C307A9">
        <w:t xml:space="preserve">July 31, 2009 to August 31, 2009 </w:t>
      </w:r>
      <w:r w:rsidR="006D5BD1">
        <w:t>(N.T. </w:t>
      </w:r>
      <w:r w:rsidR="00E57444">
        <w:t>21</w:t>
      </w:r>
      <w:r w:rsidR="006D5BD1">
        <w:t>; Respondent’s Exh. 1; Respondent’s Cross-Examination Exh. 1).</w:t>
      </w:r>
    </w:p>
    <w:p w:rsidR="006D5BD1" w:rsidRDefault="006D5BD1" w:rsidP="006D5BD1">
      <w:pPr>
        <w:pStyle w:val="ListParagraph"/>
      </w:pPr>
    </w:p>
    <w:p w:rsidR="006D5BD1" w:rsidRDefault="00C81AF5" w:rsidP="00377DF4">
      <w:pPr>
        <w:pStyle w:val="ListParagraph"/>
        <w:numPr>
          <w:ilvl w:val="0"/>
          <w:numId w:val="1"/>
        </w:numPr>
        <w:spacing w:line="360" w:lineRule="auto"/>
        <w:ind w:left="0" w:firstLine="1440"/>
      </w:pPr>
      <w:r>
        <w:t>Mr. Carlow relates that the only person in the plant was a guard and the only electrical equipment running were transformers and lifts in the office (N.T. 10</w:t>
      </w:r>
      <w:r w:rsidR="00E57444">
        <w:t>, 21</w:t>
      </w:r>
      <w:r>
        <w:t>).</w:t>
      </w:r>
    </w:p>
    <w:p w:rsidR="00C81AF5" w:rsidRDefault="00C81AF5" w:rsidP="00C81AF5">
      <w:pPr>
        <w:pStyle w:val="ListParagraph"/>
      </w:pPr>
    </w:p>
    <w:p w:rsidR="00C81AF5" w:rsidRDefault="005B7425" w:rsidP="00377DF4">
      <w:pPr>
        <w:pStyle w:val="ListParagraph"/>
        <w:numPr>
          <w:ilvl w:val="0"/>
          <w:numId w:val="1"/>
        </w:numPr>
        <w:spacing w:line="360" w:lineRule="auto"/>
        <w:ind w:left="0" w:firstLine="1440"/>
      </w:pPr>
      <w:r>
        <w:t>On September 21, 2009, Mr. Carlow met again with representatives from Duquesne Light</w:t>
      </w:r>
      <w:r w:rsidR="00674CA8">
        <w:t>, who explained to him that the abnormally high bill was due to a meter test that it performed (N.T. 10-13).</w:t>
      </w:r>
    </w:p>
    <w:p w:rsidR="00674CA8" w:rsidRDefault="00674CA8" w:rsidP="00674CA8">
      <w:pPr>
        <w:pStyle w:val="ListParagraph"/>
      </w:pPr>
    </w:p>
    <w:p w:rsidR="00674CA8" w:rsidRDefault="00674CA8" w:rsidP="00377DF4">
      <w:pPr>
        <w:pStyle w:val="ListParagraph"/>
        <w:numPr>
          <w:ilvl w:val="0"/>
          <w:numId w:val="1"/>
        </w:numPr>
        <w:spacing w:line="360" w:lineRule="auto"/>
        <w:ind w:left="0" w:firstLine="1440"/>
      </w:pPr>
      <w:r>
        <w:lastRenderedPageBreak/>
        <w:t xml:space="preserve">One of the Respondent’s representatives </w:t>
      </w:r>
      <w:r w:rsidR="00FC71CC">
        <w:t xml:space="preserve">at the meeting </w:t>
      </w:r>
      <w:r>
        <w:t>explained to Mr.</w:t>
      </w:r>
      <w:r w:rsidR="00AD5477">
        <w:t> </w:t>
      </w:r>
      <w:proofErr w:type="spellStart"/>
      <w:r>
        <w:t>Carlow</w:t>
      </w:r>
      <w:proofErr w:type="spellEnd"/>
      <w:r>
        <w:t xml:space="preserve"> that</w:t>
      </w:r>
      <w:r w:rsidR="00FC71CC">
        <w:t xml:space="preserve"> the on-site transformer was the Complainant’s responsibility (N.T. 13).</w:t>
      </w:r>
    </w:p>
    <w:p w:rsidR="00FC71CC" w:rsidRDefault="00FC71CC" w:rsidP="00FC71CC">
      <w:pPr>
        <w:pStyle w:val="ListParagraph"/>
      </w:pPr>
    </w:p>
    <w:p w:rsidR="00FC71CC" w:rsidRDefault="00FC71CC" w:rsidP="00377DF4">
      <w:pPr>
        <w:pStyle w:val="ListParagraph"/>
        <w:numPr>
          <w:ilvl w:val="0"/>
          <w:numId w:val="1"/>
        </w:numPr>
        <w:spacing w:line="360" w:lineRule="auto"/>
        <w:ind w:left="0" w:firstLine="1440"/>
      </w:pPr>
      <w:r>
        <w:t>Mr. Carlow filed the present complaint</w:t>
      </w:r>
      <w:r w:rsidR="00E1488F">
        <w:t xml:space="preserve">, because he believes </w:t>
      </w:r>
      <w:r w:rsidR="00367255">
        <w:t xml:space="preserve">the Complainant </w:t>
      </w:r>
      <w:r w:rsidR="00E1488F">
        <w:t>was overcharged and he would like the opportunity to audit the Respondent’s bill and inquire how many other times Duquesne Light tested the meter (N.T. 13</w:t>
      </w:r>
      <w:r w:rsidR="00E1488F">
        <w:noBreakHyphen/>
        <w:t>1</w:t>
      </w:r>
      <w:r w:rsidR="007F00D0">
        <w:t>5</w:t>
      </w:r>
      <w:r w:rsidR="00E1488F">
        <w:t>).</w:t>
      </w:r>
    </w:p>
    <w:p w:rsidR="00E1488F" w:rsidRDefault="00E1488F" w:rsidP="00E1488F">
      <w:pPr>
        <w:pStyle w:val="ListParagraph"/>
      </w:pPr>
    </w:p>
    <w:p w:rsidR="00E1488F" w:rsidRDefault="007F00D0" w:rsidP="00377DF4">
      <w:pPr>
        <w:pStyle w:val="ListParagraph"/>
        <w:numPr>
          <w:ilvl w:val="0"/>
          <w:numId w:val="1"/>
        </w:numPr>
        <w:spacing w:line="360" w:lineRule="auto"/>
        <w:ind w:left="0" w:firstLine="1440"/>
      </w:pPr>
      <w:r>
        <w:t>Mr. Carlow relates that</w:t>
      </w:r>
      <w:r w:rsidR="0045420F">
        <w:t xml:space="preserve"> no power has been used at the plant since September 2010 (N.T. 14).</w:t>
      </w:r>
    </w:p>
    <w:p w:rsidR="0045420F" w:rsidRDefault="0045420F" w:rsidP="0045420F">
      <w:pPr>
        <w:pStyle w:val="ListParagraph"/>
      </w:pPr>
    </w:p>
    <w:p w:rsidR="0045420F" w:rsidRDefault="00800149" w:rsidP="00377DF4">
      <w:pPr>
        <w:pStyle w:val="ListParagraph"/>
        <w:numPr>
          <w:ilvl w:val="0"/>
          <w:numId w:val="1"/>
        </w:numPr>
        <w:spacing w:line="360" w:lineRule="auto"/>
        <w:ind w:left="0" w:firstLine="1440"/>
      </w:pPr>
      <w:r>
        <w:t xml:space="preserve">Duquesne Light removed the </w:t>
      </w:r>
      <w:r w:rsidR="00C170ED">
        <w:t xml:space="preserve">amount </w:t>
      </w:r>
      <w:r>
        <w:t xml:space="preserve">of $24,004.58 from the Complainant’s bill after receiving Mr. Carlow’s complaint about the </w:t>
      </w:r>
      <w:r w:rsidR="002C2CA0">
        <w:t xml:space="preserve">charge </w:t>
      </w:r>
      <w:r w:rsidR="00291698">
        <w:t>(N.T. 23).</w:t>
      </w:r>
    </w:p>
    <w:p w:rsidR="00291698" w:rsidRDefault="00291698" w:rsidP="00291698">
      <w:pPr>
        <w:pStyle w:val="ListParagraph"/>
      </w:pPr>
    </w:p>
    <w:p w:rsidR="00291698" w:rsidRDefault="00A86CA2" w:rsidP="00377DF4">
      <w:pPr>
        <w:pStyle w:val="ListParagraph"/>
        <w:numPr>
          <w:ilvl w:val="0"/>
          <w:numId w:val="1"/>
        </w:numPr>
        <w:spacing w:line="360" w:lineRule="auto"/>
        <w:ind w:left="0" w:firstLine="1440"/>
      </w:pPr>
      <w:r>
        <w:t xml:space="preserve">Maria Tamilia </w:t>
      </w:r>
      <w:r w:rsidR="002911D7">
        <w:t>is a regulatory consumer relations specialist for Duquesne Light (N.T. 25).</w:t>
      </w:r>
    </w:p>
    <w:p w:rsidR="002911D7" w:rsidRDefault="002911D7" w:rsidP="002911D7">
      <w:pPr>
        <w:pStyle w:val="ListParagraph"/>
      </w:pPr>
    </w:p>
    <w:p w:rsidR="002911D7" w:rsidRDefault="00D74205" w:rsidP="00377DF4">
      <w:pPr>
        <w:pStyle w:val="ListParagraph"/>
        <w:numPr>
          <w:ilvl w:val="0"/>
          <w:numId w:val="1"/>
        </w:numPr>
        <w:spacing w:line="360" w:lineRule="auto"/>
        <w:ind w:left="0" w:firstLine="1440"/>
      </w:pPr>
      <w:r>
        <w:t>Ms. Tamilia sponsored the Complainant’s Account Statement with Duquesne Light (N.T. 26-</w:t>
      </w:r>
      <w:r w:rsidR="00AC006A">
        <w:t>29; Respondent’s Exh. 1</w:t>
      </w:r>
      <w:r>
        <w:t>).</w:t>
      </w:r>
    </w:p>
    <w:p w:rsidR="00AC006A" w:rsidRDefault="00AC006A" w:rsidP="00AC006A">
      <w:pPr>
        <w:pStyle w:val="ListParagraph"/>
      </w:pPr>
    </w:p>
    <w:p w:rsidR="00AC006A" w:rsidRDefault="00AC006A" w:rsidP="00377DF4">
      <w:pPr>
        <w:pStyle w:val="ListParagraph"/>
        <w:numPr>
          <w:ilvl w:val="0"/>
          <w:numId w:val="1"/>
        </w:numPr>
        <w:spacing w:line="360" w:lineRule="auto"/>
        <w:ind w:left="0" w:firstLine="1440"/>
      </w:pPr>
      <w:r>
        <w:t>The Account Statement shows that on September 1, 2009, Duquesne Light charged the Complainant $24,004.58 and on</w:t>
      </w:r>
      <w:r w:rsidR="00B933A6">
        <w:t xml:space="preserve"> September 2, 2009, it credited the account the same amount (N.T. 29; Respondent’s Exh. 1).</w:t>
      </w:r>
    </w:p>
    <w:p w:rsidR="00B933A6" w:rsidRDefault="00B933A6" w:rsidP="00B933A6">
      <w:pPr>
        <w:pStyle w:val="ListParagraph"/>
      </w:pPr>
    </w:p>
    <w:p w:rsidR="00B933A6" w:rsidRDefault="00B933A6" w:rsidP="00377DF4">
      <w:pPr>
        <w:pStyle w:val="ListParagraph"/>
        <w:numPr>
          <w:ilvl w:val="0"/>
          <w:numId w:val="1"/>
        </w:numPr>
        <w:spacing w:line="360" w:lineRule="auto"/>
        <w:ind w:left="0" w:firstLine="1440"/>
      </w:pPr>
      <w:r>
        <w:t>Until September 2009, Duquesne Light charged the Complainant under</w:t>
      </w:r>
      <w:r w:rsidR="007F6EA1">
        <w:t xml:space="preserve"> the general service large rate.  Thereafter, it charged the Complainant under the general service medium rate.  The change in rates occurred at the request of the Complainant (N.T. 29-30).</w:t>
      </w:r>
    </w:p>
    <w:p w:rsidR="007F6EA1" w:rsidRDefault="007F6EA1" w:rsidP="007F6EA1">
      <w:pPr>
        <w:pStyle w:val="ListParagraph"/>
      </w:pPr>
    </w:p>
    <w:p w:rsidR="007F6EA1" w:rsidRDefault="007F6EA1" w:rsidP="00377DF4">
      <w:pPr>
        <w:pStyle w:val="ListParagraph"/>
        <w:numPr>
          <w:ilvl w:val="0"/>
          <w:numId w:val="1"/>
        </w:numPr>
        <w:spacing w:line="360" w:lineRule="auto"/>
        <w:ind w:left="0" w:firstLine="1440"/>
      </w:pPr>
      <w:r>
        <w:t>The general service large rate applies to a customer with a substation</w:t>
      </w:r>
      <w:r w:rsidR="00A94BAC">
        <w:t>; the general service medium rate is given to a large commercial customer without a substation (N.T. 30).</w:t>
      </w:r>
    </w:p>
    <w:p w:rsidR="00A94BAC" w:rsidRDefault="00A94BAC" w:rsidP="00A94BAC">
      <w:pPr>
        <w:pStyle w:val="ListParagraph"/>
      </w:pPr>
    </w:p>
    <w:p w:rsidR="00A94BAC" w:rsidRDefault="0001676F" w:rsidP="00377DF4">
      <w:pPr>
        <w:pStyle w:val="ListParagraph"/>
        <w:numPr>
          <w:ilvl w:val="0"/>
          <w:numId w:val="1"/>
        </w:numPr>
        <w:spacing w:line="360" w:lineRule="auto"/>
        <w:ind w:left="0" w:firstLine="1440"/>
      </w:pPr>
      <w:r>
        <w:t>Testing a commercial meter can cause the meter to show a spike in load, which is usually reduced before a bill is sent to a customer (N.T. 33).</w:t>
      </w:r>
    </w:p>
    <w:p w:rsidR="0001676F" w:rsidRDefault="007A6F6C" w:rsidP="00377DF4">
      <w:pPr>
        <w:pStyle w:val="ListParagraph"/>
        <w:numPr>
          <w:ilvl w:val="0"/>
          <w:numId w:val="1"/>
        </w:numPr>
        <w:spacing w:line="360" w:lineRule="auto"/>
        <w:ind w:left="0" w:firstLine="1440"/>
      </w:pPr>
      <w:r>
        <w:lastRenderedPageBreak/>
        <w:t>Richard Lachimia is a senior meter engineer with 32 years of experience with Duquesne Light (N.T. 35).</w:t>
      </w:r>
    </w:p>
    <w:p w:rsidR="007A6F6C" w:rsidRDefault="007A6F6C" w:rsidP="007A6F6C">
      <w:pPr>
        <w:pStyle w:val="ListParagraph"/>
      </w:pPr>
    </w:p>
    <w:p w:rsidR="007A6F6C" w:rsidRDefault="00EC2BE4" w:rsidP="00377DF4">
      <w:pPr>
        <w:pStyle w:val="ListParagraph"/>
        <w:numPr>
          <w:ilvl w:val="0"/>
          <w:numId w:val="1"/>
        </w:numPr>
        <w:spacing w:line="360" w:lineRule="auto"/>
        <w:ind w:left="0" w:firstLine="1440"/>
      </w:pPr>
      <w:r>
        <w:t>Mr. Lachimia attended the meeting with Mr. Carlow on September 21, 2009</w:t>
      </w:r>
      <w:r w:rsidR="00FF598F">
        <w:t xml:space="preserve">.  He explained to Mr. Carlow </w:t>
      </w:r>
      <w:r w:rsidR="00B16D9E">
        <w:t xml:space="preserve">that the unusually high bill </w:t>
      </w:r>
      <w:r>
        <w:t>occurred as a result of a</w:t>
      </w:r>
      <w:r w:rsidR="00B16D9E">
        <w:t xml:space="preserve">n equipment </w:t>
      </w:r>
      <w:r>
        <w:t>malfunction during</w:t>
      </w:r>
      <w:r w:rsidR="00D07F6E">
        <w:t xml:space="preserve"> </w:t>
      </w:r>
      <w:r w:rsidR="00CF43B8">
        <w:t xml:space="preserve">meter </w:t>
      </w:r>
      <w:r w:rsidR="00D07F6E">
        <w:t xml:space="preserve">testing.  </w:t>
      </w:r>
      <w:r w:rsidR="00A91E22">
        <w:t>T</w:t>
      </w:r>
      <w:r w:rsidR="00B16D9E">
        <w:t xml:space="preserve">he </w:t>
      </w:r>
      <w:r w:rsidR="00D07F6E">
        <w:t>error occurred when the test jack</w:t>
      </w:r>
      <w:r w:rsidR="004D3D9B">
        <w:t xml:space="preserve"> that is plugged into the meter socket </w:t>
      </w:r>
      <w:r w:rsidR="00C17536">
        <w:t xml:space="preserve">malfunctioned. </w:t>
      </w:r>
      <w:r w:rsidR="004D3D9B">
        <w:t xml:space="preserve"> </w:t>
      </w:r>
      <w:r w:rsidR="00C17536">
        <w:t xml:space="preserve">The test jack </w:t>
      </w:r>
      <w:r w:rsidR="004D3D9B">
        <w:t xml:space="preserve">allows the same amount of energy to pass through the subject </w:t>
      </w:r>
      <w:r w:rsidR="00B73175">
        <w:t xml:space="preserve">meter </w:t>
      </w:r>
      <w:r w:rsidR="004D3D9B">
        <w:t>and a standard meter.  When the technician installed the device, a connector broke off inside and to avoid any short, the technician withdrew everything from the meter socket.</w:t>
      </w:r>
      <w:r w:rsidR="00F92459">
        <w:t xml:space="preserve">  When a second test jack was installed, the technician forgot to </w:t>
      </w:r>
      <w:r w:rsidR="00CF43B8">
        <w:t xml:space="preserve">reset </w:t>
      </w:r>
      <w:r w:rsidR="00F92459">
        <w:t xml:space="preserve">the meter in test mode and </w:t>
      </w:r>
      <w:r w:rsidR="00384E8E">
        <w:t xml:space="preserve">the meter </w:t>
      </w:r>
      <w:r w:rsidR="00F92459">
        <w:t>recorded the load</w:t>
      </w:r>
      <w:r w:rsidR="00B73175">
        <w:t xml:space="preserve"> during the test.</w:t>
      </w:r>
      <w:r w:rsidR="00A71C88">
        <w:t xml:space="preserve">  The recorded usage was then reported back to the Respondent as customer consumption </w:t>
      </w:r>
      <w:r w:rsidR="00D07F6E">
        <w:t>(N.T. 37</w:t>
      </w:r>
      <w:r w:rsidR="00A71C88">
        <w:t>-</w:t>
      </w:r>
      <w:r w:rsidR="00FF598F">
        <w:t>43</w:t>
      </w:r>
      <w:r w:rsidR="00F579EE">
        <w:t>, 50</w:t>
      </w:r>
      <w:r w:rsidR="00F579EE">
        <w:noBreakHyphen/>
      </w:r>
      <w:r w:rsidR="001127C1">
        <w:t>5</w:t>
      </w:r>
      <w:r w:rsidR="000512B2">
        <w:t>4</w:t>
      </w:r>
      <w:r w:rsidR="00EB09C8">
        <w:t>, 56-57</w:t>
      </w:r>
      <w:r w:rsidR="00D07F6E">
        <w:t>).</w:t>
      </w:r>
    </w:p>
    <w:p w:rsidR="00A71C88" w:rsidRDefault="00A71C88" w:rsidP="00A71C88">
      <w:pPr>
        <w:pStyle w:val="ListParagraph"/>
      </w:pPr>
    </w:p>
    <w:p w:rsidR="00A71C88" w:rsidRDefault="00CD4F10" w:rsidP="00377DF4">
      <w:pPr>
        <w:pStyle w:val="ListParagraph"/>
        <w:numPr>
          <w:ilvl w:val="0"/>
          <w:numId w:val="1"/>
        </w:numPr>
        <w:spacing w:line="360" w:lineRule="auto"/>
        <w:ind w:left="0" w:firstLine="1440"/>
      </w:pPr>
      <w:r>
        <w:t>Mr. Lachimia assures that the meter test showed the Complainant’s meter was registering accurately</w:t>
      </w:r>
      <w:r w:rsidR="00906155">
        <w:t xml:space="preserve"> (N.T. 44).</w:t>
      </w:r>
    </w:p>
    <w:p w:rsidR="000512B2" w:rsidRDefault="000512B2" w:rsidP="000512B2">
      <w:pPr>
        <w:pStyle w:val="ListParagraph"/>
      </w:pPr>
    </w:p>
    <w:p w:rsidR="000512B2" w:rsidRDefault="000512B2" w:rsidP="00377DF4">
      <w:pPr>
        <w:pStyle w:val="ListParagraph"/>
        <w:numPr>
          <w:ilvl w:val="0"/>
          <w:numId w:val="1"/>
        </w:numPr>
        <w:spacing w:line="360" w:lineRule="auto"/>
        <w:ind w:left="0" w:firstLine="1440"/>
      </w:pPr>
      <w:r>
        <w:t xml:space="preserve">The meter was tested again a second time </w:t>
      </w:r>
      <w:r w:rsidR="00DC49DB">
        <w:t xml:space="preserve">on February 2, 2010 </w:t>
      </w:r>
      <w:r>
        <w:t>and shown to record accurately</w:t>
      </w:r>
      <w:r w:rsidR="00DC49DB">
        <w:t>.  It measured 100.1% on full load and 100.0% on light load</w:t>
      </w:r>
      <w:r>
        <w:t xml:space="preserve"> (N.T. 44-45, 54</w:t>
      </w:r>
      <w:r w:rsidR="00DC49DB">
        <w:noBreakHyphen/>
      </w:r>
      <w:r w:rsidR="00AE028B">
        <w:t>55</w:t>
      </w:r>
      <w:r w:rsidR="00EB09C8">
        <w:t>, 57</w:t>
      </w:r>
      <w:r w:rsidR="00A52F50">
        <w:t>-58</w:t>
      </w:r>
      <w:r w:rsidR="00DC49DB">
        <w:t xml:space="preserve">; </w:t>
      </w:r>
      <w:r w:rsidR="00007936">
        <w:t>Affidavit of Richard Lachimia; Respondent’s Exh. 5</w:t>
      </w:r>
      <w:r>
        <w:t>).</w:t>
      </w:r>
      <w:r w:rsidR="000423B9">
        <w:rPr>
          <w:rStyle w:val="FootnoteReference"/>
        </w:rPr>
        <w:footnoteReference w:id="2"/>
      </w:r>
    </w:p>
    <w:p w:rsidR="001127C1" w:rsidRDefault="001127C1" w:rsidP="001127C1">
      <w:pPr>
        <w:pStyle w:val="ListParagraph"/>
      </w:pPr>
    </w:p>
    <w:p w:rsidR="001127C1" w:rsidRDefault="001127C1" w:rsidP="00377DF4">
      <w:pPr>
        <w:pStyle w:val="ListParagraph"/>
        <w:numPr>
          <w:ilvl w:val="0"/>
          <w:numId w:val="1"/>
        </w:numPr>
        <w:spacing w:line="360" w:lineRule="auto"/>
        <w:ind w:left="0" w:firstLine="1440"/>
      </w:pPr>
      <w:r>
        <w:t>Th</w:t>
      </w:r>
      <w:r w:rsidR="003D047B">
        <w:t>is</w:t>
      </w:r>
      <w:r>
        <w:t xml:space="preserve"> meter was originally placed in service in the mid to late 1990’s (N.T. 52).</w:t>
      </w:r>
    </w:p>
    <w:p w:rsidR="00A52F50" w:rsidRDefault="00A52F50" w:rsidP="00A52F50">
      <w:pPr>
        <w:pStyle w:val="ListParagraph"/>
      </w:pPr>
    </w:p>
    <w:p w:rsidR="00A52F50" w:rsidRDefault="00A52F50" w:rsidP="00377DF4">
      <w:pPr>
        <w:pStyle w:val="ListParagraph"/>
        <w:numPr>
          <w:ilvl w:val="0"/>
          <w:numId w:val="1"/>
        </w:numPr>
        <w:spacing w:line="360" w:lineRule="auto"/>
        <w:ind w:left="0" w:firstLine="1440"/>
      </w:pPr>
      <w:r>
        <w:t>A meter is tested both before and after removal from service.  Pursuant to regulation, this type of meter is tested every 16 years while in service (N.T. 58-59).</w:t>
      </w:r>
    </w:p>
    <w:p w:rsidR="00906155" w:rsidRDefault="00906155" w:rsidP="00906155">
      <w:pPr>
        <w:pStyle w:val="ListParagraph"/>
      </w:pPr>
    </w:p>
    <w:p w:rsidR="00906155" w:rsidRDefault="00906155" w:rsidP="00377DF4">
      <w:pPr>
        <w:pStyle w:val="ListParagraph"/>
        <w:numPr>
          <w:ilvl w:val="0"/>
          <w:numId w:val="1"/>
        </w:numPr>
        <w:spacing w:line="360" w:lineRule="auto"/>
        <w:ind w:left="0" w:firstLine="1440"/>
      </w:pPr>
      <w:r>
        <w:t>To Mr. Lachimia’s knowledge, this is the first time that a customer has been billed an erroneous amount due to a test mode problem (N.T. 45).</w:t>
      </w:r>
    </w:p>
    <w:p w:rsidR="00906155" w:rsidRDefault="00906155" w:rsidP="00906155">
      <w:pPr>
        <w:pStyle w:val="ListParagraph"/>
      </w:pPr>
    </w:p>
    <w:p w:rsidR="008167D9" w:rsidRDefault="008167D9">
      <w:r>
        <w:br w:type="page"/>
      </w:r>
    </w:p>
    <w:p w:rsidR="00906155" w:rsidRDefault="008F616E" w:rsidP="00377DF4">
      <w:pPr>
        <w:pStyle w:val="ListParagraph"/>
        <w:numPr>
          <w:ilvl w:val="0"/>
          <w:numId w:val="1"/>
        </w:numPr>
        <w:spacing w:line="360" w:lineRule="auto"/>
        <w:ind w:left="0" w:firstLine="1440"/>
      </w:pPr>
      <w:r>
        <w:lastRenderedPageBreak/>
        <w:t>Upon conclusion of the meeting, Mr. Carlow discussed with Mr. Lachimia the transformers he wanted to shut down in the switch room next to the Complainant’s substation</w:t>
      </w:r>
      <w:r w:rsidR="00311DFA">
        <w:t>.  One of these transformers feeds Duquesne Light’s protection equipment in the substation (N.T. 46-47).</w:t>
      </w:r>
    </w:p>
    <w:p w:rsidR="00235C10" w:rsidRDefault="00235C10" w:rsidP="00235C10">
      <w:pPr>
        <w:spacing w:line="360" w:lineRule="auto"/>
      </w:pPr>
    </w:p>
    <w:p w:rsidR="003D047B" w:rsidRDefault="00150037" w:rsidP="00377DF4">
      <w:pPr>
        <w:pStyle w:val="ListParagraph"/>
        <w:numPr>
          <w:ilvl w:val="0"/>
          <w:numId w:val="1"/>
        </w:numPr>
        <w:spacing w:line="360" w:lineRule="auto"/>
        <w:ind w:left="0" w:firstLine="1440"/>
      </w:pPr>
      <w:r>
        <w:t xml:space="preserve">Electrical energy must be maintained for the Respondent’s protection equipment at the substation to </w:t>
      </w:r>
      <w:r w:rsidR="00B23C3B">
        <w:t xml:space="preserve">supply </w:t>
      </w:r>
      <w:r>
        <w:t xml:space="preserve">some degree of </w:t>
      </w:r>
      <w:r w:rsidR="00B23C3B">
        <w:t xml:space="preserve">temperature moderation </w:t>
      </w:r>
      <w:r>
        <w:t xml:space="preserve">in the control room and </w:t>
      </w:r>
      <w:r w:rsidR="00B23C3B">
        <w:t xml:space="preserve">charge the batteries </w:t>
      </w:r>
      <w:r>
        <w:t>to energize breakers in the event of an equipment failure or fault.  The breakers are needed to isolate th</w:t>
      </w:r>
      <w:r w:rsidR="0095074F">
        <w:t>e</w:t>
      </w:r>
      <w:r>
        <w:t xml:space="preserve"> customer from the rest of Duquesne Light</w:t>
      </w:r>
      <w:r w:rsidR="00B23C3B">
        <w:t>’s grid</w:t>
      </w:r>
      <w:r w:rsidR="00EB09C8">
        <w:t xml:space="preserve"> (N.T. 56).</w:t>
      </w:r>
    </w:p>
    <w:p w:rsidR="00311DFA" w:rsidRDefault="00311DFA" w:rsidP="00311DFA">
      <w:pPr>
        <w:pStyle w:val="ListParagraph"/>
      </w:pPr>
    </w:p>
    <w:p w:rsidR="00311DFA" w:rsidRDefault="003F7148" w:rsidP="00377DF4">
      <w:pPr>
        <w:pStyle w:val="ListParagraph"/>
        <w:numPr>
          <w:ilvl w:val="0"/>
          <w:numId w:val="1"/>
        </w:numPr>
        <w:spacing w:line="360" w:lineRule="auto"/>
        <w:ind w:left="0" w:firstLine="1440"/>
      </w:pPr>
      <w:r>
        <w:t>Duquesne Light audits a customer’s account as a normal part of any high bill complaint (N.T. 47).</w:t>
      </w:r>
    </w:p>
    <w:p w:rsidR="003F7148" w:rsidRDefault="003F7148" w:rsidP="003F7148">
      <w:pPr>
        <w:pStyle w:val="ListParagraph"/>
      </w:pPr>
    </w:p>
    <w:p w:rsidR="003F7148" w:rsidRDefault="003F7148" w:rsidP="00377DF4">
      <w:pPr>
        <w:pStyle w:val="ListParagraph"/>
        <w:numPr>
          <w:ilvl w:val="0"/>
          <w:numId w:val="1"/>
        </w:numPr>
        <w:spacing w:line="360" w:lineRule="auto"/>
        <w:ind w:left="0" w:firstLine="1440"/>
      </w:pPr>
      <w:r>
        <w:t>Mr. Lachimia did not see any activity in the areas of the plant that he walked through during the meeting on September 21, 2009</w:t>
      </w:r>
      <w:r w:rsidR="002C496C">
        <w:t>, although transformers in the Complainant’s substation were operating</w:t>
      </w:r>
      <w:r w:rsidR="00F579EE">
        <w:t xml:space="preserve"> (N.T. 49</w:t>
      </w:r>
      <w:r w:rsidR="00153BD2">
        <w:t>, 60-61</w:t>
      </w:r>
      <w:r w:rsidR="00F579EE">
        <w:t>).</w:t>
      </w:r>
    </w:p>
    <w:p w:rsidR="00F579EE" w:rsidRDefault="00F579EE" w:rsidP="00F579EE">
      <w:pPr>
        <w:pStyle w:val="ListParagraph"/>
      </w:pPr>
    </w:p>
    <w:p w:rsidR="00F579EE" w:rsidRDefault="0025017E" w:rsidP="00377DF4">
      <w:pPr>
        <w:pStyle w:val="ListParagraph"/>
        <w:numPr>
          <w:ilvl w:val="0"/>
          <w:numId w:val="1"/>
        </w:numPr>
        <w:spacing w:line="360" w:lineRule="auto"/>
        <w:ind w:left="0" w:firstLine="1440"/>
      </w:pPr>
      <w:r>
        <w:t xml:space="preserve">The substation at the plant site is the customer’s substation.  </w:t>
      </w:r>
      <w:r w:rsidR="00AE028B">
        <w:t xml:space="preserve">All of the energy recorded on the meter in the Complainant’s substation is solely for use on this </w:t>
      </w:r>
      <w:r>
        <w:t xml:space="preserve">property </w:t>
      </w:r>
      <w:r w:rsidR="00AE028B">
        <w:t>(N.T. 55</w:t>
      </w:r>
      <w:r>
        <w:t>-56</w:t>
      </w:r>
      <w:r w:rsidR="00AE028B">
        <w:t>).</w:t>
      </w:r>
    </w:p>
    <w:p w:rsidR="00AE028B" w:rsidRDefault="00AE028B" w:rsidP="00AE028B">
      <w:pPr>
        <w:pStyle w:val="ListParagraph"/>
      </w:pPr>
    </w:p>
    <w:p w:rsidR="00AE028B" w:rsidRDefault="00D411CC" w:rsidP="00377DF4">
      <w:pPr>
        <w:pStyle w:val="ListParagraph"/>
        <w:numPr>
          <w:ilvl w:val="0"/>
          <w:numId w:val="1"/>
        </w:numPr>
        <w:spacing w:line="360" w:lineRule="auto"/>
        <w:ind w:left="0" w:firstLine="1440"/>
      </w:pPr>
      <w:r>
        <w:t>Michelle Antantis</w:t>
      </w:r>
      <w:r w:rsidR="006A5419">
        <w:t>, a principal engineer, has been employed with Duquesne Light for 21 years (N.T. 62-63).</w:t>
      </w:r>
    </w:p>
    <w:p w:rsidR="006A5419" w:rsidRDefault="006A5419" w:rsidP="006A5419">
      <w:pPr>
        <w:pStyle w:val="ListParagraph"/>
      </w:pPr>
    </w:p>
    <w:p w:rsidR="006A5419" w:rsidRDefault="00BE538C" w:rsidP="00377DF4">
      <w:pPr>
        <w:pStyle w:val="ListParagraph"/>
        <w:numPr>
          <w:ilvl w:val="0"/>
          <w:numId w:val="1"/>
        </w:numPr>
        <w:spacing w:line="360" w:lineRule="auto"/>
        <w:ind w:left="0" w:firstLine="1440"/>
      </w:pPr>
      <w:r>
        <w:t>Ms. Antantis sponsored a drawing of the substation on the Complainant’s property (N.T. 63</w:t>
      </w:r>
      <w:r w:rsidR="009E6D80">
        <w:t>-64</w:t>
      </w:r>
      <w:r w:rsidR="00000E45">
        <w:t>, 70-71</w:t>
      </w:r>
      <w:r>
        <w:t>; Respondent’s Exh. 2).</w:t>
      </w:r>
    </w:p>
    <w:p w:rsidR="009E6D80" w:rsidRDefault="009E6D80" w:rsidP="009E6D80">
      <w:pPr>
        <w:pStyle w:val="ListParagraph"/>
      </w:pPr>
    </w:p>
    <w:p w:rsidR="008167D9" w:rsidRDefault="009E6D80" w:rsidP="00377DF4">
      <w:pPr>
        <w:pStyle w:val="ListParagraph"/>
        <w:numPr>
          <w:ilvl w:val="0"/>
          <w:numId w:val="1"/>
        </w:numPr>
        <w:spacing w:line="360" w:lineRule="auto"/>
        <w:ind w:left="0" w:firstLine="1440"/>
      </w:pPr>
      <w:r>
        <w:t xml:space="preserve">The Complainant’s substation receives electric service from a 23 </w:t>
      </w:r>
      <w:r w:rsidR="008F7FAE">
        <w:t xml:space="preserve">kV sub-transmission line.  </w:t>
      </w:r>
      <w:r w:rsidR="00AD08FA">
        <w:t xml:space="preserve">The sub-transmission line passes through the substation.  </w:t>
      </w:r>
      <w:r w:rsidR="008F7FAE">
        <w:t xml:space="preserve">A Duquesne Light-owned transformer in that substation </w:t>
      </w:r>
      <w:r w:rsidR="00AD08FA">
        <w:t xml:space="preserve">taps into the sub-transmission line and </w:t>
      </w:r>
      <w:r w:rsidR="008F7FAE">
        <w:t>steps down the power from 23 kV to 4 kV</w:t>
      </w:r>
      <w:r w:rsidR="00CD008C">
        <w:t xml:space="preserve"> for use at the Complainant’s facility</w:t>
      </w:r>
      <w:r w:rsidR="00585561">
        <w:t xml:space="preserve">.  This arrangement has been in </w:t>
      </w:r>
    </w:p>
    <w:p w:rsidR="008167D9" w:rsidRDefault="008167D9">
      <w:r>
        <w:br w:type="page"/>
      </w:r>
    </w:p>
    <w:p w:rsidR="009E6D80" w:rsidRDefault="00585561" w:rsidP="008167D9">
      <w:pPr>
        <w:pStyle w:val="ListParagraph"/>
        <w:spacing w:line="360" w:lineRule="auto"/>
        <w:ind w:left="0"/>
      </w:pPr>
      <w:proofErr w:type="gramStart"/>
      <w:r>
        <w:lastRenderedPageBreak/>
        <w:t>effect</w:t>
      </w:r>
      <w:proofErr w:type="gramEnd"/>
      <w:r>
        <w:t xml:space="preserve"> with previous owners of the property since at least 1916 </w:t>
      </w:r>
      <w:r w:rsidR="00CD008C">
        <w:t>(N.T. 64</w:t>
      </w:r>
      <w:r w:rsidR="003E58F1">
        <w:t>-65</w:t>
      </w:r>
      <w:r w:rsidR="00000E45">
        <w:t>, 71</w:t>
      </w:r>
      <w:r w:rsidR="004A6940">
        <w:t>-72</w:t>
      </w:r>
      <w:r w:rsidR="00D7261B">
        <w:t>; Respondent’s Exh. 2</w:t>
      </w:r>
      <w:r w:rsidR="00CD008C">
        <w:t>).</w:t>
      </w:r>
    </w:p>
    <w:p w:rsidR="00CD008C" w:rsidRDefault="00CD008C" w:rsidP="00CD008C">
      <w:pPr>
        <w:pStyle w:val="ListParagraph"/>
      </w:pPr>
    </w:p>
    <w:p w:rsidR="00CD008C" w:rsidRDefault="00292BDB" w:rsidP="00377DF4">
      <w:pPr>
        <w:pStyle w:val="ListParagraph"/>
        <w:numPr>
          <w:ilvl w:val="0"/>
          <w:numId w:val="1"/>
        </w:numPr>
        <w:spacing w:line="360" w:lineRule="auto"/>
        <w:ind w:left="0" w:firstLine="1440"/>
      </w:pPr>
      <w:r>
        <w:t>T</w:t>
      </w:r>
      <w:r w:rsidR="000E06E2">
        <w:t xml:space="preserve">he Complainant’s substation </w:t>
      </w:r>
      <w:r w:rsidR="001D3480">
        <w:t>h</w:t>
      </w:r>
      <w:r w:rsidR="000E06E2">
        <w:t>as a 10,000 kV transformer</w:t>
      </w:r>
      <w:r w:rsidR="001D3480">
        <w:t xml:space="preserve">, which is fairly large for this </w:t>
      </w:r>
      <w:r w:rsidR="0068267D">
        <w:t xml:space="preserve">type of </w:t>
      </w:r>
      <w:r w:rsidR="001D3480">
        <w:t xml:space="preserve">substation.  The electrical consumption for the Complainant shows that it is using much less than what the substation was constructed </w:t>
      </w:r>
      <w:r w:rsidR="00EA2A73">
        <w:t>to handle</w:t>
      </w:r>
      <w:r w:rsidR="0068267D">
        <w:t>.  With these small consumption figures, Duquesne Light would not install such a substation for this customer today.  Instead, the Respondent would provide a much smaller service</w:t>
      </w:r>
      <w:r w:rsidR="001F14FC">
        <w:t xml:space="preserve">.  But since the Complainant inherited this substation, it is allowed to keep it </w:t>
      </w:r>
      <w:r w:rsidR="001D3480">
        <w:t>(N.T. 66</w:t>
      </w:r>
      <w:r w:rsidR="0068267D">
        <w:t>-67</w:t>
      </w:r>
      <w:r w:rsidR="001D3480">
        <w:t>).</w:t>
      </w:r>
    </w:p>
    <w:p w:rsidR="001D3480" w:rsidRDefault="001D3480" w:rsidP="001D3480">
      <w:pPr>
        <w:pStyle w:val="ListParagraph"/>
      </w:pPr>
    </w:p>
    <w:p w:rsidR="001D3480" w:rsidRDefault="00292BDB" w:rsidP="00377DF4">
      <w:pPr>
        <w:pStyle w:val="ListParagraph"/>
        <w:numPr>
          <w:ilvl w:val="0"/>
          <w:numId w:val="1"/>
        </w:numPr>
        <w:spacing w:line="360" w:lineRule="auto"/>
        <w:ind w:left="0" w:firstLine="1440"/>
      </w:pPr>
      <w:r>
        <w:t>Ms. Antantis explains the Complainant is responsible for everything on its side of the transformer in the substation</w:t>
      </w:r>
      <w:r w:rsidR="00BB0A9C">
        <w:t xml:space="preserve"> (N.T. 67-68).</w:t>
      </w:r>
    </w:p>
    <w:p w:rsidR="00BB0A9C" w:rsidRDefault="00BB0A9C" w:rsidP="00BB0A9C">
      <w:pPr>
        <w:pStyle w:val="ListParagraph"/>
      </w:pPr>
    </w:p>
    <w:p w:rsidR="00BB0A9C" w:rsidRDefault="006F2502" w:rsidP="00377DF4">
      <w:pPr>
        <w:pStyle w:val="ListParagraph"/>
        <w:numPr>
          <w:ilvl w:val="0"/>
          <w:numId w:val="1"/>
        </w:numPr>
        <w:spacing w:line="360" w:lineRule="auto"/>
        <w:ind w:left="0" w:firstLine="1440"/>
      </w:pPr>
      <w:r>
        <w:t>In addition, the Complainant</w:t>
      </w:r>
      <w:r w:rsidR="00D228C3">
        <w:t>, as standard operating procedure,</w:t>
      </w:r>
      <w:r>
        <w:t xml:space="preserve"> is responsible for providing electric power for Duquesne Light to </w:t>
      </w:r>
      <w:r w:rsidR="001D3C32">
        <w:t xml:space="preserve">supply </w:t>
      </w:r>
      <w:r>
        <w:t>lighting in the substation, fans to cool</w:t>
      </w:r>
      <w:r w:rsidR="00FD2D18">
        <w:t xml:space="preserve"> the transformer, and energy to charge the batteries to trip the breaker if an equipment failure or fault occurs</w:t>
      </w:r>
      <w:r w:rsidR="00080A41">
        <w:t>, all of which is to ensure the safe operation of the substation</w:t>
      </w:r>
      <w:r w:rsidR="006F15CA">
        <w:t xml:space="preserve">.  When the plant is running, this </w:t>
      </w:r>
      <w:r w:rsidR="00641E56">
        <w:t xml:space="preserve">operation </w:t>
      </w:r>
      <w:r w:rsidR="006F15CA">
        <w:t>is a small percentage of the overall bill for electric usage</w:t>
      </w:r>
      <w:r w:rsidR="00080A41">
        <w:t xml:space="preserve"> (N.T. 68</w:t>
      </w:r>
      <w:r w:rsidR="007801E9">
        <w:t>-69</w:t>
      </w:r>
      <w:r w:rsidR="004A6940">
        <w:t>, 72-7</w:t>
      </w:r>
      <w:r w:rsidR="0033786E">
        <w:t>4</w:t>
      </w:r>
      <w:r w:rsidR="00986178">
        <w:t>, 77-</w:t>
      </w:r>
      <w:r w:rsidR="00EC1F1B">
        <w:t>80</w:t>
      </w:r>
      <w:r w:rsidR="00986178">
        <w:t>; Respondent’s Exh. 3</w:t>
      </w:r>
      <w:r w:rsidR="00080A41">
        <w:t>).</w:t>
      </w:r>
    </w:p>
    <w:p w:rsidR="001A0817" w:rsidRDefault="001A0817" w:rsidP="001A0817">
      <w:pPr>
        <w:pStyle w:val="ListParagraph"/>
      </w:pPr>
    </w:p>
    <w:p w:rsidR="001A0817" w:rsidRDefault="001A0817" w:rsidP="00377DF4">
      <w:pPr>
        <w:pStyle w:val="ListParagraph"/>
        <w:numPr>
          <w:ilvl w:val="0"/>
          <w:numId w:val="1"/>
        </w:numPr>
        <w:spacing w:line="360" w:lineRule="auto"/>
        <w:ind w:left="0" w:firstLine="1440"/>
      </w:pPr>
      <w:r>
        <w:t xml:space="preserve">The transformer in this substation only </w:t>
      </w:r>
      <w:r w:rsidR="000E55EB">
        <w:t xml:space="preserve">feeds </w:t>
      </w:r>
      <w:r>
        <w:t>electric service to the Complainant.  It does not serve any other customer (N.T. 75).</w:t>
      </w:r>
    </w:p>
    <w:p w:rsidR="00080A41" w:rsidRDefault="00080A41" w:rsidP="00080A41">
      <w:pPr>
        <w:pStyle w:val="ListParagraph"/>
      </w:pPr>
    </w:p>
    <w:p w:rsidR="00080A41" w:rsidRDefault="009C7E4A" w:rsidP="00377DF4">
      <w:pPr>
        <w:pStyle w:val="ListParagraph"/>
        <w:numPr>
          <w:ilvl w:val="0"/>
          <w:numId w:val="1"/>
        </w:numPr>
        <w:spacing w:line="360" w:lineRule="auto"/>
        <w:ind w:left="0" w:firstLine="1440"/>
      </w:pPr>
      <w:r>
        <w:t>Shutting down the transformer without taking the substation off line would create a safety issue, since the batteries would draw down, the breaker equipment would not operate, the batteries without heat would crack, and there would be no lights in the substation</w:t>
      </w:r>
      <w:r w:rsidR="00986178">
        <w:t xml:space="preserve">.  If the breaker fails, every other customer on the circuit would experience an interruption of service </w:t>
      </w:r>
      <w:r>
        <w:t>(N.T. 69</w:t>
      </w:r>
      <w:r w:rsidR="000E55EB">
        <w:t>, 76-77</w:t>
      </w:r>
      <w:r w:rsidR="00EC1F1B">
        <w:t>, 79-80</w:t>
      </w:r>
      <w:r>
        <w:t>).</w:t>
      </w:r>
    </w:p>
    <w:p w:rsidR="009C7E4A" w:rsidRDefault="009C7E4A" w:rsidP="009C7E4A">
      <w:pPr>
        <w:pStyle w:val="ListParagraph"/>
      </w:pPr>
    </w:p>
    <w:p w:rsidR="009C7E4A" w:rsidRDefault="0008225B" w:rsidP="00377DF4">
      <w:pPr>
        <w:pStyle w:val="ListParagraph"/>
        <w:numPr>
          <w:ilvl w:val="0"/>
          <w:numId w:val="1"/>
        </w:numPr>
        <w:spacing w:line="360" w:lineRule="auto"/>
        <w:ind w:left="0" w:firstLine="1440"/>
      </w:pPr>
      <w:r>
        <w:t>The substation has been taken off line, but the sub-transmission line still passes through the substation.  Other customers on the sub-transmission line are unaffected (N.T. 69-70</w:t>
      </w:r>
      <w:r w:rsidR="00EC1F1B">
        <w:t>, 80</w:t>
      </w:r>
      <w:r>
        <w:t>).</w:t>
      </w:r>
    </w:p>
    <w:p w:rsidR="007D1DCB" w:rsidRDefault="00AB1E7F" w:rsidP="00377DF4">
      <w:pPr>
        <w:pStyle w:val="ListParagraph"/>
        <w:numPr>
          <w:ilvl w:val="0"/>
          <w:numId w:val="1"/>
        </w:numPr>
        <w:spacing w:line="360" w:lineRule="auto"/>
        <w:ind w:left="0" w:firstLine="1440"/>
      </w:pPr>
      <w:r>
        <w:lastRenderedPageBreak/>
        <w:t>Pursuant to Rule 13 of Duquesne Light’s tariff, Rules and Regulations, Customer’s Facilities, “The installation and maintenance of the customer’s wiring and equipment shall be in</w:t>
      </w:r>
      <w:r w:rsidR="008122D1">
        <w:t xml:space="preserve"> accordance with the Company’s ‘</w:t>
      </w:r>
      <w:r>
        <w:t>Electric Service Installation Rules</w:t>
      </w:r>
      <w:r w:rsidR="008122D1">
        <w:t>’</w:t>
      </w:r>
      <w:r>
        <w:t xml:space="preserve"> and shall be subject to the approval of the proper authorities</w:t>
      </w:r>
      <w:r w:rsidR="008122D1">
        <w:t>”</w:t>
      </w:r>
      <w:r>
        <w:t xml:space="preserve"> (N.T. 82</w:t>
      </w:r>
      <w:r w:rsidR="00671ACD">
        <w:t>-83</w:t>
      </w:r>
      <w:r>
        <w:t>; Respondent’s Exh. 4).</w:t>
      </w:r>
    </w:p>
    <w:p w:rsidR="00C1470B" w:rsidRDefault="00C1470B" w:rsidP="00C1470B">
      <w:pPr>
        <w:spacing w:line="360" w:lineRule="auto"/>
      </w:pPr>
    </w:p>
    <w:p w:rsidR="00C1470B" w:rsidRDefault="00C1470B" w:rsidP="00C1470B">
      <w:pPr>
        <w:spacing w:line="360" w:lineRule="auto"/>
        <w:jc w:val="center"/>
      </w:pPr>
      <w:r>
        <w:rPr>
          <w:u w:val="single"/>
        </w:rPr>
        <w:t>DISCUSSION</w:t>
      </w:r>
    </w:p>
    <w:p w:rsidR="00C1470B" w:rsidRDefault="00C1470B" w:rsidP="00C1470B">
      <w:pPr>
        <w:spacing w:line="360" w:lineRule="auto"/>
      </w:pPr>
    </w:p>
    <w:p w:rsidR="00C4680A" w:rsidRDefault="00C4680A" w:rsidP="00C4680A">
      <w:pPr>
        <w:spacing w:line="360" w:lineRule="auto"/>
      </w:pPr>
      <w:r>
        <w:tab/>
      </w:r>
      <w:r>
        <w:tab/>
        <w:t xml:space="preserve">The Complainant disputes the bills that it received from the Respondent for commercial electric service.  </w:t>
      </w:r>
      <w:r w:rsidR="008B0381" w:rsidRPr="008B0381">
        <w:t>Section 1501 of the Public Utility Code (the “Code”), 66 Pa. C.S. §1501, directs every public utility to furnish and maintain adequate, efficient, safe and reasonable service and facilities as shall be necessary or proper for the accommodation, convenience and safety of its patrons, employees and the public.  The term “service” is “[u]sed in its broadest and most inclusive sense, [a]nd includes any and all acts done, rendered, or performed, and any and all things furnished or supplied, and any and all facilities used, furnished, or supplied by public utilities . . . in the performance of their duties under . . .” the Code.  66 Pa. C.S. §102.  Thus, the term “service” is obviously broad enough to include the utility’s function of</w:t>
      </w:r>
      <w:r w:rsidR="008B0381">
        <w:t xml:space="preserve"> properly </w:t>
      </w:r>
      <w:r w:rsidR="008B0381" w:rsidRPr="008B0381">
        <w:t>reading the meter and billing its customer accurately for the electrical service it delivers.</w:t>
      </w:r>
      <w:r w:rsidR="008B0381">
        <w:t xml:space="preserve">  </w:t>
      </w:r>
      <w:r w:rsidRPr="00C7307B">
        <w:t xml:space="preserve">As the party seeking affirmative relief from the Commission, the Complainant bears the burden of proving </w:t>
      </w:r>
      <w:r>
        <w:t xml:space="preserve">that it </w:t>
      </w:r>
      <w:r w:rsidRPr="00C7307B">
        <w:t>is entitle</w:t>
      </w:r>
      <w:r>
        <w:t>d</w:t>
      </w:r>
      <w:r w:rsidRPr="00C7307B">
        <w:t xml:space="preserve"> to relief.  66 Pa. C.S. §332(a).</w:t>
      </w:r>
    </w:p>
    <w:p w:rsidR="00C4680A" w:rsidRDefault="00C4680A" w:rsidP="00C4680A">
      <w:pPr>
        <w:spacing w:line="360" w:lineRule="auto"/>
      </w:pPr>
    </w:p>
    <w:p w:rsidR="00C4680A" w:rsidRPr="00B96312" w:rsidRDefault="00C4680A" w:rsidP="00C4680A">
      <w:pPr>
        <w:spacing w:line="360" w:lineRule="auto"/>
      </w:pPr>
      <w:r>
        <w:tab/>
      </w:r>
      <w:r>
        <w:tab/>
      </w:r>
      <w:r w:rsidRPr="00B96312">
        <w:t xml:space="preserve">The term “burden of proof” means a duty to establish a fact by a preponderance of the evidence.  </w:t>
      </w:r>
      <w:r w:rsidRPr="00B96312">
        <w:rPr>
          <w:u w:val="single"/>
        </w:rPr>
        <w:t>Se-Ling Hosiery v. Marqulies</w:t>
      </w:r>
      <w:r>
        <w:t>, 364 </w:t>
      </w:r>
      <w:r w:rsidRPr="00B96312">
        <w:t xml:space="preserve">Pa. 45, 70 A.2d 854 (1954); </w:t>
      </w:r>
      <w:r>
        <w:t xml:space="preserve">and </w:t>
      </w:r>
      <w:r w:rsidRPr="00B96312">
        <w:rPr>
          <w:u w:val="single"/>
        </w:rPr>
        <w:t>Feinstein v. Philadelphia Suburban Water Company</w:t>
      </w:r>
      <w:r w:rsidRPr="00B96312">
        <w:t>, 50 Pa. P.U.C. 300 (1976).  “</w:t>
      </w:r>
      <w:r>
        <w:t>P</w:t>
      </w:r>
      <w:r w:rsidRPr="00B96312">
        <w:t xml:space="preserve">reponderance of the evidence” means one party must present evidence that is more convincing, by even the smallest amount, than the evidence presented by the other party.  </w:t>
      </w:r>
      <w:smartTag w:uri="urn:schemas-microsoft-com:office:smarttags" w:element="place">
        <w:smartTag w:uri="urn:schemas-microsoft-com:office:smarttags" w:element="State">
          <w:r w:rsidRPr="00B96312">
            <w:rPr>
              <w:i/>
            </w:rPr>
            <w:t>Id</w:t>
          </w:r>
          <w:r w:rsidRPr="00B96312">
            <w:t>.</w:t>
          </w:r>
        </w:smartTag>
      </w:smartTag>
      <w:r w:rsidRPr="00B96312">
        <w:t xml:space="preserve">  Accordingly, one must review the record in this case to determine whether the Complainant</w:t>
      </w:r>
      <w:r>
        <w:t xml:space="preserve"> has</w:t>
      </w:r>
      <w:r w:rsidRPr="00B96312">
        <w:t xml:space="preserve"> satisfied </w:t>
      </w:r>
      <w:r>
        <w:t xml:space="preserve">its </w:t>
      </w:r>
      <w:r w:rsidRPr="00B96312">
        <w:t>burden of proof.  If the review indicates the burden has been satisfied, one must then determine whether the Respondent has submitted evidence of co-equal value or w</w:t>
      </w:r>
      <w:r>
        <w:t>eight to refute the Complainant’s</w:t>
      </w:r>
      <w:r w:rsidRPr="00B96312">
        <w:t xml:space="preserve"> evidence.  If this has occurred, the burden of proof cannot be satisfied, unless the party bearing the burden of proof presents additional evidence.  </w:t>
      </w:r>
      <w:r w:rsidRPr="00B96312">
        <w:rPr>
          <w:u w:val="single"/>
        </w:rPr>
        <w:t>Morissey v. Pa. Dept. of Highways</w:t>
      </w:r>
      <w:r w:rsidRPr="00B96312">
        <w:t xml:space="preserve">, 424 </w:t>
      </w:r>
      <w:smartTag w:uri="urn:schemas-microsoft-com:office:smarttags" w:element="place">
        <w:smartTag w:uri="urn:schemas-microsoft-com:office:smarttags" w:element="State">
          <w:r w:rsidRPr="00B96312">
            <w:t>Pa.</w:t>
          </w:r>
        </w:smartTag>
      </w:smartTag>
      <w:r w:rsidRPr="00B96312">
        <w:t xml:space="preserve"> 87, 225 A.2d </w:t>
      </w:r>
      <w:r w:rsidRPr="00B96312">
        <w:lastRenderedPageBreak/>
        <w:t xml:space="preserve">895 (1967); and </w:t>
      </w:r>
      <w:r w:rsidRPr="00B96312">
        <w:rPr>
          <w:u w:val="single"/>
        </w:rPr>
        <w:t>Burleson v. Pa. P.U.C.</w:t>
      </w:r>
      <w:r w:rsidRPr="00B96312">
        <w:t xml:space="preserve">, 443 A.2d 1373 (Pa. Cmwlth. 1982), </w:t>
      </w:r>
      <w:r w:rsidRPr="00B96312">
        <w:rPr>
          <w:i/>
        </w:rPr>
        <w:t>affirmed</w:t>
      </w:r>
      <w:r w:rsidRPr="00B96312">
        <w:t>, 501 Pa. 443, 461 A.2d 1234.</w:t>
      </w:r>
    </w:p>
    <w:p w:rsidR="00C4680A" w:rsidRPr="00B96312" w:rsidRDefault="00C4680A" w:rsidP="00C4680A">
      <w:pPr>
        <w:spacing w:line="360" w:lineRule="auto"/>
      </w:pPr>
    </w:p>
    <w:p w:rsidR="00C4680A" w:rsidRPr="00B96312" w:rsidRDefault="00C4680A" w:rsidP="00C4680A">
      <w:pPr>
        <w:spacing w:line="360" w:lineRule="auto"/>
      </w:pPr>
      <w:r w:rsidRPr="00B96312">
        <w:tab/>
      </w:r>
      <w:r w:rsidRPr="00B96312">
        <w:tab/>
        <w:t xml:space="preserve">Furthermore, one must exercise care to ensure substantial evidence in the record supports the decision of the Commission.  </w:t>
      </w:r>
      <w:r w:rsidRPr="00B96312">
        <w:rPr>
          <w:i/>
        </w:rPr>
        <w:t>See</w:t>
      </w:r>
      <w:r w:rsidRPr="00B96312">
        <w:t xml:space="preserve">, </w:t>
      </w:r>
      <w:r w:rsidRPr="00B96312">
        <w:rPr>
          <w:i/>
        </w:rPr>
        <w:t>e.g.</w:t>
      </w:r>
      <w:r w:rsidRPr="00B96312">
        <w:t xml:space="preserve">, Section 704 of the Administrative Agency Law, 2 Pa. C.S. §704; </w:t>
      </w:r>
      <w:r>
        <w:t xml:space="preserve">and </w:t>
      </w:r>
      <w:r w:rsidRPr="00B96312">
        <w:rPr>
          <w:u w:val="single"/>
        </w:rPr>
        <w:t>Yellow Cab Company v. Pa. P.U.C.</w:t>
      </w:r>
      <w:r w:rsidRPr="00B96312">
        <w:t>, 524 A.2d 1069 (Pa. Cmwlth. 1987).  “</w:t>
      </w:r>
      <w:r>
        <w:t>S</w:t>
      </w:r>
      <w:r w:rsidRPr="00B96312">
        <w:t>ubstantial evidence” mean</w:t>
      </w:r>
      <w:r>
        <w:t>s</w:t>
      </w:r>
      <w:r w:rsidRPr="00B96312">
        <w:t xml:space="preserve"> such relevant evidence that a reasonable mind may accept as adequate to support a conclusion.  </w:t>
      </w:r>
      <w:smartTag w:uri="urn:schemas-microsoft-com:office:smarttags" w:element="City">
        <w:r>
          <w:rPr>
            <w:u w:val="single"/>
          </w:rPr>
          <w:t>Philadelphia</w:t>
        </w:r>
      </w:smartTag>
      <w:r>
        <w:rPr>
          <w:u w:val="single"/>
        </w:rPr>
        <w:t xml:space="preserve"> Gas Works v. </w:t>
      </w:r>
      <w:smartTag w:uri="urn:schemas-microsoft-com:office:smarttags" w:element="State">
        <w:r>
          <w:rPr>
            <w:u w:val="single"/>
          </w:rPr>
          <w:t>Pa.</w:t>
        </w:r>
      </w:smartTag>
      <w:r>
        <w:rPr>
          <w:u w:val="single"/>
        </w:rPr>
        <w:t xml:space="preserve"> P.U.C.</w:t>
      </w:r>
      <w:r>
        <w:t>, 898 A.2d 671 (</w:t>
      </w:r>
      <w:smartTag w:uri="urn:schemas-microsoft-com:office:smarttags" w:element="place">
        <w:smartTag w:uri="urn:schemas-microsoft-com:office:smarttags" w:element="State">
          <w:r>
            <w:t>Pa.</w:t>
          </w:r>
        </w:smartTag>
      </w:smartTag>
      <w:r>
        <w:t xml:space="preserve"> Cmwlth. 2006).  The pertinent inquiry is whether substantial evidence exists to support the Commission’s findings.  </w:t>
      </w:r>
      <w:r>
        <w:rPr>
          <w:u w:val="single"/>
        </w:rPr>
        <w:t>Elliot Co. v. Workers’ Comp. Appeal Bd. (Shipley)</w:t>
      </w:r>
      <w:r>
        <w:t xml:space="preserve">, 785 A.2d 480 (Pa. Cmwlth. 2002).  </w:t>
      </w:r>
      <w:r w:rsidRPr="00B96312">
        <w:t xml:space="preserve">More is required than a mere trace of evidence or a suspicion of the existence of a fact sought to be established.  </w:t>
      </w:r>
      <w:r w:rsidRPr="00B96312">
        <w:rPr>
          <w:u w:val="single"/>
        </w:rPr>
        <w:t>Norfolk &amp; Western Ry. Co. v. Pa. P.U.C.</w:t>
      </w:r>
      <w:r>
        <w:t xml:space="preserve">, 489 </w:t>
      </w:r>
      <w:r w:rsidRPr="00B96312">
        <w:t xml:space="preserve">Pa. 109, 413 A.2d 1037 (1980); </w:t>
      </w:r>
      <w:r w:rsidRPr="00B96312">
        <w:rPr>
          <w:u w:val="single"/>
        </w:rPr>
        <w:t>Erie Resistor Corp. v. Unemployment Comp. Bd. of Review</w:t>
      </w:r>
      <w:r w:rsidRPr="00B96312">
        <w:t xml:space="preserve">, 194 Pa. Superior Ct. 278, 166 A.2d 96 (1961); and </w:t>
      </w:r>
      <w:r w:rsidRPr="00B96312">
        <w:rPr>
          <w:u w:val="single"/>
        </w:rPr>
        <w:t>Murphy v. Pa. Dept. of Public Welfare, White Haven Center</w:t>
      </w:r>
      <w:r w:rsidRPr="00B96312">
        <w:t xml:space="preserve">, 480 A.2d 382 (Pa. Cmwlth. 1984).  </w:t>
      </w:r>
      <w:r>
        <w:t>In addition,</w:t>
      </w:r>
      <w:r w:rsidRPr="00B96312">
        <w:t xml:space="preserve"> a complainant, to establish a sufficient case against a utility and satisfy the burden of proof, must show the utility is responsible or accountable for the problem described in the complaint.  </w:t>
      </w:r>
      <w:r w:rsidRPr="00B96312">
        <w:rPr>
          <w:u w:val="single"/>
        </w:rPr>
        <w:t>Feinstein</w:t>
      </w:r>
      <w:r w:rsidRPr="00B96312">
        <w:t xml:space="preserve">, </w:t>
      </w:r>
      <w:r w:rsidRPr="00B96312">
        <w:rPr>
          <w:i/>
        </w:rPr>
        <w:t>supra</w:t>
      </w:r>
      <w:r w:rsidRPr="00B96312">
        <w:t>.</w:t>
      </w:r>
    </w:p>
    <w:p w:rsidR="00C4680A" w:rsidRDefault="00C4680A" w:rsidP="00C4680A">
      <w:pPr>
        <w:spacing w:line="360" w:lineRule="auto"/>
      </w:pPr>
    </w:p>
    <w:p w:rsidR="00C4680A" w:rsidRPr="00B96312" w:rsidRDefault="00C4680A" w:rsidP="00C4680A">
      <w:pPr>
        <w:spacing w:line="360" w:lineRule="auto"/>
      </w:pPr>
      <w:r w:rsidRPr="00B96312">
        <w:tab/>
      </w:r>
      <w:r w:rsidRPr="00B96312">
        <w:tab/>
        <w:t xml:space="preserve">In </w:t>
      </w:r>
      <w:r w:rsidRPr="00B96312">
        <w:rPr>
          <w:u w:val="single"/>
        </w:rPr>
        <w:t>Waldron v. Philadelphia Electric Company</w:t>
      </w:r>
      <w:r w:rsidRPr="00B96312">
        <w:t xml:space="preserve">, 54 Pa. P.U.C. 98 (1980), the Commission outlined the general dynamics for the burden of proof in a case that raises a high bill dispute.  In order to determine whether a complainant has established a </w:t>
      </w:r>
      <w:r w:rsidRPr="000728CC">
        <w:rPr>
          <w:i/>
        </w:rPr>
        <w:t>prima facie</w:t>
      </w:r>
      <w:r w:rsidRPr="00B96312">
        <w:t xml:space="preserve"> case where there are claims of unusually high bills, certain factors must be considered.  While the accuracy of the meter is an important factor in resolving a billing dispute, it is not the sole criterion.  </w:t>
      </w:r>
      <w:r w:rsidRPr="00B96312">
        <w:rPr>
          <w:i/>
        </w:rPr>
        <w:t>Id</w:t>
      </w:r>
      <w:r w:rsidRPr="00B96312">
        <w:t xml:space="preserve">. at 100.  A complainant may establish a </w:t>
      </w:r>
      <w:r w:rsidRPr="000728CC">
        <w:rPr>
          <w:i/>
        </w:rPr>
        <w:t>prima facie</w:t>
      </w:r>
      <w:r w:rsidRPr="00B96312">
        <w:t xml:space="preserve"> case by</w:t>
      </w:r>
      <w:r w:rsidRPr="000728CC">
        <w:t xml:space="preserve"> </w:t>
      </w:r>
      <w:r w:rsidRPr="00B96312">
        <w:t>showing that: (1) the disputed bill was abnormally high when compared to prior usage patterns; and (2) his/her</w:t>
      </w:r>
      <w:r w:rsidR="00876F1B">
        <w:t>/its</w:t>
      </w:r>
      <w:r w:rsidRPr="00B96312">
        <w:t xml:space="preserve"> pattern of usage had not changed.  </w:t>
      </w:r>
      <w:smartTag w:uri="urn:schemas-microsoft-com:office:smarttags" w:element="place">
        <w:smartTag w:uri="urn:schemas-microsoft-com:office:smarttags" w:element="State">
          <w:r w:rsidRPr="00B96312">
            <w:rPr>
              <w:i/>
            </w:rPr>
            <w:t>Id</w:t>
          </w:r>
          <w:r w:rsidRPr="00B96312">
            <w:t>.</w:t>
          </w:r>
        </w:smartTag>
      </w:smartTag>
      <w:r w:rsidRPr="00B96312">
        <w:t xml:space="preserve">  In looking at these criteria, one may consider the billing history of the account, any change in the number of occupants residing in the household</w:t>
      </w:r>
      <w:r w:rsidR="00876F1B">
        <w:t xml:space="preserve"> (if a residential account)</w:t>
      </w:r>
      <w:r w:rsidRPr="00B96312">
        <w:t xml:space="preserve">, the potential for energy utilization, and any other relevant facts or circumstances that come to light during the proceeding.  </w:t>
      </w:r>
      <w:r w:rsidRPr="00B96312">
        <w:rPr>
          <w:u w:val="single"/>
        </w:rPr>
        <w:t>Replogle v. Pennsylvania Electric Company</w:t>
      </w:r>
      <w:r w:rsidRPr="00B96312">
        <w:t>, 54 Pa. P.U.C. 528 (1980).</w:t>
      </w:r>
      <w:r>
        <w:t xml:space="preserve">  In this way, a complainant may prove entitlement to relief </w:t>
      </w:r>
      <w:r>
        <w:lastRenderedPageBreak/>
        <w:t xml:space="preserve">by wholly circumstantial evidence, rather than direct evidence of some utility misfeasance.  </w:t>
      </w:r>
      <w:r>
        <w:rPr>
          <w:u w:val="single"/>
        </w:rPr>
        <w:t>Milkie v. Pa. P.U.C.</w:t>
      </w:r>
      <w:r>
        <w:t>, 768 A.2d 1217 (Pa. Cmwlth. 2001).</w:t>
      </w:r>
    </w:p>
    <w:p w:rsidR="00C4680A" w:rsidRPr="00B96312" w:rsidRDefault="00C4680A" w:rsidP="00C4680A">
      <w:pPr>
        <w:spacing w:line="360" w:lineRule="auto"/>
      </w:pPr>
    </w:p>
    <w:p w:rsidR="00C1470B" w:rsidRDefault="00C4680A" w:rsidP="00C4680A">
      <w:pPr>
        <w:spacing w:line="360" w:lineRule="auto"/>
      </w:pPr>
      <w:r w:rsidRPr="00B96312">
        <w:tab/>
      </w:r>
      <w:r w:rsidRPr="00B96312">
        <w:tab/>
        <w:t xml:space="preserve">The “Waldron Rule” is nothing more than an evidentiary rule to apportion the burden of going forward with the evidence.  </w:t>
      </w:r>
      <w:r w:rsidRPr="00B96312">
        <w:rPr>
          <w:u w:val="single"/>
        </w:rPr>
        <w:t>Pennsylvania Electric Company v. Pa. P.U.C.</w:t>
      </w:r>
      <w:r w:rsidRPr="00B96312">
        <w:t xml:space="preserve">, 473 A.2d 704, 705-6 (Pa. Cmwlth. 1984).  As such, it is immaterial to the applicability of the rule whether the customer is residential, commercial or industrial. </w:t>
      </w:r>
      <w:r>
        <w:t xml:space="preserve"> </w:t>
      </w:r>
      <w:r w:rsidRPr="00B96312">
        <w:rPr>
          <w:u w:val="single"/>
        </w:rPr>
        <w:t>Chiaverini v. Duquesne Light Company</w:t>
      </w:r>
      <w:r w:rsidRPr="00B96312">
        <w:t>, Docket No. C-00945562 (Order entered February 13, 1995)</w:t>
      </w:r>
      <w:r>
        <w:t>; and</w:t>
      </w:r>
      <w:r w:rsidRPr="00B96312">
        <w:t xml:space="preserve"> </w:t>
      </w:r>
      <w:r w:rsidRPr="00B96312">
        <w:rPr>
          <w:u w:val="single"/>
        </w:rPr>
        <w:t>Kupstas v. Pennsylvania Gas &amp; Water Company</w:t>
      </w:r>
      <w:r>
        <w:t>, Docket No. F</w:t>
      </w:r>
      <w:r>
        <w:noBreakHyphen/>
      </w:r>
      <w:r w:rsidRPr="00B96312">
        <w:t>09136863 (Order entered September 17, 1992).  Application of these criteria to the present case reveals the Complainant ha</w:t>
      </w:r>
      <w:r>
        <w:t>s</w:t>
      </w:r>
      <w:r w:rsidRPr="00B96312">
        <w:t xml:space="preserve"> </w:t>
      </w:r>
      <w:r>
        <w:t xml:space="preserve">not </w:t>
      </w:r>
      <w:r w:rsidRPr="00B96312">
        <w:t xml:space="preserve">carried </w:t>
      </w:r>
      <w:r w:rsidR="00876F1B">
        <w:t xml:space="preserve">its </w:t>
      </w:r>
      <w:r w:rsidRPr="00B96312">
        <w:t xml:space="preserve">burden of proving </w:t>
      </w:r>
      <w:r>
        <w:t xml:space="preserve">that </w:t>
      </w:r>
      <w:r w:rsidR="00876F1B">
        <w:t xml:space="preserve">it </w:t>
      </w:r>
      <w:r>
        <w:t xml:space="preserve">is </w:t>
      </w:r>
      <w:r w:rsidRPr="00B96312">
        <w:t>entitled to relief.</w:t>
      </w:r>
    </w:p>
    <w:p w:rsidR="00CE1386" w:rsidRDefault="00CE1386" w:rsidP="00C4680A">
      <w:pPr>
        <w:spacing w:line="360" w:lineRule="auto"/>
      </w:pPr>
    </w:p>
    <w:p w:rsidR="00CE1386" w:rsidRDefault="00CE1386" w:rsidP="00C4680A">
      <w:pPr>
        <w:spacing w:line="360" w:lineRule="auto"/>
      </w:pPr>
      <w:r>
        <w:tab/>
      </w:r>
      <w:r>
        <w:tab/>
      </w:r>
      <w:r w:rsidR="004A7821">
        <w:t xml:space="preserve">The Complainant claims that it has been overbilled since it began receiving electric service from Duquesne Light in January 2008.  </w:t>
      </w:r>
      <w:r w:rsidRPr="00CE1386">
        <w:t xml:space="preserve">For proof, the Complainant </w:t>
      </w:r>
      <w:r w:rsidR="002147C2">
        <w:t xml:space="preserve">insists that, except for the operation of an overhead crane from February until June 2008, </w:t>
      </w:r>
      <w:r w:rsidR="008B157C">
        <w:t xml:space="preserve">the plant has been shut down.  </w:t>
      </w:r>
      <w:r w:rsidR="00FB5649">
        <w:t xml:space="preserve">It </w:t>
      </w:r>
      <w:r w:rsidRPr="00CE1386">
        <w:t xml:space="preserve">offers nothing more than </w:t>
      </w:r>
      <w:r w:rsidR="00FB5649">
        <w:t xml:space="preserve">the </w:t>
      </w:r>
      <w:r w:rsidRPr="00CE1386">
        <w:t xml:space="preserve">supposition that because the Respondent erred in reading </w:t>
      </w:r>
      <w:r w:rsidR="00FB5649">
        <w:t xml:space="preserve">the </w:t>
      </w:r>
      <w:r w:rsidRPr="00CE1386">
        <w:t xml:space="preserve">meter </w:t>
      </w:r>
      <w:r w:rsidR="00FB5649">
        <w:t>i</w:t>
      </w:r>
      <w:r w:rsidRPr="00CE1386">
        <w:t>n</w:t>
      </w:r>
      <w:r w:rsidR="00FB5649">
        <w:t xml:space="preserve"> September 2009 </w:t>
      </w:r>
      <w:r w:rsidRPr="00CE1386">
        <w:t>when it sent a bill in the amount of $</w:t>
      </w:r>
      <w:r w:rsidR="00FB5649">
        <w:t>24,004.58</w:t>
      </w:r>
      <w:r w:rsidRPr="00CE1386">
        <w:t xml:space="preserve">, </w:t>
      </w:r>
      <w:r w:rsidR="00590E89">
        <w:t>Duquesne Light</w:t>
      </w:r>
      <w:r w:rsidR="00590E89" w:rsidRPr="00CE1386">
        <w:t xml:space="preserve"> </w:t>
      </w:r>
      <w:r w:rsidRPr="00CE1386">
        <w:t xml:space="preserve">must have erred </w:t>
      </w:r>
      <w:r w:rsidR="00590E89">
        <w:t xml:space="preserve">on other occasions as well </w:t>
      </w:r>
      <w:r w:rsidRPr="00CE1386">
        <w:t>(</w:t>
      </w:r>
      <w:r w:rsidR="00590E89">
        <w:t xml:space="preserve">Respondent’s </w:t>
      </w:r>
      <w:r w:rsidRPr="00CE1386">
        <w:t>Exh. </w:t>
      </w:r>
      <w:r w:rsidR="00AB0CD7">
        <w:t>1; Respondent’s Cross-Examination Exh. 1</w:t>
      </w:r>
      <w:r w:rsidRPr="00CE1386">
        <w:t xml:space="preserve">).  Mere speculation or surmise does not constitute evidence; it clearly is insufficient to meet one’s burden of proof.  </w:t>
      </w:r>
      <w:r w:rsidRPr="00CE1386">
        <w:rPr>
          <w:u w:val="single"/>
        </w:rPr>
        <w:t>Norfolk &amp; Western Ry. Co.</w:t>
      </w:r>
      <w:r w:rsidRPr="00CE1386">
        <w:t xml:space="preserve">, </w:t>
      </w:r>
      <w:r w:rsidRPr="005A187E">
        <w:rPr>
          <w:i/>
        </w:rPr>
        <w:t>supra</w:t>
      </w:r>
      <w:r w:rsidR="00AB0CD7">
        <w:t>.</w:t>
      </w:r>
    </w:p>
    <w:p w:rsidR="00AB0CD7" w:rsidRDefault="00AB0CD7" w:rsidP="00C4680A">
      <w:pPr>
        <w:spacing w:line="360" w:lineRule="auto"/>
      </w:pPr>
    </w:p>
    <w:p w:rsidR="00AB0CD7" w:rsidRDefault="00AB0CD7" w:rsidP="00C4680A">
      <w:pPr>
        <w:spacing w:line="360" w:lineRule="auto"/>
      </w:pPr>
      <w:r>
        <w:tab/>
      </w:r>
      <w:r>
        <w:tab/>
      </w:r>
      <w:r w:rsidR="00845F3E">
        <w:t>Furthermore</w:t>
      </w:r>
      <w:r>
        <w:t>,</w:t>
      </w:r>
      <w:r w:rsidR="00F33E7A">
        <w:t xml:space="preserve"> Duquesne Light</w:t>
      </w:r>
      <w:r w:rsidR="00F33E7A" w:rsidRPr="00CE1386">
        <w:t xml:space="preserve"> admits it </w:t>
      </w:r>
      <w:r w:rsidR="00F33E7A">
        <w:t xml:space="preserve">mistakenly billed </w:t>
      </w:r>
      <w:r w:rsidR="00D21145">
        <w:t>the Complainant</w:t>
      </w:r>
      <w:r w:rsidR="00F33E7A" w:rsidRPr="00CE1386">
        <w:t xml:space="preserve"> </w:t>
      </w:r>
      <w:r w:rsidR="00C20D32">
        <w:t>in September 2009</w:t>
      </w:r>
      <w:r w:rsidR="00D21145">
        <w:t>.</w:t>
      </w:r>
      <w:r w:rsidR="00C20D32">
        <w:t xml:space="preserve">  As described more fully above,</w:t>
      </w:r>
      <w:r w:rsidR="00881418">
        <w:rPr>
          <w:rStyle w:val="FootnoteReference"/>
        </w:rPr>
        <w:footnoteReference w:id="3"/>
      </w:r>
      <w:r w:rsidR="00C20D32">
        <w:t xml:space="preserve"> the error occurred </w:t>
      </w:r>
      <w:r w:rsidR="00DB5F5F">
        <w:t xml:space="preserve">when a technician failed to reset the meter to the proper mode during testing.  </w:t>
      </w:r>
      <w:r w:rsidR="00501CDE">
        <w:t xml:space="preserve">The meter then recorded the test load as customer usage and this information passed on into billing.  </w:t>
      </w:r>
      <w:r w:rsidR="001B1E47">
        <w:t xml:space="preserve">The Respondent, however, corrected the bill the next day (Respondent’s Exh. 1).  </w:t>
      </w:r>
      <w:r w:rsidR="00804469">
        <w:t>T</w:t>
      </w:r>
      <w:r w:rsidR="00D93DF2">
        <w:t xml:space="preserve">he Respondent </w:t>
      </w:r>
      <w:r w:rsidR="00F33E7A" w:rsidRPr="00CE1386">
        <w:t xml:space="preserve">denies </w:t>
      </w:r>
      <w:r w:rsidR="00D93DF2">
        <w:t xml:space="preserve">other </w:t>
      </w:r>
      <w:r w:rsidR="00F33E7A" w:rsidRPr="00CE1386">
        <w:t xml:space="preserve">bills were inaccurate or it overcharged the Complainant.  </w:t>
      </w:r>
      <w:r w:rsidR="00D93DF2">
        <w:t xml:space="preserve">Indeed, no other bills </w:t>
      </w:r>
      <w:r w:rsidR="00881418">
        <w:t xml:space="preserve">are shown to be </w:t>
      </w:r>
      <w:r w:rsidR="00D93DF2">
        <w:t>abnormal.</w:t>
      </w:r>
    </w:p>
    <w:p w:rsidR="00242F9F" w:rsidRDefault="00242F9F" w:rsidP="00C4680A">
      <w:pPr>
        <w:spacing w:line="360" w:lineRule="auto"/>
      </w:pPr>
    </w:p>
    <w:p w:rsidR="008167D9" w:rsidRDefault="00242F9F" w:rsidP="00C4680A">
      <w:pPr>
        <w:spacing w:line="360" w:lineRule="auto"/>
      </w:pPr>
      <w:r>
        <w:tab/>
      </w:r>
      <w:r>
        <w:tab/>
      </w:r>
    </w:p>
    <w:p w:rsidR="008167D9" w:rsidRDefault="008167D9">
      <w:r>
        <w:br w:type="page"/>
      </w:r>
    </w:p>
    <w:p w:rsidR="00242F9F" w:rsidRDefault="00845F3E" w:rsidP="008167D9">
      <w:pPr>
        <w:spacing w:line="360" w:lineRule="auto"/>
        <w:ind w:firstLine="1440"/>
      </w:pPr>
      <w:r>
        <w:lastRenderedPageBreak/>
        <w:t>Moreover</w:t>
      </w:r>
      <w:r w:rsidR="00242F9F">
        <w:t>,</w:t>
      </w:r>
      <w:r w:rsidR="005A187E">
        <w:t xml:space="preserve"> the Complainant appears to have the capacity to </w:t>
      </w:r>
      <w:r>
        <w:t>consume the amount of electricity for which it has been billed.</w:t>
      </w:r>
      <w:r w:rsidR="00B426DB">
        <w:t xml:space="preserve">  Accepting </w:t>
      </w:r>
      <w:r w:rsidR="003B09AF">
        <w:t xml:space="preserve">for the moment </w:t>
      </w:r>
      <w:r w:rsidR="00B426DB">
        <w:t xml:space="preserve">the Complainant’s assertion that the cement plant shut down, other equipment </w:t>
      </w:r>
      <w:r w:rsidR="003B09AF">
        <w:t>on the premises still continued to operate.</w:t>
      </w:r>
      <w:r w:rsidR="00E70B6D">
        <w:t xml:space="preserve">  The Complainant’s substation receives electric service from a 23 kV sub-transmission line.  The sub-transmission line passes through the substation.  A Duquesne Light-owned transformer in that substation taps into the sub-transmission line and steps down the power from 23 kV to 4 kV for use at the Complainant’s facility.  This arrangement has been in effect with previous owners of the property since at least 1916 (N.T. 64-65, 71-72; Respondent’s Exh. 2).</w:t>
      </w:r>
    </w:p>
    <w:p w:rsidR="00E70B6D" w:rsidRDefault="00E70B6D" w:rsidP="00C4680A">
      <w:pPr>
        <w:spacing w:line="360" w:lineRule="auto"/>
      </w:pPr>
    </w:p>
    <w:p w:rsidR="00E70B6D" w:rsidRDefault="00E70B6D" w:rsidP="00C4680A">
      <w:pPr>
        <w:spacing w:line="360" w:lineRule="auto"/>
      </w:pPr>
      <w:r>
        <w:tab/>
      </w:r>
      <w:r>
        <w:tab/>
      </w:r>
      <w:r w:rsidR="00256E03">
        <w:t>The 10,000 kV transformer is fairly large for this type of substation.  The Complainant’s electrical consumption shows that it is using much less than what the substation was constructed to handle.  With these small consumption figures, Duquesne Light would not install such a substation for this customer today.  Instead, the Respondent would provide a much smaller service.  But since the Complainant inherited this substation, it is allowed to keep it (N.T. 66-67).</w:t>
      </w:r>
    </w:p>
    <w:p w:rsidR="00256E03" w:rsidRDefault="00256E03" w:rsidP="00C4680A">
      <w:pPr>
        <w:spacing w:line="360" w:lineRule="auto"/>
      </w:pPr>
    </w:p>
    <w:p w:rsidR="00256E03" w:rsidRDefault="00256E03" w:rsidP="00C4680A">
      <w:pPr>
        <w:spacing w:line="360" w:lineRule="auto"/>
      </w:pPr>
      <w:r>
        <w:tab/>
      </w:r>
      <w:r>
        <w:tab/>
      </w:r>
      <w:r w:rsidR="0053073C">
        <w:t xml:space="preserve">In addition, </w:t>
      </w:r>
      <w:r w:rsidR="00246DD5">
        <w:t xml:space="preserve">the Complainant is responsible for everything on its side of the transformer in the substation (N.T. 67-68).  </w:t>
      </w:r>
      <w:r w:rsidR="0053073C">
        <w:t xml:space="preserve">The Complainant, as standard operating procedure, is responsible for providing electric power for Duquesne Light to supply lighting in the substation, fans to cool the transformer, and energy to charge the batteries to trip the breaker if an equipment failure or fault occurs, all of which is to ensure the safe operation of the substation.  When the plant is running, the substation operation is a small percentage of the </w:t>
      </w:r>
      <w:r w:rsidR="00062290">
        <w:t xml:space="preserve">Complainant’s </w:t>
      </w:r>
      <w:r w:rsidR="0053073C">
        <w:t>overall bill (N.T. </w:t>
      </w:r>
      <w:r w:rsidR="008611B1">
        <w:t xml:space="preserve">56, </w:t>
      </w:r>
      <w:r w:rsidR="0053073C">
        <w:t>68-69, 72-74, 77-80; Respondent’s Exh. 3).</w:t>
      </w:r>
    </w:p>
    <w:p w:rsidR="00062290" w:rsidRDefault="00062290" w:rsidP="00C4680A">
      <w:pPr>
        <w:spacing w:line="360" w:lineRule="auto"/>
      </w:pPr>
    </w:p>
    <w:p w:rsidR="00062290" w:rsidRDefault="00062290" w:rsidP="00C4680A">
      <w:pPr>
        <w:spacing w:line="360" w:lineRule="auto"/>
      </w:pPr>
      <w:r>
        <w:tab/>
      </w:r>
      <w:r>
        <w:tab/>
        <w:t>Contrary to the Complainant’s supposition,</w:t>
      </w:r>
      <w:r w:rsidRPr="00062290">
        <w:t xml:space="preserve"> </w:t>
      </w:r>
      <w:r>
        <w:t>the transformer in this substation only feeds electric service</w:t>
      </w:r>
      <w:r w:rsidR="008611B1">
        <w:t xml:space="preserve"> for the Complainant’s consumption</w:t>
      </w:r>
      <w:r>
        <w:t>.  It does not serve any other customer (N.T. 75).</w:t>
      </w:r>
      <w:r w:rsidR="00C5748B">
        <w:t xml:space="preserve">  </w:t>
      </w:r>
      <w:r w:rsidR="00353358">
        <w:t xml:space="preserve">Shutting down the transformer without taking the substation off line </w:t>
      </w:r>
      <w:r w:rsidR="00181840">
        <w:t xml:space="preserve">as the Complainant wanted to do </w:t>
      </w:r>
      <w:r w:rsidR="00353358">
        <w:t xml:space="preserve">would create a safety issue, since the batteries would draw down, the breaker equipment would not operate, the batteries without heat would crack, and there would be no lights in the substation.  If the breaker fails, every other customer on the circuit would </w:t>
      </w:r>
      <w:r w:rsidR="00353358">
        <w:lastRenderedPageBreak/>
        <w:t>experience an interruption of service (N.T. 69, 76-77, 79-80).</w:t>
      </w:r>
      <w:r w:rsidR="00481279">
        <w:rPr>
          <w:rStyle w:val="FootnoteReference"/>
        </w:rPr>
        <w:footnoteReference w:id="4"/>
      </w:r>
      <w:r w:rsidR="00C71380">
        <w:t xml:space="preserve">  Accordingly, </w:t>
      </w:r>
      <w:r w:rsidR="009B5D2E">
        <w:t>continued operation of such equipment was essential for safety reasons so long as the substation remained in service.</w:t>
      </w:r>
    </w:p>
    <w:p w:rsidR="00C71380" w:rsidRDefault="00C71380" w:rsidP="00C4680A">
      <w:pPr>
        <w:spacing w:line="360" w:lineRule="auto"/>
      </w:pPr>
    </w:p>
    <w:p w:rsidR="00C71380" w:rsidRDefault="00C71380" w:rsidP="00C4680A">
      <w:pPr>
        <w:spacing w:line="360" w:lineRule="auto"/>
      </w:pPr>
      <w:r>
        <w:tab/>
      </w:r>
      <w:r>
        <w:tab/>
        <w:t xml:space="preserve">For </w:t>
      </w:r>
      <w:r w:rsidR="00016375">
        <w:t xml:space="preserve">all of </w:t>
      </w:r>
      <w:r>
        <w:t>the for</w:t>
      </w:r>
      <w:r w:rsidR="007C2025">
        <w:t>e</w:t>
      </w:r>
      <w:r>
        <w:t>going reasons, the</w:t>
      </w:r>
      <w:r w:rsidR="001F632A">
        <w:t xml:space="preserve"> Complainant has failed to prove that the Respondent has overcharged it for electric service.  Therefore, the complaint must be denied.</w:t>
      </w:r>
    </w:p>
    <w:p w:rsidR="00016375" w:rsidRDefault="00016375" w:rsidP="00C4680A">
      <w:pPr>
        <w:spacing w:line="360" w:lineRule="auto"/>
      </w:pPr>
    </w:p>
    <w:p w:rsidR="00016375" w:rsidRDefault="00016375" w:rsidP="00016375">
      <w:pPr>
        <w:spacing w:line="360" w:lineRule="auto"/>
        <w:jc w:val="center"/>
      </w:pPr>
      <w:r>
        <w:rPr>
          <w:u w:val="single"/>
        </w:rPr>
        <w:t>CONCLUSIONS OF LAW</w:t>
      </w:r>
    </w:p>
    <w:p w:rsidR="00016375" w:rsidRDefault="00016375" w:rsidP="00016375">
      <w:pPr>
        <w:spacing w:line="360" w:lineRule="auto"/>
      </w:pPr>
    </w:p>
    <w:p w:rsidR="00016375" w:rsidRDefault="006F22ED" w:rsidP="006F22ED">
      <w:pPr>
        <w:pStyle w:val="ListParagraph"/>
        <w:numPr>
          <w:ilvl w:val="0"/>
          <w:numId w:val="2"/>
        </w:numPr>
        <w:spacing w:line="360" w:lineRule="auto"/>
        <w:ind w:left="0" w:firstLine="1440"/>
      </w:pPr>
      <w:r w:rsidRPr="006F22ED">
        <w:t>The Commission has jurisdiction over the subject matter and the parties to this proceeding.  66 </w:t>
      </w:r>
      <w:smartTag w:uri="urn:schemas-microsoft-com:office:smarttags" w:element="place">
        <w:smartTag w:uri="urn:schemas-microsoft-com:office:smarttags" w:element="State">
          <w:r w:rsidRPr="006F22ED">
            <w:t>Pa.</w:t>
          </w:r>
        </w:smartTag>
      </w:smartTag>
      <w:r w:rsidRPr="006F22ED">
        <w:t xml:space="preserve"> C.S. §701.</w:t>
      </w:r>
    </w:p>
    <w:p w:rsidR="006F22ED" w:rsidRDefault="006F22ED" w:rsidP="006F22ED">
      <w:pPr>
        <w:pStyle w:val="ListParagraph"/>
        <w:spacing w:line="360" w:lineRule="auto"/>
        <w:ind w:left="1440"/>
      </w:pPr>
    </w:p>
    <w:p w:rsidR="006F22ED" w:rsidRDefault="006F22ED" w:rsidP="006F22ED">
      <w:pPr>
        <w:pStyle w:val="ListParagraph"/>
        <w:numPr>
          <w:ilvl w:val="0"/>
          <w:numId w:val="2"/>
        </w:numPr>
        <w:spacing w:line="360" w:lineRule="auto"/>
        <w:ind w:left="0" w:firstLine="1440"/>
      </w:pPr>
      <w:r w:rsidRPr="006F22ED">
        <w:t xml:space="preserve">The Complainant has not met </w:t>
      </w:r>
      <w:r w:rsidR="00B045F8">
        <w:t xml:space="preserve">its </w:t>
      </w:r>
      <w:r w:rsidRPr="006F22ED">
        <w:t xml:space="preserve">burden of proving that </w:t>
      </w:r>
      <w:r w:rsidR="00B045F8">
        <w:t xml:space="preserve">it </w:t>
      </w:r>
      <w:r w:rsidRPr="006F22ED">
        <w:t xml:space="preserve">is entitled to the relief </w:t>
      </w:r>
      <w:r w:rsidR="00B045F8">
        <w:t xml:space="preserve">it </w:t>
      </w:r>
      <w:r w:rsidRPr="006F22ED">
        <w:t>seeks from this Commission.  66 </w:t>
      </w:r>
      <w:smartTag w:uri="urn:schemas-microsoft-com:office:smarttags" w:element="place">
        <w:smartTag w:uri="urn:schemas-microsoft-com:office:smarttags" w:element="State">
          <w:r w:rsidRPr="006F22ED">
            <w:t>Pa.</w:t>
          </w:r>
        </w:smartTag>
      </w:smartTag>
      <w:r w:rsidRPr="006F22ED">
        <w:t xml:space="preserve"> C.S. §332(a).</w:t>
      </w:r>
    </w:p>
    <w:p w:rsidR="00B045F8" w:rsidRDefault="00B045F8" w:rsidP="00B045F8">
      <w:pPr>
        <w:pStyle w:val="ListParagraph"/>
      </w:pPr>
    </w:p>
    <w:p w:rsidR="00B045F8" w:rsidRDefault="00B045F8" w:rsidP="00B045F8">
      <w:pPr>
        <w:spacing w:line="360" w:lineRule="auto"/>
        <w:jc w:val="center"/>
      </w:pPr>
      <w:r>
        <w:rPr>
          <w:u w:val="single"/>
        </w:rPr>
        <w:t>ORDER</w:t>
      </w:r>
    </w:p>
    <w:p w:rsidR="00B045F8" w:rsidRDefault="00B045F8" w:rsidP="00B045F8">
      <w:pPr>
        <w:spacing w:line="360" w:lineRule="auto"/>
      </w:pPr>
    </w:p>
    <w:p w:rsidR="00B045F8" w:rsidRDefault="00B045F8" w:rsidP="00B045F8">
      <w:pPr>
        <w:spacing w:line="360" w:lineRule="auto"/>
      </w:pPr>
      <w:r>
        <w:tab/>
      </w:r>
      <w:r>
        <w:tab/>
        <w:t>THEREFORE,</w:t>
      </w:r>
    </w:p>
    <w:p w:rsidR="00B045F8" w:rsidRDefault="00B045F8" w:rsidP="00B045F8">
      <w:pPr>
        <w:spacing w:line="360" w:lineRule="auto"/>
      </w:pPr>
    </w:p>
    <w:p w:rsidR="00B045F8" w:rsidRDefault="00B045F8" w:rsidP="00B045F8">
      <w:pPr>
        <w:spacing w:line="360" w:lineRule="auto"/>
      </w:pPr>
      <w:r>
        <w:tab/>
      </w:r>
      <w:r>
        <w:tab/>
        <w:t>IT IS ORDERED:</w:t>
      </w:r>
    </w:p>
    <w:p w:rsidR="00B045F8" w:rsidRDefault="00B045F8" w:rsidP="00B045F8">
      <w:pPr>
        <w:spacing w:line="360" w:lineRule="auto"/>
      </w:pPr>
    </w:p>
    <w:p w:rsidR="00B045F8" w:rsidRDefault="00B045F8" w:rsidP="00B045F8">
      <w:pPr>
        <w:spacing w:line="360" w:lineRule="auto"/>
      </w:pPr>
      <w:r>
        <w:tab/>
      </w:r>
      <w:r>
        <w:tab/>
        <w:t xml:space="preserve">That the complaint of </w:t>
      </w:r>
      <w:r w:rsidRPr="0062499F">
        <w:t>Neville Island Supply Company, Inc.</w:t>
      </w:r>
      <w:r>
        <w:t xml:space="preserve"> against</w:t>
      </w:r>
      <w:r w:rsidR="004128B9" w:rsidRPr="004128B9">
        <w:t xml:space="preserve"> </w:t>
      </w:r>
      <w:r w:rsidR="004128B9" w:rsidRPr="0062499F">
        <w:t>Duquesne Light Company</w:t>
      </w:r>
      <w:r w:rsidR="004128B9">
        <w:t xml:space="preserve">, at Docket No. </w:t>
      </w:r>
      <w:r w:rsidR="004128B9" w:rsidRPr="0062499F">
        <w:t>C-2009-2132987</w:t>
      </w:r>
      <w:r w:rsidR="004128B9">
        <w:t>, is hereby denied.</w:t>
      </w:r>
    </w:p>
    <w:p w:rsidR="004128B9" w:rsidRDefault="004128B9" w:rsidP="00B045F8">
      <w:pPr>
        <w:spacing w:line="360" w:lineRule="auto"/>
      </w:pPr>
    </w:p>
    <w:p w:rsidR="004128B9" w:rsidRDefault="004128B9" w:rsidP="00B045F8">
      <w:pPr>
        <w:spacing w:line="360" w:lineRule="auto"/>
      </w:pPr>
    </w:p>
    <w:p w:rsidR="004128B9" w:rsidRDefault="004128B9" w:rsidP="004128B9">
      <w:r>
        <w:t xml:space="preserve">Date: </w:t>
      </w:r>
      <w:r w:rsidR="00402AD2">
        <w:t xml:space="preserve"> </w:t>
      </w:r>
      <w:r>
        <w:rPr>
          <w:u w:val="single"/>
        </w:rPr>
        <w:t xml:space="preserve">March </w:t>
      </w:r>
      <w:r w:rsidR="00762A21">
        <w:rPr>
          <w:u w:val="single"/>
        </w:rPr>
        <w:t>3</w:t>
      </w:r>
      <w:r>
        <w:rPr>
          <w:u w:val="single"/>
        </w:rPr>
        <w:t>, 2011</w:t>
      </w:r>
      <w:r w:rsidR="00780527">
        <w:tab/>
      </w:r>
      <w:r w:rsidR="00780527">
        <w:tab/>
      </w:r>
      <w:r w:rsidR="00780527">
        <w:tab/>
      </w:r>
      <w:r w:rsidR="00780527">
        <w:tab/>
      </w:r>
      <w:r w:rsidR="00780527">
        <w:tab/>
      </w:r>
      <w:r w:rsidR="00780527">
        <w:rPr>
          <w:u w:val="single"/>
        </w:rPr>
        <w:tab/>
      </w:r>
      <w:r w:rsidR="00780527">
        <w:rPr>
          <w:u w:val="single"/>
        </w:rPr>
        <w:tab/>
      </w:r>
      <w:r w:rsidR="00780527">
        <w:rPr>
          <w:u w:val="single"/>
        </w:rPr>
        <w:tab/>
      </w:r>
      <w:r w:rsidR="00780527">
        <w:rPr>
          <w:u w:val="single"/>
        </w:rPr>
        <w:tab/>
      </w:r>
      <w:r w:rsidR="00780527">
        <w:rPr>
          <w:u w:val="single"/>
        </w:rPr>
        <w:tab/>
      </w:r>
      <w:r w:rsidR="00780527">
        <w:rPr>
          <w:u w:val="single"/>
        </w:rPr>
        <w:tab/>
      </w:r>
    </w:p>
    <w:p w:rsidR="00780527" w:rsidRDefault="00780527" w:rsidP="004128B9">
      <w:r>
        <w:tab/>
      </w:r>
      <w:r>
        <w:tab/>
      </w:r>
      <w:r>
        <w:tab/>
      </w:r>
      <w:r>
        <w:tab/>
      </w:r>
      <w:r>
        <w:tab/>
      </w:r>
      <w:r>
        <w:tab/>
      </w:r>
      <w:r>
        <w:tab/>
        <w:t>John H. Corbett, Jr.</w:t>
      </w:r>
    </w:p>
    <w:p w:rsidR="00E520C2" w:rsidRPr="00780527" w:rsidRDefault="00780527" w:rsidP="008167D9">
      <w:r>
        <w:tab/>
      </w:r>
      <w:r>
        <w:tab/>
      </w:r>
      <w:r>
        <w:tab/>
      </w:r>
      <w:r>
        <w:tab/>
      </w:r>
      <w:r>
        <w:tab/>
      </w:r>
      <w:r>
        <w:tab/>
      </w:r>
      <w:r>
        <w:tab/>
        <w:t>Administrative Law Judge</w:t>
      </w:r>
    </w:p>
    <w:sectPr w:rsidR="00E520C2" w:rsidRPr="00780527" w:rsidSect="008167D9">
      <w:footerReference w:type="default" r:id="rId7"/>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6D19" w:rsidRDefault="003E6D19" w:rsidP="00220ADB">
      <w:r>
        <w:separator/>
      </w:r>
    </w:p>
  </w:endnote>
  <w:endnote w:type="continuationSeparator" w:id="0">
    <w:p w:rsidR="003E6D19" w:rsidRDefault="003E6D19" w:rsidP="00220A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177751"/>
      <w:docPartObj>
        <w:docPartGallery w:val="Page Numbers (Bottom of Page)"/>
        <w:docPartUnique/>
      </w:docPartObj>
    </w:sdtPr>
    <w:sdtContent>
      <w:p w:rsidR="004128B9" w:rsidRDefault="00FE54D9">
        <w:pPr>
          <w:pStyle w:val="Footer"/>
          <w:jc w:val="center"/>
        </w:pPr>
        <w:r w:rsidRPr="008167D9">
          <w:rPr>
            <w:sz w:val="20"/>
            <w:szCs w:val="20"/>
          </w:rPr>
          <w:fldChar w:fldCharType="begin"/>
        </w:r>
        <w:r w:rsidRPr="008167D9">
          <w:rPr>
            <w:sz w:val="20"/>
            <w:szCs w:val="20"/>
          </w:rPr>
          <w:instrText xml:space="preserve"> PAGE   \* MERGEFORMAT </w:instrText>
        </w:r>
        <w:r w:rsidRPr="008167D9">
          <w:rPr>
            <w:sz w:val="20"/>
            <w:szCs w:val="20"/>
          </w:rPr>
          <w:fldChar w:fldCharType="separate"/>
        </w:r>
        <w:r w:rsidR="008167D9">
          <w:rPr>
            <w:noProof/>
            <w:sz w:val="20"/>
            <w:szCs w:val="20"/>
          </w:rPr>
          <w:t>13</w:t>
        </w:r>
        <w:r w:rsidRPr="008167D9">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6D19" w:rsidRDefault="003E6D19" w:rsidP="00220ADB">
      <w:r>
        <w:separator/>
      </w:r>
    </w:p>
  </w:footnote>
  <w:footnote w:type="continuationSeparator" w:id="0">
    <w:p w:rsidR="003E6D19" w:rsidRDefault="003E6D19" w:rsidP="00220ADB">
      <w:r>
        <w:continuationSeparator/>
      </w:r>
    </w:p>
  </w:footnote>
  <w:footnote w:id="1">
    <w:p w:rsidR="004128B9" w:rsidRDefault="004128B9" w:rsidP="009A2F96">
      <w:pPr>
        <w:pStyle w:val="FootnoteText"/>
        <w:ind w:firstLine="720"/>
      </w:pPr>
      <w:r>
        <w:rPr>
          <w:rStyle w:val="FootnoteReference"/>
        </w:rPr>
        <w:footnoteRef/>
      </w:r>
      <w:r>
        <w:t xml:space="preserve"> </w:t>
      </w:r>
      <w:r>
        <w:tab/>
        <w:t>The caption originally read “Neville Island Supply v. Duquesne Light Company,” but the Order on Respondent’s Preliminary Objections issued on January 4, 2010 amended the caption.  According to the Pennsylvania Department of State, Corporation Bureau, Complainant’s full name is Neville Island Supply Company, Inc.</w:t>
      </w:r>
    </w:p>
  </w:footnote>
  <w:footnote w:id="2">
    <w:p w:rsidR="004128B9" w:rsidRDefault="004128B9" w:rsidP="000423B9">
      <w:pPr>
        <w:pStyle w:val="FootnoteText"/>
        <w:ind w:firstLine="720"/>
      </w:pPr>
      <w:r>
        <w:rPr>
          <w:rStyle w:val="FootnoteReference"/>
        </w:rPr>
        <w:footnoteRef/>
      </w:r>
      <w:r>
        <w:t xml:space="preserve"> </w:t>
      </w:r>
      <w:r>
        <w:tab/>
        <w:t>The Respondent originally submitted this exhibit as “Respondent’s Exh. 4,” but a review of the record shows that this exhibit should be admitted as “Respondent’s Exh. 5.”</w:t>
      </w:r>
    </w:p>
  </w:footnote>
  <w:footnote w:id="3">
    <w:p w:rsidR="004128B9" w:rsidRPr="00384E8E" w:rsidRDefault="004128B9" w:rsidP="00881418">
      <w:pPr>
        <w:pStyle w:val="FootnoteText"/>
        <w:ind w:firstLine="720"/>
      </w:pPr>
      <w:r>
        <w:rPr>
          <w:rStyle w:val="FootnoteReference"/>
        </w:rPr>
        <w:footnoteRef/>
      </w:r>
      <w:r>
        <w:t xml:space="preserve"> </w:t>
      </w:r>
      <w:r>
        <w:tab/>
      </w:r>
      <w:r>
        <w:rPr>
          <w:i/>
        </w:rPr>
        <w:t>See</w:t>
      </w:r>
      <w:r>
        <w:t xml:space="preserve">, Finding of Fact No. 26, </w:t>
      </w:r>
      <w:r>
        <w:rPr>
          <w:i/>
        </w:rPr>
        <w:t>supra</w:t>
      </w:r>
      <w:r>
        <w:t>.</w:t>
      </w:r>
    </w:p>
  </w:footnote>
  <w:footnote w:id="4">
    <w:p w:rsidR="004128B9" w:rsidRDefault="004128B9" w:rsidP="00481279">
      <w:pPr>
        <w:pStyle w:val="FootnoteText"/>
        <w:ind w:firstLine="720"/>
      </w:pPr>
      <w:r>
        <w:rPr>
          <w:rStyle w:val="FootnoteReference"/>
        </w:rPr>
        <w:footnoteRef/>
      </w:r>
      <w:r>
        <w:t xml:space="preserve"> </w:t>
      </w:r>
      <w:r>
        <w:tab/>
      </w:r>
      <w:r w:rsidRPr="00181840">
        <w:t>The substation has been taken off line, but the sub-transmission line still passes through the substation.  Other customers on the sub-transmission line are unaffected (N.T. 69-70, 80).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00337"/>
    <w:multiLevelType w:val="hybridMultilevel"/>
    <w:tmpl w:val="0108F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E23EF8"/>
    <w:multiLevelType w:val="hybridMultilevel"/>
    <w:tmpl w:val="C9DEF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13314"/>
  </w:hdrShapeDefaults>
  <w:footnotePr>
    <w:footnote w:id="-1"/>
    <w:footnote w:id="0"/>
  </w:footnotePr>
  <w:endnotePr>
    <w:endnote w:id="-1"/>
    <w:endnote w:id="0"/>
  </w:endnotePr>
  <w:compat/>
  <w:docVars>
    <w:docVar w:name="dgnword-docGUID" w:val="{4507511B-B9A2-4D1D-BE74-6F1DC5898653}"/>
    <w:docVar w:name="dgnword-eventsink" w:val="79141744"/>
  </w:docVars>
  <w:rsids>
    <w:rsidRoot w:val="0062499F"/>
    <w:rsid w:val="00000E45"/>
    <w:rsid w:val="00002E71"/>
    <w:rsid w:val="0000610B"/>
    <w:rsid w:val="00007936"/>
    <w:rsid w:val="000110F4"/>
    <w:rsid w:val="0001444C"/>
    <w:rsid w:val="000158F5"/>
    <w:rsid w:val="00015C87"/>
    <w:rsid w:val="00016375"/>
    <w:rsid w:val="0001676F"/>
    <w:rsid w:val="000200B5"/>
    <w:rsid w:val="00022031"/>
    <w:rsid w:val="00022664"/>
    <w:rsid w:val="00024AA5"/>
    <w:rsid w:val="00027171"/>
    <w:rsid w:val="00027E4C"/>
    <w:rsid w:val="00033C46"/>
    <w:rsid w:val="0003505B"/>
    <w:rsid w:val="00035D88"/>
    <w:rsid w:val="000404B5"/>
    <w:rsid w:val="00041450"/>
    <w:rsid w:val="00041943"/>
    <w:rsid w:val="000423B9"/>
    <w:rsid w:val="00042860"/>
    <w:rsid w:val="00044944"/>
    <w:rsid w:val="0004591A"/>
    <w:rsid w:val="00047F6E"/>
    <w:rsid w:val="000512B2"/>
    <w:rsid w:val="0005471E"/>
    <w:rsid w:val="00056339"/>
    <w:rsid w:val="00062290"/>
    <w:rsid w:val="00063896"/>
    <w:rsid w:val="0006554F"/>
    <w:rsid w:val="00067C8F"/>
    <w:rsid w:val="00070D98"/>
    <w:rsid w:val="000716B7"/>
    <w:rsid w:val="000767FF"/>
    <w:rsid w:val="00080A41"/>
    <w:rsid w:val="0008135A"/>
    <w:rsid w:val="0008225B"/>
    <w:rsid w:val="0008257A"/>
    <w:rsid w:val="00085610"/>
    <w:rsid w:val="000866D1"/>
    <w:rsid w:val="00087CC5"/>
    <w:rsid w:val="0009005C"/>
    <w:rsid w:val="000921BC"/>
    <w:rsid w:val="00095B50"/>
    <w:rsid w:val="00096F74"/>
    <w:rsid w:val="000A0A7F"/>
    <w:rsid w:val="000A510C"/>
    <w:rsid w:val="000A7B92"/>
    <w:rsid w:val="000A7EFE"/>
    <w:rsid w:val="000B3598"/>
    <w:rsid w:val="000B53F0"/>
    <w:rsid w:val="000B629F"/>
    <w:rsid w:val="000B6D95"/>
    <w:rsid w:val="000C1A6B"/>
    <w:rsid w:val="000C269C"/>
    <w:rsid w:val="000C5510"/>
    <w:rsid w:val="000C6C82"/>
    <w:rsid w:val="000C71B2"/>
    <w:rsid w:val="000C76C7"/>
    <w:rsid w:val="000D0A51"/>
    <w:rsid w:val="000D1336"/>
    <w:rsid w:val="000D715A"/>
    <w:rsid w:val="000D7906"/>
    <w:rsid w:val="000E06E2"/>
    <w:rsid w:val="000E0C64"/>
    <w:rsid w:val="000E1700"/>
    <w:rsid w:val="000E4E82"/>
    <w:rsid w:val="000E55EB"/>
    <w:rsid w:val="000E6C36"/>
    <w:rsid w:val="000F0CB0"/>
    <w:rsid w:val="000F1E2C"/>
    <w:rsid w:val="000F22AD"/>
    <w:rsid w:val="000F331D"/>
    <w:rsid w:val="000F6BCB"/>
    <w:rsid w:val="0010180F"/>
    <w:rsid w:val="00105690"/>
    <w:rsid w:val="001059C3"/>
    <w:rsid w:val="001079C3"/>
    <w:rsid w:val="0011082D"/>
    <w:rsid w:val="00110E2F"/>
    <w:rsid w:val="001127C1"/>
    <w:rsid w:val="00114A5C"/>
    <w:rsid w:val="00114D69"/>
    <w:rsid w:val="001163B8"/>
    <w:rsid w:val="00117158"/>
    <w:rsid w:val="0012337D"/>
    <w:rsid w:val="00126555"/>
    <w:rsid w:val="00131C97"/>
    <w:rsid w:val="0013358A"/>
    <w:rsid w:val="001336B2"/>
    <w:rsid w:val="0013746C"/>
    <w:rsid w:val="00140C21"/>
    <w:rsid w:val="00140ED5"/>
    <w:rsid w:val="001422C9"/>
    <w:rsid w:val="001424D1"/>
    <w:rsid w:val="0014695E"/>
    <w:rsid w:val="00147A1C"/>
    <w:rsid w:val="00150037"/>
    <w:rsid w:val="00150457"/>
    <w:rsid w:val="00150F38"/>
    <w:rsid w:val="00151828"/>
    <w:rsid w:val="00152DD8"/>
    <w:rsid w:val="001534FA"/>
    <w:rsid w:val="00153BB2"/>
    <w:rsid w:val="00153BD2"/>
    <w:rsid w:val="001551FE"/>
    <w:rsid w:val="00157F7C"/>
    <w:rsid w:val="00160017"/>
    <w:rsid w:val="00163667"/>
    <w:rsid w:val="00171BA7"/>
    <w:rsid w:val="00177B41"/>
    <w:rsid w:val="00177C22"/>
    <w:rsid w:val="00181840"/>
    <w:rsid w:val="0018502A"/>
    <w:rsid w:val="00186713"/>
    <w:rsid w:val="00190B52"/>
    <w:rsid w:val="00192F81"/>
    <w:rsid w:val="00194EDA"/>
    <w:rsid w:val="00197214"/>
    <w:rsid w:val="00197FE7"/>
    <w:rsid w:val="001A0817"/>
    <w:rsid w:val="001A517C"/>
    <w:rsid w:val="001A6616"/>
    <w:rsid w:val="001B1283"/>
    <w:rsid w:val="001B1E47"/>
    <w:rsid w:val="001B37F9"/>
    <w:rsid w:val="001B389A"/>
    <w:rsid w:val="001B6147"/>
    <w:rsid w:val="001B669F"/>
    <w:rsid w:val="001B6767"/>
    <w:rsid w:val="001B7B44"/>
    <w:rsid w:val="001C16F1"/>
    <w:rsid w:val="001C1DA4"/>
    <w:rsid w:val="001D0B3C"/>
    <w:rsid w:val="001D3480"/>
    <w:rsid w:val="001D3C32"/>
    <w:rsid w:val="001D4EAA"/>
    <w:rsid w:val="001D7FBB"/>
    <w:rsid w:val="001E13F6"/>
    <w:rsid w:val="001E4606"/>
    <w:rsid w:val="001E480F"/>
    <w:rsid w:val="001E49BB"/>
    <w:rsid w:val="001E6948"/>
    <w:rsid w:val="001E6AC2"/>
    <w:rsid w:val="001E7A10"/>
    <w:rsid w:val="001F14FC"/>
    <w:rsid w:val="001F1F9D"/>
    <w:rsid w:val="001F1FC5"/>
    <w:rsid w:val="001F5E84"/>
    <w:rsid w:val="001F632A"/>
    <w:rsid w:val="001F73E8"/>
    <w:rsid w:val="002002ED"/>
    <w:rsid w:val="00202271"/>
    <w:rsid w:val="002035E9"/>
    <w:rsid w:val="00205676"/>
    <w:rsid w:val="0020746B"/>
    <w:rsid w:val="002107F3"/>
    <w:rsid w:val="00212F85"/>
    <w:rsid w:val="00213B19"/>
    <w:rsid w:val="0021472B"/>
    <w:rsid w:val="002147C2"/>
    <w:rsid w:val="00215CE0"/>
    <w:rsid w:val="00216054"/>
    <w:rsid w:val="00220ADB"/>
    <w:rsid w:val="00221630"/>
    <w:rsid w:val="00222675"/>
    <w:rsid w:val="00222A1D"/>
    <w:rsid w:val="002231E7"/>
    <w:rsid w:val="00224D1A"/>
    <w:rsid w:val="00225F5E"/>
    <w:rsid w:val="0022623F"/>
    <w:rsid w:val="002270C7"/>
    <w:rsid w:val="00234986"/>
    <w:rsid w:val="0023594C"/>
    <w:rsid w:val="00235C10"/>
    <w:rsid w:val="00237F95"/>
    <w:rsid w:val="00242F9F"/>
    <w:rsid w:val="002432B5"/>
    <w:rsid w:val="00244DC3"/>
    <w:rsid w:val="00246DD5"/>
    <w:rsid w:val="0025017E"/>
    <w:rsid w:val="00254AC4"/>
    <w:rsid w:val="0025505D"/>
    <w:rsid w:val="0025568C"/>
    <w:rsid w:val="0025624A"/>
    <w:rsid w:val="00256602"/>
    <w:rsid w:val="002569D2"/>
    <w:rsid w:val="00256E03"/>
    <w:rsid w:val="00256F15"/>
    <w:rsid w:val="0025704D"/>
    <w:rsid w:val="00262136"/>
    <w:rsid w:val="00262903"/>
    <w:rsid w:val="00264827"/>
    <w:rsid w:val="002659C1"/>
    <w:rsid w:val="00265F08"/>
    <w:rsid w:val="00266EEA"/>
    <w:rsid w:val="002705F3"/>
    <w:rsid w:val="002715D6"/>
    <w:rsid w:val="00273113"/>
    <w:rsid w:val="00273CD5"/>
    <w:rsid w:val="00274AEB"/>
    <w:rsid w:val="0028196A"/>
    <w:rsid w:val="00282E72"/>
    <w:rsid w:val="00286013"/>
    <w:rsid w:val="00286E18"/>
    <w:rsid w:val="002911D7"/>
    <w:rsid w:val="00291698"/>
    <w:rsid w:val="00292413"/>
    <w:rsid w:val="00292BDB"/>
    <w:rsid w:val="00292C52"/>
    <w:rsid w:val="0029312D"/>
    <w:rsid w:val="00297007"/>
    <w:rsid w:val="002A08AE"/>
    <w:rsid w:val="002A0C6D"/>
    <w:rsid w:val="002A49CC"/>
    <w:rsid w:val="002A5634"/>
    <w:rsid w:val="002B080D"/>
    <w:rsid w:val="002B43C8"/>
    <w:rsid w:val="002B693E"/>
    <w:rsid w:val="002C0A83"/>
    <w:rsid w:val="002C2CA0"/>
    <w:rsid w:val="002C496C"/>
    <w:rsid w:val="002C5195"/>
    <w:rsid w:val="002C6736"/>
    <w:rsid w:val="002D15FF"/>
    <w:rsid w:val="002D3212"/>
    <w:rsid w:val="002D46AD"/>
    <w:rsid w:val="002D50E8"/>
    <w:rsid w:val="002E414F"/>
    <w:rsid w:val="002E62AE"/>
    <w:rsid w:val="002E7B4F"/>
    <w:rsid w:val="002E7CBD"/>
    <w:rsid w:val="002F0988"/>
    <w:rsid w:val="002F0CDC"/>
    <w:rsid w:val="002F58C1"/>
    <w:rsid w:val="003009B5"/>
    <w:rsid w:val="00303C1E"/>
    <w:rsid w:val="003065A6"/>
    <w:rsid w:val="003105EB"/>
    <w:rsid w:val="00311DFA"/>
    <w:rsid w:val="00313224"/>
    <w:rsid w:val="00314634"/>
    <w:rsid w:val="0031504C"/>
    <w:rsid w:val="00320C3C"/>
    <w:rsid w:val="0032184B"/>
    <w:rsid w:val="00322AAB"/>
    <w:rsid w:val="00323BAE"/>
    <w:rsid w:val="00323CE9"/>
    <w:rsid w:val="0032536B"/>
    <w:rsid w:val="0032582D"/>
    <w:rsid w:val="003367D1"/>
    <w:rsid w:val="0033786E"/>
    <w:rsid w:val="00337E81"/>
    <w:rsid w:val="00340547"/>
    <w:rsid w:val="003413E4"/>
    <w:rsid w:val="003425B3"/>
    <w:rsid w:val="00343DF7"/>
    <w:rsid w:val="00344BBD"/>
    <w:rsid w:val="00346C81"/>
    <w:rsid w:val="00347D4D"/>
    <w:rsid w:val="00353358"/>
    <w:rsid w:val="00354367"/>
    <w:rsid w:val="003560A1"/>
    <w:rsid w:val="003567DC"/>
    <w:rsid w:val="0036055F"/>
    <w:rsid w:val="00363FC4"/>
    <w:rsid w:val="00364892"/>
    <w:rsid w:val="00367255"/>
    <w:rsid w:val="00372BCE"/>
    <w:rsid w:val="00375FC7"/>
    <w:rsid w:val="00376FD2"/>
    <w:rsid w:val="00377219"/>
    <w:rsid w:val="00377DF4"/>
    <w:rsid w:val="00383E9E"/>
    <w:rsid w:val="00384E8E"/>
    <w:rsid w:val="00386CFD"/>
    <w:rsid w:val="00386EC2"/>
    <w:rsid w:val="003914A1"/>
    <w:rsid w:val="003915CD"/>
    <w:rsid w:val="003928FD"/>
    <w:rsid w:val="00393A51"/>
    <w:rsid w:val="003A4C84"/>
    <w:rsid w:val="003A51FD"/>
    <w:rsid w:val="003A5775"/>
    <w:rsid w:val="003A645A"/>
    <w:rsid w:val="003A7731"/>
    <w:rsid w:val="003B09AF"/>
    <w:rsid w:val="003B0F7E"/>
    <w:rsid w:val="003B2FF8"/>
    <w:rsid w:val="003B5554"/>
    <w:rsid w:val="003C0F08"/>
    <w:rsid w:val="003C49C9"/>
    <w:rsid w:val="003C4FBC"/>
    <w:rsid w:val="003D00C1"/>
    <w:rsid w:val="003D047B"/>
    <w:rsid w:val="003D15D0"/>
    <w:rsid w:val="003D38F7"/>
    <w:rsid w:val="003D42D0"/>
    <w:rsid w:val="003D5AB0"/>
    <w:rsid w:val="003D6669"/>
    <w:rsid w:val="003D6830"/>
    <w:rsid w:val="003E5628"/>
    <w:rsid w:val="003E58F1"/>
    <w:rsid w:val="003E5D1E"/>
    <w:rsid w:val="003E6D19"/>
    <w:rsid w:val="003F100E"/>
    <w:rsid w:val="003F347A"/>
    <w:rsid w:val="003F5CD9"/>
    <w:rsid w:val="003F69AF"/>
    <w:rsid w:val="003F69C5"/>
    <w:rsid w:val="003F7148"/>
    <w:rsid w:val="00402AD2"/>
    <w:rsid w:val="0040464B"/>
    <w:rsid w:val="00405757"/>
    <w:rsid w:val="00407E2D"/>
    <w:rsid w:val="004128B9"/>
    <w:rsid w:val="00415484"/>
    <w:rsid w:val="0041758B"/>
    <w:rsid w:val="00417A48"/>
    <w:rsid w:val="00417FB9"/>
    <w:rsid w:val="004255AD"/>
    <w:rsid w:val="00425F5E"/>
    <w:rsid w:val="00427446"/>
    <w:rsid w:val="00427731"/>
    <w:rsid w:val="00431ED9"/>
    <w:rsid w:val="0043213F"/>
    <w:rsid w:val="004345F2"/>
    <w:rsid w:val="004349C3"/>
    <w:rsid w:val="00436604"/>
    <w:rsid w:val="00441777"/>
    <w:rsid w:val="00441E8C"/>
    <w:rsid w:val="00443FC3"/>
    <w:rsid w:val="00444F84"/>
    <w:rsid w:val="00447594"/>
    <w:rsid w:val="00447DAD"/>
    <w:rsid w:val="00450705"/>
    <w:rsid w:val="00451BB3"/>
    <w:rsid w:val="0045420F"/>
    <w:rsid w:val="00456B68"/>
    <w:rsid w:val="004606F8"/>
    <w:rsid w:val="004610DD"/>
    <w:rsid w:val="00465CA9"/>
    <w:rsid w:val="00466EEB"/>
    <w:rsid w:val="00470433"/>
    <w:rsid w:val="004763CF"/>
    <w:rsid w:val="00476406"/>
    <w:rsid w:val="004801CF"/>
    <w:rsid w:val="00481279"/>
    <w:rsid w:val="00492902"/>
    <w:rsid w:val="00493B06"/>
    <w:rsid w:val="004A0D2F"/>
    <w:rsid w:val="004A3A17"/>
    <w:rsid w:val="004A4379"/>
    <w:rsid w:val="004A4472"/>
    <w:rsid w:val="004A5F2D"/>
    <w:rsid w:val="004A5F6F"/>
    <w:rsid w:val="004A6940"/>
    <w:rsid w:val="004A7821"/>
    <w:rsid w:val="004B07B7"/>
    <w:rsid w:val="004B1125"/>
    <w:rsid w:val="004B1E4E"/>
    <w:rsid w:val="004B35C3"/>
    <w:rsid w:val="004B4793"/>
    <w:rsid w:val="004B58A0"/>
    <w:rsid w:val="004B5DB3"/>
    <w:rsid w:val="004C0903"/>
    <w:rsid w:val="004C1ADF"/>
    <w:rsid w:val="004C231D"/>
    <w:rsid w:val="004C3351"/>
    <w:rsid w:val="004C6ACC"/>
    <w:rsid w:val="004D0F86"/>
    <w:rsid w:val="004D17EE"/>
    <w:rsid w:val="004D1AF6"/>
    <w:rsid w:val="004D26B3"/>
    <w:rsid w:val="004D3CF4"/>
    <w:rsid w:val="004D3D9B"/>
    <w:rsid w:val="004D5571"/>
    <w:rsid w:val="004D6A84"/>
    <w:rsid w:val="004E1384"/>
    <w:rsid w:val="004E1A31"/>
    <w:rsid w:val="004E1AA7"/>
    <w:rsid w:val="004E2DEE"/>
    <w:rsid w:val="004E3130"/>
    <w:rsid w:val="004E3916"/>
    <w:rsid w:val="004E48B8"/>
    <w:rsid w:val="004E56E5"/>
    <w:rsid w:val="004F3674"/>
    <w:rsid w:val="004F52CA"/>
    <w:rsid w:val="00500E04"/>
    <w:rsid w:val="00501290"/>
    <w:rsid w:val="005013AB"/>
    <w:rsid w:val="00501CDE"/>
    <w:rsid w:val="00503B65"/>
    <w:rsid w:val="005055FD"/>
    <w:rsid w:val="005071E6"/>
    <w:rsid w:val="00510BCD"/>
    <w:rsid w:val="00513A0D"/>
    <w:rsid w:val="00513E78"/>
    <w:rsid w:val="00520B4D"/>
    <w:rsid w:val="00522F41"/>
    <w:rsid w:val="005235D3"/>
    <w:rsid w:val="005245B1"/>
    <w:rsid w:val="00526125"/>
    <w:rsid w:val="0052693F"/>
    <w:rsid w:val="0053073C"/>
    <w:rsid w:val="005319D7"/>
    <w:rsid w:val="00544B49"/>
    <w:rsid w:val="005463A9"/>
    <w:rsid w:val="00546F57"/>
    <w:rsid w:val="005474D6"/>
    <w:rsid w:val="0055234E"/>
    <w:rsid w:val="00553A47"/>
    <w:rsid w:val="00562BF1"/>
    <w:rsid w:val="0056301D"/>
    <w:rsid w:val="0057174D"/>
    <w:rsid w:val="005756A2"/>
    <w:rsid w:val="005756F9"/>
    <w:rsid w:val="0057574A"/>
    <w:rsid w:val="00575B38"/>
    <w:rsid w:val="00576844"/>
    <w:rsid w:val="005773BD"/>
    <w:rsid w:val="00580C5C"/>
    <w:rsid w:val="0058134C"/>
    <w:rsid w:val="00581E78"/>
    <w:rsid w:val="00585561"/>
    <w:rsid w:val="0058593F"/>
    <w:rsid w:val="00590615"/>
    <w:rsid w:val="00590E89"/>
    <w:rsid w:val="005945F6"/>
    <w:rsid w:val="00595C07"/>
    <w:rsid w:val="005963C4"/>
    <w:rsid w:val="005A127F"/>
    <w:rsid w:val="005A187E"/>
    <w:rsid w:val="005A560D"/>
    <w:rsid w:val="005B0099"/>
    <w:rsid w:val="005B04D0"/>
    <w:rsid w:val="005B4EAA"/>
    <w:rsid w:val="005B7425"/>
    <w:rsid w:val="005B7AAB"/>
    <w:rsid w:val="005C5138"/>
    <w:rsid w:val="005C5ED9"/>
    <w:rsid w:val="005C6FAE"/>
    <w:rsid w:val="005D09A9"/>
    <w:rsid w:val="005D141F"/>
    <w:rsid w:val="005D45C9"/>
    <w:rsid w:val="005D5EE7"/>
    <w:rsid w:val="005E3C0F"/>
    <w:rsid w:val="005E45BD"/>
    <w:rsid w:val="005E6C7E"/>
    <w:rsid w:val="005F4331"/>
    <w:rsid w:val="005F4AA1"/>
    <w:rsid w:val="0060255E"/>
    <w:rsid w:val="006034BD"/>
    <w:rsid w:val="00603FCF"/>
    <w:rsid w:val="00605A5C"/>
    <w:rsid w:val="00611B45"/>
    <w:rsid w:val="00613DA8"/>
    <w:rsid w:val="00614058"/>
    <w:rsid w:val="00614B07"/>
    <w:rsid w:val="006168E8"/>
    <w:rsid w:val="00616EF1"/>
    <w:rsid w:val="0062040F"/>
    <w:rsid w:val="00622936"/>
    <w:rsid w:val="0062391C"/>
    <w:rsid w:val="0062499F"/>
    <w:rsid w:val="00631809"/>
    <w:rsid w:val="00631CED"/>
    <w:rsid w:val="006339A1"/>
    <w:rsid w:val="006352C1"/>
    <w:rsid w:val="00635E6D"/>
    <w:rsid w:val="00636172"/>
    <w:rsid w:val="0064016B"/>
    <w:rsid w:val="00641E56"/>
    <w:rsid w:val="006503D8"/>
    <w:rsid w:val="00651BF9"/>
    <w:rsid w:val="0065509C"/>
    <w:rsid w:val="00655A67"/>
    <w:rsid w:val="0065674E"/>
    <w:rsid w:val="00657F07"/>
    <w:rsid w:val="00661B4E"/>
    <w:rsid w:val="00662C19"/>
    <w:rsid w:val="006646A6"/>
    <w:rsid w:val="0067080A"/>
    <w:rsid w:val="00670B1B"/>
    <w:rsid w:val="00671716"/>
    <w:rsid w:val="00671ACD"/>
    <w:rsid w:val="006729FF"/>
    <w:rsid w:val="006734EC"/>
    <w:rsid w:val="006742E3"/>
    <w:rsid w:val="00674CA8"/>
    <w:rsid w:val="00675091"/>
    <w:rsid w:val="00675F41"/>
    <w:rsid w:val="00676400"/>
    <w:rsid w:val="00677E47"/>
    <w:rsid w:val="0068098C"/>
    <w:rsid w:val="0068267D"/>
    <w:rsid w:val="00686666"/>
    <w:rsid w:val="00692D9A"/>
    <w:rsid w:val="00694B4C"/>
    <w:rsid w:val="006A1BB3"/>
    <w:rsid w:val="006A3C03"/>
    <w:rsid w:val="006A4740"/>
    <w:rsid w:val="006A5419"/>
    <w:rsid w:val="006A56A4"/>
    <w:rsid w:val="006A6097"/>
    <w:rsid w:val="006A64F2"/>
    <w:rsid w:val="006B3C1B"/>
    <w:rsid w:val="006B3EFB"/>
    <w:rsid w:val="006B690F"/>
    <w:rsid w:val="006C245B"/>
    <w:rsid w:val="006C3402"/>
    <w:rsid w:val="006C3AD5"/>
    <w:rsid w:val="006C5DA4"/>
    <w:rsid w:val="006C6F08"/>
    <w:rsid w:val="006C7836"/>
    <w:rsid w:val="006D370E"/>
    <w:rsid w:val="006D3B1F"/>
    <w:rsid w:val="006D491B"/>
    <w:rsid w:val="006D4B7E"/>
    <w:rsid w:val="006D4E8D"/>
    <w:rsid w:val="006D51A2"/>
    <w:rsid w:val="006D5BD1"/>
    <w:rsid w:val="006E1DF2"/>
    <w:rsid w:val="006E57E8"/>
    <w:rsid w:val="006F08AE"/>
    <w:rsid w:val="006F15CA"/>
    <w:rsid w:val="006F22ED"/>
    <w:rsid w:val="006F2502"/>
    <w:rsid w:val="006F2ACE"/>
    <w:rsid w:val="007000FB"/>
    <w:rsid w:val="007008E0"/>
    <w:rsid w:val="00704727"/>
    <w:rsid w:val="00705235"/>
    <w:rsid w:val="007107AD"/>
    <w:rsid w:val="00724A27"/>
    <w:rsid w:val="007342EA"/>
    <w:rsid w:val="00735001"/>
    <w:rsid w:val="007354F0"/>
    <w:rsid w:val="00742C25"/>
    <w:rsid w:val="00743300"/>
    <w:rsid w:val="00745364"/>
    <w:rsid w:val="00747A6F"/>
    <w:rsid w:val="007520AB"/>
    <w:rsid w:val="00752308"/>
    <w:rsid w:val="0075259F"/>
    <w:rsid w:val="00752B0E"/>
    <w:rsid w:val="00756B4F"/>
    <w:rsid w:val="007575D6"/>
    <w:rsid w:val="00761E5E"/>
    <w:rsid w:val="00762A21"/>
    <w:rsid w:val="00763043"/>
    <w:rsid w:val="00766C21"/>
    <w:rsid w:val="0077010C"/>
    <w:rsid w:val="00770452"/>
    <w:rsid w:val="007801E9"/>
    <w:rsid w:val="00780527"/>
    <w:rsid w:val="00781BAD"/>
    <w:rsid w:val="007854CF"/>
    <w:rsid w:val="00787B82"/>
    <w:rsid w:val="007900D4"/>
    <w:rsid w:val="00796F08"/>
    <w:rsid w:val="007A0FA3"/>
    <w:rsid w:val="007A1A4C"/>
    <w:rsid w:val="007A4181"/>
    <w:rsid w:val="007A46A0"/>
    <w:rsid w:val="007A6F6C"/>
    <w:rsid w:val="007A7CF3"/>
    <w:rsid w:val="007A7EA7"/>
    <w:rsid w:val="007B21DD"/>
    <w:rsid w:val="007B430A"/>
    <w:rsid w:val="007B5630"/>
    <w:rsid w:val="007C0BAC"/>
    <w:rsid w:val="007C2025"/>
    <w:rsid w:val="007C4C8A"/>
    <w:rsid w:val="007C679F"/>
    <w:rsid w:val="007C7094"/>
    <w:rsid w:val="007D1DCB"/>
    <w:rsid w:val="007D2137"/>
    <w:rsid w:val="007D6606"/>
    <w:rsid w:val="007D67D1"/>
    <w:rsid w:val="007D682B"/>
    <w:rsid w:val="007E2A88"/>
    <w:rsid w:val="007E5C59"/>
    <w:rsid w:val="007E6CAF"/>
    <w:rsid w:val="007E73C3"/>
    <w:rsid w:val="007F00D0"/>
    <w:rsid w:val="007F378A"/>
    <w:rsid w:val="007F6E85"/>
    <w:rsid w:val="007F6EA1"/>
    <w:rsid w:val="00800149"/>
    <w:rsid w:val="00804469"/>
    <w:rsid w:val="008046A7"/>
    <w:rsid w:val="00805E1E"/>
    <w:rsid w:val="0080763A"/>
    <w:rsid w:val="008101A5"/>
    <w:rsid w:val="008122D1"/>
    <w:rsid w:val="00816559"/>
    <w:rsid w:val="008167D9"/>
    <w:rsid w:val="0082072C"/>
    <w:rsid w:val="008211B6"/>
    <w:rsid w:val="008215F2"/>
    <w:rsid w:val="0082561C"/>
    <w:rsid w:val="00831A19"/>
    <w:rsid w:val="00831EDA"/>
    <w:rsid w:val="00832F66"/>
    <w:rsid w:val="008363BD"/>
    <w:rsid w:val="00836A1D"/>
    <w:rsid w:val="00837349"/>
    <w:rsid w:val="00842C0B"/>
    <w:rsid w:val="008433EA"/>
    <w:rsid w:val="00844572"/>
    <w:rsid w:val="00845F3E"/>
    <w:rsid w:val="008461EA"/>
    <w:rsid w:val="00847619"/>
    <w:rsid w:val="00850294"/>
    <w:rsid w:val="008527AF"/>
    <w:rsid w:val="00853982"/>
    <w:rsid w:val="00854310"/>
    <w:rsid w:val="0085796E"/>
    <w:rsid w:val="00860CE9"/>
    <w:rsid w:val="008611B1"/>
    <w:rsid w:val="00870493"/>
    <w:rsid w:val="008733F2"/>
    <w:rsid w:val="008739F3"/>
    <w:rsid w:val="00875888"/>
    <w:rsid w:val="00876F1B"/>
    <w:rsid w:val="00877335"/>
    <w:rsid w:val="00881418"/>
    <w:rsid w:val="00881A7C"/>
    <w:rsid w:val="00884320"/>
    <w:rsid w:val="00885412"/>
    <w:rsid w:val="0089092B"/>
    <w:rsid w:val="00890FD6"/>
    <w:rsid w:val="0089104A"/>
    <w:rsid w:val="00891D27"/>
    <w:rsid w:val="00895B38"/>
    <w:rsid w:val="008979D0"/>
    <w:rsid w:val="008A3128"/>
    <w:rsid w:val="008A53F1"/>
    <w:rsid w:val="008A55BD"/>
    <w:rsid w:val="008B0381"/>
    <w:rsid w:val="008B157C"/>
    <w:rsid w:val="008B629C"/>
    <w:rsid w:val="008B6C4F"/>
    <w:rsid w:val="008C0A8C"/>
    <w:rsid w:val="008C1CCC"/>
    <w:rsid w:val="008C4B08"/>
    <w:rsid w:val="008C4DAE"/>
    <w:rsid w:val="008C6C90"/>
    <w:rsid w:val="008C6CD3"/>
    <w:rsid w:val="008D14DA"/>
    <w:rsid w:val="008D25CC"/>
    <w:rsid w:val="008D3E8B"/>
    <w:rsid w:val="008D409A"/>
    <w:rsid w:val="008D635B"/>
    <w:rsid w:val="008D70A6"/>
    <w:rsid w:val="008E121E"/>
    <w:rsid w:val="008E31F7"/>
    <w:rsid w:val="008F04A4"/>
    <w:rsid w:val="008F616E"/>
    <w:rsid w:val="008F6929"/>
    <w:rsid w:val="008F7D28"/>
    <w:rsid w:val="008F7FAE"/>
    <w:rsid w:val="00904091"/>
    <w:rsid w:val="009044B7"/>
    <w:rsid w:val="00906155"/>
    <w:rsid w:val="00906E26"/>
    <w:rsid w:val="00912360"/>
    <w:rsid w:val="00914472"/>
    <w:rsid w:val="00915DA8"/>
    <w:rsid w:val="00917AE9"/>
    <w:rsid w:val="0092041D"/>
    <w:rsid w:val="00921DA9"/>
    <w:rsid w:val="00922734"/>
    <w:rsid w:val="00923457"/>
    <w:rsid w:val="009262AC"/>
    <w:rsid w:val="0093663B"/>
    <w:rsid w:val="0094137F"/>
    <w:rsid w:val="00941BFF"/>
    <w:rsid w:val="00941E0A"/>
    <w:rsid w:val="00942B3C"/>
    <w:rsid w:val="00945A38"/>
    <w:rsid w:val="0095074F"/>
    <w:rsid w:val="00950A70"/>
    <w:rsid w:val="00951681"/>
    <w:rsid w:val="00951BC4"/>
    <w:rsid w:val="009603C9"/>
    <w:rsid w:val="00960B87"/>
    <w:rsid w:val="00961E20"/>
    <w:rsid w:val="009623D4"/>
    <w:rsid w:val="00962AAD"/>
    <w:rsid w:val="009635AB"/>
    <w:rsid w:val="00964ECF"/>
    <w:rsid w:val="00971A09"/>
    <w:rsid w:val="0097213D"/>
    <w:rsid w:val="009758CE"/>
    <w:rsid w:val="00975E03"/>
    <w:rsid w:val="009803DF"/>
    <w:rsid w:val="00980566"/>
    <w:rsid w:val="00982ED8"/>
    <w:rsid w:val="00984A9D"/>
    <w:rsid w:val="00986178"/>
    <w:rsid w:val="00986732"/>
    <w:rsid w:val="00986ECD"/>
    <w:rsid w:val="009903E3"/>
    <w:rsid w:val="0099176B"/>
    <w:rsid w:val="0099459B"/>
    <w:rsid w:val="009966EF"/>
    <w:rsid w:val="009972E5"/>
    <w:rsid w:val="009A2737"/>
    <w:rsid w:val="009A2A70"/>
    <w:rsid w:val="009A2F96"/>
    <w:rsid w:val="009A3BBF"/>
    <w:rsid w:val="009A3D45"/>
    <w:rsid w:val="009A68DE"/>
    <w:rsid w:val="009A7D1A"/>
    <w:rsid w:val="009B3268"/>
    <w:rsid w:val="009B5D2E"/>
    <w:rsid w:val="009B5FBB"/>
    <w:rsid w:val="009B64C4"/>
    <w:rsid w:val="009C7E4A"/>
    <w:rsid w:val="009D0659"/>
    <w:rsid w:val="009D119A"/>
    <w:rsid w:val="009E047A"/>
    <w:rsid w:val="009E0743"/>
    <w:rsid w:val="009E0762"/>
    <w:rsid w:val="009E0D5F"/>
    <w:rsid w:val="009E16BB"/>
    <w:rsid w:val="009E3575"/>
    <w:rsid w:val="009E3DB9"/>
    <w:rsid w:val="009E558C"/>
    <w:rsid w:val="009E6878"/>
    <w:rsid w:val="009E6D80"/>
    <w:rsid w:val="009F07ED"/>
    <w:rsid w:val="009F17FE"/>
    <w:rsid w:val="009F34A1"/>
    <w:rsid w:val="009F4221"/>
    <w:rsid w:val="009F4617"/>
    <w:rsid w:val="009F47A7"/>
    <w:rsid w:val="009F5718"/>
    <w:rsid w:val="009F61DA"/>
    <w:rsid w:val="009F707B"/>
    <w:rsid w:val="009F7990"/>
    <w:rsid w:val="009F7A6D"/>
    <w:rsid w:val="00A005B1"/>
    <w:rsid w:val="00A009D4"/>
    <w:rsid w:val="00A0320E"/>
    <w:rsid w:val="00A04A58"/>
    <w:rsid w:val="00A07CAF"/>
    <w:rsid w:val="00A12944"/>
    <w:rsid w:val="00A14EFC"/>
    <w:rsid w:val="00A1691E"/>
    <w:rsid w:val="00A22BE0"/>
    <w:rsid w:val="00A22FF3"/>
    <w:rsid w:val="00A2365D"/>
    <w:rsid w:val="00A24980"/>
    <w:rsid w:val="00A24C4F"/>
    <w:rsid w:val="00A268E0"/>
    <w:rsid w:val="00A2719F"/>
    <w:rsid w:val="00A312B8"/>
    <w:rsid w:val="00A32C82"/>
    <w:rsid w:val="00A33A9C"/>
    <w:rsid w:val="00A3408C"/>
    <w:rsid w:val="00A34D13"/>
    <w:rsid w:val="00A35315"/>
    <w:rsid w:val="00A442C3"/>
    <w:rsid w:val="00A4684B"/>
    <w:rsid w:val="00A474D4"/>
    <w:rsid w:val="00A50F6C"/>
    <w:rsid w:val="00A52F50"/>
    <w:rsid w:val="00A5372D"/>
    <w:rsid w:val="00A6600B"/>
    <w:rsid w:val="00A66018"/>
    <w:rsid w:val="00A66558"/>
    <w:rsid w:val="00A7014D"/>
    <w:rsid w:val="00A71047"/>
    <w:rsid w:val="00A71C88"/>
    <w:rsid w:val="00A72D1A"/>
    <w:rsid w:val="00A751B8"/>
    <w:rsid w:val="00A835FF"/>
    <w:rsid w:val="00A83846"/>
    <w:rsid w:val="00A83E30"/>
    <w:rsid w:val="00A85EA9"/>
    <w:rsid w:val="00A86CA2"/>
    <w:rsid w:val="00A916E8"/>
    <w:rsid w:val="00A91E22"/>
    <w:rsid w:val="00A92349"/>
    <w:rsid w:val="00A93306"/>
    <w:rsid w:val="00A944BC"/>
    <w:rsid w:val="00A94BAC"/>
    <w:rsid w:val="00AA1CCA"/>
    <w:rsid w:val="00AB0007"/>
    <w:rsid w:val="00AB07B5"/>
    <w:rsid w:val="00AB0B25"/>
    <w:rsid w:val="00AB0CD7"/>
    <w:rsid w:val="00AB106F"/>
    <w:rsid w:val="00AB1E7F"/>
    <w:rsid w:val="00AB6557"/>
    <w:rsid w:val="00AC006A"/>
    <w:rsid w:val="00AC0550"/>
    <w:rsid w:val="00AC3607"/>
    <w:rsid w:val="00AC54FF"/>
    <w:rsid w:val="00AC7B96"/>
    <w:rsid w:val="00AD066A"/>
    <w:rsid w:val="00AD069F"/>
    <w:rsid w:val="00AD08FA"/>
    <w:rsid w:val="00AD5477"/>
    <w:rsid w:val="00AD6C0F"/>
    <w:rsid w:val="00AE028B"/>
    <w:rsid w:val="00AE3450"/>
    <w:rsid w:val="00AE5055"/>
    <w:rsid w:val="00AE699D"/>
    <w:rsid w:val="00AF0886"/>
    <w:rsid w:val="00AF1477"/>
    <w:rsid w:val="00AF33FC"/>
    <w:rsid w:val="00AF4C7A"/>
    <w:rsid w:val="00AF5D5B"/>
    <w:rsid w:val="00AF6B9A"/>
    <w:rsid w:val="00B00AA3"/>
    <w:rsid w:val="00B026D9"/>
    <w:rsid w:val="00B045F8"/>
    <w:rsid w:val="00B05442"/>
    <w:rsid w:val="00B072ED"/>
    <w:rsid w:val="00B10918"/>
    <w:rsid w:val="00B10BF4"/>
    <w:rsid w:val="00B1170E"/>
    <w:rsid w:val="00B119C6"/>
    <w:rsid w:val="00B11A62"/>
    <w:rsid w:val="00B14A97"/>
    <w:rsid w:val="00B15030"/>
    <w:rsid w:val="00B150FA"/>
    <w:rsid w:val="00B16D9E"/>
    <w:rsid w:val="00B20D8C"/>
    <w:rsid w:val="00B20EE3"/>
    <w:rsid w:val="00B21B7C"/>
    <w:rsid w:val="00B22AC5"/>
    <w:rsid w:val="00B23C3B"/>
    <w:rsid w:val="00B24C6D"/>
    <w:rsid w:val="00B273CB"/>
    <w:rsid w:val="00B27780"/>
    <w:rsid w:val="00B323F0"/>
    <w:rsid w:val="00B34146"/>
    <w:rsid w:val="00B3465A"/>
    <w:rsid w:val="00B37E41"/>
    <w:rsid w:val="00B426DB"/>
    <w:rsid w:val="00B43E1A"/>
    <w:rsid w:val="00B47709"/>
    <w:rsid w:val="00B50794"/>
    <w:rsid w:val="00B51738"/>
    <w:rsid w:val="00B51E90"/>
    <w:rsid w:val="00B525BB"/>
    <w:rsid w:val="00B54963"/>
    <w:rsid w:val="00B57380"/>
    <w:rsid w:val="00B64E3E"/>
    <w:rsid w:val="00B67C1A"/>
    <w:rsid w:val="00B70D45"/>
    <w:rsid w:val="00B720CF"/>
    <w:rsid w:val="00B7271C"/>
    <w:rsid w:val="00B73175"/>
    <w:rsid w:val="00B763C7"/>
    <w:rsid w:val="00B763FA"/>
    <w:rsid w:val="00B774A8"/>
    <w:rsid w:val="00B816DD"/>
    <w:rsid w:val="00B81A18"/>
    <w:rsid w:val="00B81D8F"/>
    <w:rsid w:val="00B82AC2"/>
    <w:rsid w:val="00B83C4A"/>
    <w:rsid w:val="00B91A4A"/>
    <w:rsid w:val="00B933A6"/>
    <w:rsid w:val="00B97B9F"/>
    <w:rsid w:val="00BA2FD6"/>
    <w:rsid w:val="00BA3333"/>
    <w:rsid w:val="00BA36B3"/>
    <w:rsid w:val="00BA5B1F"/>
    <w:rsid w:val="00BA65B0"/>
    <w:rsid w:val="00BA66B1"/>
    <w:rsid w:val="00BA6EBC"/>
    <w:rsid w:val="00BB0A9C"/>
    <w:rsid w:val="00BB1638"/>
    <w:rsid w:val="00BB34F9"/>
    <w:rsid w:val="00BB4BAF"/>
    <w:rsid w:val="00BB70B9"/>
    <w:rsid w:val="00BB7E8B"/>
    <w:rsid w:val="00BC0B12"/>
    <w:rsid w:val="00BC0E96"/>
    <w:rsid w:val="00BC12E2"/>
    <w:rsid w:val="00BC1DCF"/>
    <w:rsid w:val="00BC346D"/>
    <w:rsid w:val="00BC35D4"/>
    <w:rsid w:val="00BC3D16"/>
    <w:rsid w:val="00BC5124"/>
    <w:rsid w:val="00BD15A5"/>
    <w:rsid w:val="00BD4345"/>
    <w:rsid w:val="00BD4DFB"/>
    <w:rsid w:val="00BE3510"/>
    <w:rsid w:val="00BE4CCA"/>
    <w:rsid w:val="00BE538C"/>
    <w:rsid w:val="00BE74C8"/>
    <w:rsid w:val="00BE761E"/>
    <w:rsid w:val="00BF0827"/>
    <w:rsid w:val="00BF0A35"/>
    <w:rsid w:val="00BF15B9"/>
    <w:rsid w:val="00BF2F4A"/>
    <w:rsid w:val="00BF3093"/>
    <w:rsid w:val="00BF3C89"/>
    <w:rsid w:val="00C04531"/>
    <w:rsid w:val="00C04558"/>
    <w:rsid w:val="00C04EA1"/>
    <w:rsid w:val="00C07C80"/>
    <w:rsid w:val="00C11AAF"/>
    <w:rsid w:val="00C11EFF"/>
    <w:rsid w:val="00C124E6"/>
    <w:rsid w:val="00C13F83"/>
    <w:rsid w:val="00C1470B"/>
    <w:rsid w:val="00C15382"/>
    <w:rsid w:val="00C15ECA"/>
    <w:rsid w:val="00C1633C"/>
    <w:rsid w:val="00C170ED"/>
    <w:rsid w:val="00C17536"/>
    <w:rsid w:val="00C17E8D"/>
    <w:rsid w:val="00C20D32"/>
    <w:rsid w:val="00C20E93"/>
    <w:rsid w:val="00C21DF1"/>
    <w:rsid w:val="00C222F3"/>
    <w:rsid w:val="00C23BF2"/>
    <w:rsid w:val="00C24004"/>
    <w:rsid w:val="00C24455"/>
    <w:rsid w:val="00C254F0"/>
    <w:rsid w:val="00C27855"/>
    <w:rsid w:val="00C307A9"/>
    <w:rsid w:val="00C374CC"/>
    <w:rsid w:val="00C379FE"/>
    <w:rsid w:val="00C37CD0"/>
    <w:rsid w:val="00C43CFE"/>
    <w:rsid w:val="00C46557"/>
    <w:rsid w:val="00C4680A"/>
    <w:rsid w:val="00C46DC6"/>
    <w:rsid w:val="00C4789A"/>
    <w:rsid w:val="00C5077F"/>
    <w:rsid w:val="00C5093C"/>
    <w:rsid w:val="00C52731"/>
    <w:rsid w:val="00C53B93"/>
    <w:rsid w:val="00C55401"/>
    <w:rsid w:val="00C5748B"/>
    <w:rsid w:val="00C60CCE"/>
    <w:rsid w:val="00C6687B"/>
    <w:rsid w:val="00C669E5"/>
    <w:rsid w:val="00C679CE"/>
    <w:rsid w:val="00C704C9"/>
    <w:rsid w:val="00C71380"/>
    <w:rsid w:val="00C71914"/>
    <w:rsid w:val="00C73EDC"/>
    <w:rsid w:val="00C7784C"/>
    <w:rsid w:val="00C80F04"/>
    <w:rsid w:val="00C81090"/>
    <w:rsid w:val="00C81AF5"/>
    <w:rsid w:val="00C81C16"/>
    <w:rsid w:val="00C86564"/>
    <w:rsid w:val="00C90531"/>
    <w:rsid w:val="00C93740"/>
    <w:rsid w:val="00CA06B1"/>
    <w:rsid w:val="00CA6B55"/>
    <w:rsid w:val="00CB75FF"/>
    <w:rsid w:val="00CB7B6B"/>
    <w:rsid w:val="00CC0060"/>
    <w:rsid w:val="00CC0BE8"/>
    <w:rsid w:val="00CC147D"/>
    <w:rsid w:val="00CC349C"/>
    <w:rsid w:val="00CC3E11"/>
    <w:rsid w:val="00CC6237"/>
    <w:rsid w:val="00CC6700"/>
    <w:rsid w:val="00CC6D89"/>
    <w:rsid w:val="00CC6F63"/>
    <w:rsid w:val="00CD008C"/>
    <w:rsid w:val="00CD20F8"/>
    <w:rsid w:val="00CD3316"/>
    <w:rsid w:val="00CD34E9"/>
    <w:rsid w:val="00CD3706"/>
    <w:rsid w:val="00CD4F10"/>
    <w:rsid w:val="00CE116F"/>
    <w:rsid w:val="00CE1386"/>
    <w:rsid w:val="00CE1403"/>
    <w:rsid w:val="00CE2FD5"/>
    <w:rsid w:val="00CE64E7"/>
    <w:rsid w:val="00CF1A8C"/>
    <w:rsid w:val="00CF35E9"/>
    <w:rsid w:val="00CF43B8"/>
    <w:rsid w:val="00CF43F2"/>
    <w:rsid w:val="00CF4B8D"/>
    <w:rsid w:val="00CF543F"/>
    <w:rsid w:val="00D02312"/>
    <w:rsid w:val="00D0622E"/>
    <w:rsid w:val="00D06CF4"/>
    <w:rsid w:val="00D07F6E"/>
    <w:rsid w:val="00D1088E"/>
    <w:rsid w:val="00D12BD9"/>
    <w:rsid w:val="00D162BC"/>
    <w:rsid w:val="00D167BB"/>
    <w:rsid w:val="00D16D6E"/>
    <w:rsid w:val="00D205BA"/>
    <w:rsid w:val="00D21145"/>
    <w:rsid w:val="00D22216"/>
    <w:rsid w:val="00D228C3"/>
    <w:rsid w:val="00D244F1"/>
    <w:rsid w:val="00D25F59"/>
    <w:rsid w:val="00D266C2"/>
    <w:rsid w:val="00D3255C"/>
    <w:rsid w:val="00D3420E"/>
    <w:rsid w:val="00D3478E"/>
    <w:rsid w:val="00D356CF"/>
    <w:rsid w:val="00D411CC"/>
    <w:rsid w:val="00D4206A"/>
    <w:rsid w:val="00D4620B"/>
    <w:rsid w:val="00D50C61"/>
    <w:rsid w:val="00D51C76"/>
    <w:rsid w:val="00D5467C"/>
    <w:rsid w:val="00D55DFB"/>
    <w:rsid w:val="00D621DA"/>
    <w:rsid w:val="00D648E0"/>
    <w:rsid w:val="00D65AC8"/>
    <w:rsid w:val="00D66771"/>
    <w:rsid w:val="00D7008E"/>
    <w:rsid w:val="00D722CD"/>
    <w:rsid w:val="00D7261B"/>
    <w:rsid w:val="00D72F00"/>
    <w:rsid w:val="00D74205"/>
    <w:rsid w:val="00D753D9"/>
    <w:rsid w:val="00D7641A"/>
    <w:rsid w:val="00D807D1"/>
    <w:rsid w:val="00D8224F"/>
    <w:rsid w:val="00D8572F"/>
    <w:rsid w:val="00D857FB"/>
    <w:rsid w:val="00D85BF7"/>
    <w:rsid w:val="00D86802"/>
    <w:rsid w:val="00D90A8A"/>
    <w:rsid w:val="00D90DCC"/>
    <w:rsid w:val="00D91676"/>
    <w:rsid w:val="00D9281D"/>
    <w:rsid w:val="00D93DF2"/>
    <w:rsid w:val="00D969EB"/>
    <w:rsid w:val="00D974FF"/>
    <w:rsid w:val="00DA0270"/>
    <w:rsid w:val="00DA04D6"/>
    <w:rsid w:val="00DA06FC"/>
    <w:rsid w:val="00DA56F0"/>
    <w:rsid w:val="00DA5F0B"/>
    <w:rsid w:val="00DA65FD"/>
    <w:rsid w:val="00DA7A60"/>
    <w:rsid w:val="00DB4818"/>
    <w:rsid w:val="00DB5F13"/>
    <w:rsid w:val="00DB5F5F"/>
    <w:rsid w:val="00DC0517"/>
    <w:rsid w:val="00DC49DB"/>
    <w:rsid w:val="00DC5B32"/>
    <w:rsid w:val="00DC7247"/>
    <w:rsid w:val="00DD173D"/>
    <w:rsid w:val="00DD40C0"/>
    <w:rsid w:val="00DD6DF8"/>
    <w:rsid w:val="00DE2FEA"/>
    <w:rsid w:val="00DE4AC1"/>
    <w:rsid w:val="00DE5630"/>
    <w:rsid w:val="00DE5FF0"/>
    <w:rsid w:val="00DF0EC6"/>
    <w:rsid w:val="00DF26E7"/>
    <w:rsid w:val="00DF4B57"/>
    <w:rsid w:val="00DF54D3"/>
    <w:rsid w:val="00DF6DBF"/>
    <w:rsid w:val="00E02E3B"/>
    <w:rsid w:val="00E049A4"/>
    <w:rsid w:val="00E04D8F"/>
    <w:rsid w:val="00E072AC"/>
    <w:rsid w:val="00E078FD"/>
    <w:rsid w:val="00E11477"/>
    <w:rsid w:val="00E11B0F"/>
    <w:rsid w:val="00E125AF"/>
    <w:rsid w:val="00E13082"/>
    <w:rsid w:val="00E1342A"/>
    <w:rsid w:val="00E14388"/>
    <w:rsid w:val="00E1463E"/>
    <w:rsid w:val="00E1488F"/>
    <w:rsid w:val="00E1687C"/>
    <w:rsid w:val="00E2017C"/>
    <w:rsid w:val="00E2076C"/>
    <w:rsid w:val="00E2081F"/>
    <w:rsid w:val="00E21788"/>
    <w:rsid w:val="00E242D3"/>
    <w:rsid w:val="00E24CA4"/>
    <w:rsid w:val="00E27A3B"/>
    <w:rsid w:val="00E322FF"/>
    <w:rsid w:val="00E32889"/>
    <w:rsid w:val="00E33AFF"/>
    <w:rsid w:val="00E36C6E"/>
    <w:rsid w:val="00E37FA1"/>
    <w:rsid w:val="00E414F8"/>
    <w:rsid w:val="00E43A15"/>
    <w:rsid w:val="00E4472A"/>
    <w:rsid w:val="00E47077"/>
    <w:rsid w:val="00E51C4C"/>
    <w:rsid w:val="00E520C2"/>
    <w:rsid w:val="00E52101"/>
    <w:rsid w:val="00E52779"/>
    <w:rsid w:val="00E53C53"/>
    <w:rsid w:val="00E553D5"/>
    <w:rsid w:val="00E56ADF"/>
    <w:rsid w:val="00E57444"/>
    <w:rsid w:val="00E626F1"/>
    <w:rsid w:val="00E641A6"/>
    <w:rsid w:val="00E65624"/>
    <w:rsid w:val="00E6714F"/>
    <w:rsid w:val="00E705D3"/>
    <w:rsid w:val="00E70B6D"/>
    <w:rsid w:val="00E7317F"/>
    <w:rsid w:val="00E73276"/>
    <w:rsid w:val="00E737FA"/>
    <w:rsid w:val="00E76ACE"/>
    <w:rsid w:val="00E84012"/>
    <w:rsid w:val="00E84E60"/>
    <w:rsid w:val="00E861DA"/>
    <w:rsid w:val="00E86364"/>
    <w:rsid w:val="00E904E5"/>
    <w:rsid w:val="00E959E8"/>
    <w:rsid w:val="00E96A0E"/>
    <w:rsid w:val="00EA174A"/>
    <w:rsid w:val="00EA2A73"/>
    <w:rsid w:val="00EA4441"/>
    <w:rsid w:val="00EA460D"/>
    <w:rsid w:val="00EA7897"/>
    <w:rsid w:val="00EB09C8"/>
    <w:rsid w:val="00EB154E"/>
    <w:rsid w:val="00EB1B66"/>
    <w:rsid w:val="00EB208A"/>
    <w:rsid w:val="00EB2FB3"/>
    <w:rsid w:val="00EB4B99"/>
    <w:rsid w:val="00EB7E3D"/>
    <w:rsid w:val="00EC11E4"/>
    <w:rsid w:val="00EC1AE7"/>
    <w:rsid w:val="00EC1F1B"/>
    <w:rsid w:val="00EC2BE4"/>
    <w:rsid w:val="00EC439F"/>
    <w:rsid w:val="00EC7FD4"/>
    <w:rsid w:val="00ED1EC3"/>
    <w:rsid w:val="00ED2F45"/>
    <w:rsid w:val="00ED4012"/>
    <w:rsid w:val="00ED4187"/>
    <w:rsid w:val="00ED55A2"/>
    <w:rsid w:val="00EE010A"/>
    <w:rsid w:val="00EF0A65"/>
    <w:rsid w:val="00EF12CB"/>
    <w:rsid w:val="00EF1FD5"/>
    <w:rsid w:val="00EF331C"/>
    <w:rsid w:val="00EF3332"/>
    <w:rsid w:val="00EF41AC"/>
    <w:rsid w:val="00EF4F0C"/>
    <w:rsid w:val="00F0033E"/>
    <w:rsid w:val="00F02A7A"/>
    <w:rsid w:val="00F03624"/>
    <w:rsid w:val="00F06057"/>
    <w:rsid w:val="00F26B72"/>
    <w:rsid w:val="00F26DD9"/>
    <w:rsid w:val="00F3014C"/>
    <w:rsid w:val="00F30DD9"/>
    <w:rsid w:val="00F33E7A"/>
    <w:rsid w:val="00F353CE"/>
    <w:rsid w:val="00F3651B"/>
    <w:rsid w:val="00F37163"/>
    <w:rsid w:val="00F435F1"/>
    <w:rsid w:val="00F45F9D"/>
    <w:rsid w:val="00F47958"/>
    <w:rsid w:val="00F51224"/>
    <w:rsid w:val="00F56248"/>
    <w:rsid w:val="00F579EE"/>
    <w:rsid w:val="00F61397"/>
    <w:rsid w:val="00F61F43"/>
    <w:rsid w:val="00F65411"/>
    <w:rsid w:val="00F66425"/>
    <w:rsid w:val="00F66C87"/>
    <w:rsid w:val="00F710FC"/>
    <w:rsid w:val="00F7161F"/>
    <w:rsid w:val="00F73E58"/>
    <w:rsid w:val="00F7406E"/>
    <w:rsid w:val="00F74249"/>
    <w:rsid w:val="00F75473"/>
    <w:rsid w:val="00F80057"/>
    <w:rsid w:val="00F838BA"/>
    <w:rsid w:val="00F839BB"/>
    <w:rsid w:val="00F84751"/>
    <w:rsid w:val="00F85075"/>
    <w:rsid w:val="00F85AD4"/>
    <w:rsid w:val="00F92459"/>
    <w:rsid w:val="00F93E48"/>
    <w:rsid w:val="00F95254"/>
    <w:rsid w:val="00F95D50"/>
    <w:rsid w:val="00F96AA9"/>
    <w:rsid w:val="00FA2073"/>
    <w:rsid w:val="00FA2A0D"/>
    <w:rsid w:val="00FA521B"/>
    <w:rsid w:val="00FA7E0A"/>
    <w:rsid w:val="00FB0B72"/>
    <w:rsid w:val="00FB0CB0"/>
    <w:rsid w:val="00FB1797"/>
    <w:rsid w:val="00FB5649"/>
    <w:rsid w:val="00FC71CC"/>
    <w:rsid w:val="00FC789F"/>
    <w:rsid w:val="00FD241B"/>
    <w:rsid w:val="00FD2D18"/>
    <w:rsid w:val="00FD2DF6"/>
    <w:rsid w:val="00FD3AAB"/>
    <w:rsid w:val="00FD4B19"/>
    <w:rsid w:val="00FD6D4E"/>
    <w:rsid w:val="00FE0A6D"/>
    <w:rsid w:val="00FE2301"/>
    <w:rsid w:val="00FE251E"/>
    <w:rsid w:val="00FE2D9A"/>
    <w:rsid w:val="00FE3202"/>
    <w:rsid w:val="00FE33A9"/>
    <w:rsid w:val="00FE3976"/>
    <w:rsid w:val="00FE3C14"/>
    <w:rsid w:val="00FE4274"/>
    <w:rsid w:val="00FE45B9"/>
    <w:rsid w:val="00FE5327"/>
    <w:rsid w:val="00FE54D9"/>
    <w:rsid w:val="00FE6A03"/>
    <w:rsid w:val="00FE6FF7"/>
    <w:rsid w:val="00FF598F"/>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ate"/>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0ADB"/>
    <w:pPr>
      <w:tabs>
        <w:tab w:val="center" w:pos="4680"/>
        <w:tab w:val="right" w:pos="9360"/>
      </w:tabs>
    </w:pPr>
  </w:style>
  <w:style w:type="character" w:customStyle="1" w:styleId="HeaderChar">
    <w:name w:val="Header Char"/>
    <w:basedOn w:val="DefaultParagraphFont"/>
    <w:link w:val="Header"/>
    <w:rsid w:val="00220ADB"/>
    <w:rPr>
      <w:sz w:val="24"/>
      <w:szCs w:val="24"/>
    </w:rPr>
  </w:style>
  <w:style w:type="paragraph" w:styleId="Footer">
    <w:name w:val="footer"/>
    <w:basedOn w:val="Normal"/>
    <w:link w:val="FooterChar"/>
    <w:uiPriority w:val="99"/>
    <w:rsid w:val="00220ADB"/>
    <w:pPr>
      <w:tabs>
        <w:tab w:val="center" w:pos="4680"/>
        <w:tab w:val="right" w:pos="9360"/>
      </w:tabs>
    </w:pPr>
  </w:style>
  <w:style w:type="character" w:customStyle="1" w:styleId="FooterChar">
    <w:name w:val="Footer Char"/>
    <w:basedOn w:val="DefaultParagraphFont"/>
    <w:link w:val="Footer"/>
    <w:uiPriority w:val="99"/>
    <w:rsid w:val="00220ADB"/>
    <w:rPr>
      <w:sz w:val="24"/>
      <w:szCs w:val="24"/>
    </w:rPr>
  </w:style>
  <w:style w:type="paragraph" w:styleId="ListParagraph">
    <w:name w:val="List Paragraph"/>
    <w:basedOn w:val="Normal"/>
    <w:uiPriority w:val="34"/>
    <w:qFormat/>
    <w:rsid w:val="00377DF4"/>
    <w:pPr>
      <w:ind w:left="720"/>
      <w:contextualSpacing/>
    </w:pPr>
  </w:style>
  <w:style w:type="paragraph" w:styleId="FootnoteText">
    <w:name w:val="footnote text"/>
    <w:basedOn w:val="Normal"/>
    <w:link w:val="FootnoteTextChar"/>
    <w:rsid w:val="009A2F96"/>
    <w:rPr>
      <w:sz w:val="20"/>
      <w:szCs w:val="20"/>
    </w:rPr>
  </w:style>
  <w:style w:type="character" w:customStyle="1" w:styleId="FootnoteTextChar">
    <w:name w:val="Footnote Text Char"/>
    <w:basedOn w:val="DefaultParagraphFont"/>
    <w:link w:val="FootnoteText"/>
    <w:rsid w:val="009A2F96"/>
  </w:style>
  <w:style w:type="character" w:styleId="FootnoteReference">
    <w:name w:val="footnote reference"/>
    <w:basedOn w:val="DefaultParagraphFont"/>
    <w:rsid w:val="009A2F96"/>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13</Pages>
  <Words>3605</Words>
  <Characters>20552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shoffner</cp:lastModifiedBy>
  <cp:revision>14</cp:revision>
  <cp:lastPrinted>2011-03-03T15:22:00Z</cp:lastPrinted>
  <dcterms:created xsi:type="dcterms:W3CDTF">2011-03-03T14:54:00Z</dcterms:created>
  <dcterms:modified xsi:type="dcterms:W3CDTF">2011-03-15T20:34:00Z</dcterms:modified>
</cp:coreProperties>
</file>