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34" w:rsidRPr="000E5E35" w:rsidRDefault="00B43A34" w:rsidP="00B43A34">
      <w:pPr>
        <w:adjustRightInd w:val="0"/>
        <w:spacing w:line="240" w:lineRule="auto"/>
        <w:ind w:firstLine="0"/>
        <w:jc w:val="center"/>
        <w:rPr>
          <w:rFonts w:cs="Times New Roman"/>
          <w:b/>
          <w:bCs/>
        </w:rPr>
      </w:pPr>
      <w:r>
        <w:rPr>
          <w:rFonts w:cs="Times New Roman"/>
          <w:b/>
          <w:bCs/>
        </w:rPr>
        <w:t>PENNSYL</w:t>
      </w:r>
      <w:r w:rsidRPr="000E5E35">
        <w:rPr>
          <w:rFonts w:cs="Times New Roman"/>
          <w:b/>
          <w:bCs/>
        </w:rPr>
        <w:t>VANIA</w:t>
      </w:r>
    </w:p>
    <w:p w:rsidR="00B43A34" w:rsidRPr="000E5E35" w:rsidRDefault="00B43A34" w:rsidP="00B43A34">
      <w:pPr>
        <w:adjustRightInd w:val="0"/>
        <w:spacing w:line="240" w:lineRule="auto"/>
        <w:ind w:firstLine="0"/>
        <w:jc w:val="center"/>
        <w:rPr>
          <w:rFonts w:cs="Times New Roman"/>
          <w:b/>
          <w:bCs/>
        </w:rPr>
      </w:pPr>
      <w:r w:rsidRPr="000E5E35">
        <w:rPr>
          <w:rFonts w:cs="Times New Roman"/>
          <w:b/>
          <w:bCs/>
        </w:rPr>
        <w:t>PUBLIC UTILITY COMMISSION</w:t>
      </w:r>
    </w:p>
    <w:p w:rsidR="00B43A34" w:rsidRDefault="00B43A34" w:rsidP="00B43A34">
      <w:pPr>
        <w:adjustRightInd w:val="0"/>
        <w:spacing w:line="240" w:lineRule="auto"/>
        <w:ind w:firstLine="0"/>
        <w:jc w:val="center"/>
        <w:rPr>
          <w:rFonts w:cs="Times New Roman"/>
          <w:b/>
          <w:bCs/>
        </w:rPr>
      </w:pPr>
      <w:r w:rsidRPr="000E5E35">
        <w:rPr>
          <w:rFonts w:cs="Times New Roman"/>
          <w:b/>
          <w:bCs/>
        </w:rPr>
        <w:t>Harrisburg, PA 17105-3265</w:t>
      </w:r>
    </w:p>
    <w:p w:rsidR="00B43A34" w:rsidRDefault="00B43A34" w:rsidP="00B43A34">
      <w:pPr>
        <w:adjustRightInd w:val="0"/>
        <w:ind w:firstLine="0"/>
        <w:jc w:val="center"/>
        <w:rPr>
          <w:rFonts w:cs="Times New Roman"/>
          <w:b/>
          <w:bCs/>
        </w:rPr>
      </w:pPr>
    </w:p>
    <w:p w:rsidR="00B43A34" w:rsidRPr="000E5E35" w:rsidRDefault="00B43A34" w:rsidP="00B43A34">
      <w:pPr>
        <w:adjustRightInd w:val="0"/>
        <w:spacing w:line="240" w:lineRule="auto"/>
        <w:ind w:firstLine="0"/>
        <w:jc w:val="right"/>
        <w:rPr>
          <w:rFonts w:cs="Times New Roman"/>
        </w:rPr>
      </w:pPr>
      <w:r w:rsidRPr="000E5E35">
        <w:rPr>
          <w:rFonts w:cs="Times New Roman"/>
        </w:rPr>
        <w:t xml:space="preserve">Public Meeting held </w:t>
      </w:r>
      <w:r>
        <w:rPr>
          <w:rFonts w:cs="Times New Roman"/>
        </w:rPr>
        <w:t>March 17, 2011</w:t>
      </w:r>
    </w:p>
    <w:p w:rsidR="00B43A34" w:rsidRDefault="00B43A34" w:rsidP="00B43A34">
      <w:pPr>
        <w:adjustRightInd w:val="0"/>
        <w:spacing w:line="240" w:lineRule="auto"/>
        <w:ind w:firstLine="0"/>
        <w:rPr>
          <w:rFonts w:cs="Times New Roman"/>
        </w:rPr>
      </w:pPr>
    </w:p>
    <w:p w:rsidR="00B43A34" w:rsidRDefault="00B43A34" w:rsidP="00B43A34">
      <w:pPr>
        <w:adjustRightInd w:val="0"/>
        <w:spacing w:line="240" w:lineRule="auto"/>
        <w:ind w:firstLine="0"/>
        <w:rPr>
          <w:rFonts w:cs="Times New Roman"/>
        </w:rPr>
      </w:pPr>
      <w:r w:rsidRPr="000E5E35">
        <w:rPr>
          <w:rFonts w:cs="Times New Roman"/>
        </w:rPr>
        <w:t>Commissioners Present:</w:t>
      </w:r>
    </w:p>
    <w:p w:rsidR="00A0028E" w:rsidRPr="000E5E35" w:rsidRDefault="00A0028E" w:rsidP="00B43A34">
      <w:pPr>
        <w:adjustRightInd w:val="0"/>
        <w:spacing w:line="240" w:lineRule="auto"/>
        <w:ind w:firstLine="0"/>
        <w:rPr>
          <w:rFonts w:cs="Times New Roman"/>
        </w:rPr>
      </w:pPr>
    </w:p>
    <w:p w:rsidR="00B43A34" w:rsidRPr="000E5E35" w:rsidRDefault="00DA4C29" w:rsidP="00B43A34">
      <w:pPr>
        <w:adjustRightInd w:val="0"/>
        <w:spacing w:line="240" w:lineRule="auto"/>
        <w:ind w:firstLine="0"/>
        <w:rPr>
          <w:rFonts w:cs="Times New Roman"/>
        </w:rPr>
      </w:pPr>
      <w:r w:rsidRPr="000E5E35">
        <w:rPr>
          <w:rFonts w:cs="Times New Roman"/>
        </w:rPr>
        <w:t>Robert F. Powelson</w:t>
      </w:r>
      <w:r w:rsidR="00B43A34" w:rsidRPr="000E5E35">
        <w:rPr>
          <w:rFonts w:cs="Times New Roman"/>
        </w:rPr>
        <w:t>, Chairman</w:t>
      </w:r>
    </w:p>
    <w:p w:rsidR="00DA4C29" w:rsidRPr="000E5E35" w:rsidRDefault="00B43A34" w:rsidP="00DA4C29">
      <w:pPr>
        <w:adjustRightInd w:val="0"/>
        <w:spacing w:line="240" w:lineRule="auto"/>
        <w:ind w:firstLine="0"/>
        <w:rPr>
          <w:rFonts w:cs="Times New Roman"/>
        </w:rPr>
      </w:pPr>
      <w:r>
        <w:rPr>
          <w:rFonts w:cs="Times New Roman"/>
        </w:rPr>
        <w:t>T</w:t>
      </w:r>
      <w:r w:rsidR="00DA4C29" w:rsidRPr="00DA4C29">
        <w:rPr>
          <w:rFonts w:cs="Times New Roman"/>
        </w:rPr>
        <w:t xml:space="preserve"> </w:t>
      </w:r>
      <w:r w:rsidR="00DA4C29" w:rsidRPr="000E5E35">
        <w:rPr>
          <w:rFonts w:cs="Times New Roman"/>
        </w:rPr>
        <w:t>John F. Coleman, Jr., Vice Chairman</w:t>
      </w:r>
    </w:p>
    <w:p w:rsidR="00DA4C29" w:rsidRDefault="00DA4C29" w:rsidP="00B43A34">
      <w:pPr>
        <w:adjustRightInd w:val="0"/>
        <w:spacing w:line="240" w:lineRule="auto"/>
        <w:ind w:firstLine="0"/>
        <w:rPr>
          <w:rFonts w:cs="Times New Roman"/>
        </w:rPr>
      </w:pPr>
      <w:r>
        <w:rPr>
          <w:rFonts w:cs="Times New Roman"/>
        </w:rPr>
        <w:t>T</w:t>
      </w:r>
      <w:r w:rsidR="00B43A34">
        <w:rPr>
          <w:rFonts w:cs="Times New Roman"/>
        </w:rPr>
        <w:t>yrone J</w:t>
      </w:r>
      <w:r w:rsidR="00B43A34" w:rsidRPr="000E5E35">
        <w:rPr>
          <w:rFonts w:cs="Times New Roman"/>
        </w:rPr>
        <w:t>. Christy</w:t>
      </w:r>
    </w:p>
    <w:p w:rsidR="00B43A34" w:rsidRPr="000E5E35" w:rsidRDefault="00B43A34" w:rsidP="00D13C63">
      <w:pPr>
        <w:adjustRightInd w:val="0"/>
        <w:spacing w:line="240" w:lineRule="auto"/>
        <w:ind w:firstLine="0"/>
        <w:rPr>
          <w:rFonts w:cs="Times New Roman"/>
        </w:rPr>
      </w:pPr>
      <w:r w:rsidRPr="000E5E35">
        <w:rPr>
          <w:rFonts w:cs="Times New Roman"/>
        </w:rPr>
        <w:t>Wayne E. Gardner</w:t>
      </w:r>
    </w:p>
    <w:p w:rsidR="00B43A34" w:rsidRDefault="00B43A34" w:rsidP="00D13C63">
      <w:pPr>
        <w:adjustRightInd w:val="0"/>
        <w:spacing w:line="240" w:lineRule="auto"/>
        <w:ind w:firstLine="0"/>
        <w:rPr>
          <w:rFonts w:cs="Times New Roman"/>
        </w:rPr>
      </w:pPr>
      <w:r w:rsidRPr="000E5E35">
        <w:rPr>
          <w:rFonts w:cs="Times New Roman"/>
        </w:rPr>
        <w:t>James H. Cawley</w:t>
      </w:r>
    </w:p>
    <w:p w:rsidR="00C86A9D" w:rsidRDefault="00C86A9D" w:rsidP="00B43A34">
      <w:pPr>
        <w:adjustRightInd w:val="0"/>
        <w:spacing w:line="240" w:lineRule="auto"/>
        <w:ind w:firstLine="0"/>
        <w:rPr>
          <w:rFonts w:cs="Times New Roman"/>
        </w:rPr>
      </w:pPr>
    </w:p>
    <w:p w:rsidR="00C86A9D" w:rsidRDefault="00C86A9D" w:rsidP="00B43A34">
      <w:pPr>
        <w:adjustRightInd w:val="0"/>
        <w:spacing w:line="240" w:lineRule="auto"/>
        <w:ind w:firstLine="0"/>
        <w:rPr>
          <w:rFonts w:cs="Times New Roman"/>
        </w:rPr>
      </w:pPr>
    </w:p>
    <w:tbl>
      <w:tblPr>
        <w:tblStyle w:val="TableGrid"/>
        <w:tblW w:w="0" w:type="auto"/>
        <w:tblLook w:val="04A0"/>
      </w:tblPr>
      <w:tblGrid>
        <w:gridCol w:w="4788"/>
        <w:gridCol w:w="4788"/>
      </w:tblGrid>
      <w:tr w:rsidR="00C86A9D" w:rsidRPr="007F4673" w:rsidTr="0081512E">
        <w:tc>
          <w:tcPr>
            <w:tcW w:w="4788" w:type="dxa"/>
            <w:tcBorders>
              <w:top w:val="nil"/>
              <w:left w:val="nil"/>
              <w:bottom w:val="nil"/>
              <w:right w:val="nil"/>
            </w:tcBorders>
          </w:tcPr>
          <w:p w:rsidR="00C86A9D" w:rsidRPr="007F4673" w:rsidRDefault="00C86A9D" w:rsidP="00D13C63">
            <w:pPr>
              <w:adjustRightInd w:val="0"/>
              <w:ind w:firstLine="0"/>
              <w:rPr>
                <w:rFonts w:cs="Times New Roman"/>
              </w:rPr>
            </w:pPr>
            <w:r w:rsidRPr="007F4673">
              <w:rPr>
                <w:rFonts w:cs="Times New Roman"/>
              </w:rPr>
              <w:t>Pennsylvania Public Utility Commission</w:t>
            </w:r>
          </w:p>
        </w:tc>
        <w:tc>
          <w:tcPr>
            <w:tcW w:w="4788" w:type="dxa"/>
            <w:tcBorders>
              <w:top w:val="nil"/>
              <w:left w:val="nil"/>
              <w:bottom w:val="nil"/>
              <w:right w:val="nil"/>
            </w:tcBorders>
          </w:tcPr>
          <w:p w:rsidR="00C86A9D" w:rsidRPr="007F4673" w:rsidRDefault="004A7856" w:rsidP="004A7856">
            <w:pPr>
              <w:adjustRightInd w:val="0"/>
              <w:rPr>
                <w:rFonts w:cs="Times New Roman"/>
              </w:rPr>
            </w:pPr>
            <w:r w:rsidRPr="00FB1EF5">
              <w:rPr>
                <w:szCs w:val="24"/>
              </w:rPr>
              <w:t>R-2010-2171918</w:t>
            </w:r>
          </w:p>
        </w:tc>
      </w:tr>
      <w:tr w:rsidR="00C86A9D" w:rsidRPr="007F4673" w:rsidTr="0081512E">
        <w:tc>
          <w:tcPr>
            <w:tcW w:w="4788" w:type="dxa"/>
            <w:tcBorders>
              <w:top w:val="nil"/>
              <w:left w:val="nil"/>
              <w:bottom w:val="nil"/>
              <w:right w:val="nil"/>
            </w:tcBorders>
          </w:tcPr>
          <w:p w:rsidR="00C86A9D" w:rsidRPr="007F4673" w:rsidRDefault="00C86A9D" w:rsidP="00D13C63">
            <w:pPr>
              <w:adjustRightInd w:val="0"/>
              <w:ind w:firstLine="0"/>
              <w:rPr>
                <w:rFonts w:cs="Times New Roman"/>
              </w:rPr>
            </w:pPr>
            <w:r w:rsidRPr="007F4673">
              <w:rPr>
                <w:rFonts w:cs="Times New Roman"/>
              </w:rPr>
              <w:t>Office of Consumer Advocate</w:t>
            </w:r>
          </w:p>
        </w:tc>
        <w:tc>
          <w:tcPr>
            <w:tcW w:w="4788" w:type="dxa"/>
            <w:tcBorders>
              <w:top w:val="nil"/>
              <w:left w:val="nil"/>
              <w:bottom w:val="nil"/>
              <w:right w:val="nil"/>
            </w:tcBorders>
          </w:tcPr>
          <w:p w:rsidR="00C86A9D" w:rsidRPr="007F4673" w:rsidRDefault="004A7856" w:rsidP="00B252B2">
            <w:pPr>
              <w:jc w:val="both"/>
              <w:rPr>
                <w:rFonts w:cs="Times New Roman"/>
              </w:rPr>
            </w:pPr>
            <w:r w:rsidRPr="00FB1EF5">
              <w:rPr>
                <w:szCs w:val="24"/>
              </w:rPr>
              <w:t>C-2010-21914</w:t>
            </w:r>
            <w:r w:rsidR="00B252B2">
              <w:rPr>
                <w:szCs w:val="24"/>
              </w:rPr>
              <w:t>49</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Loren </w:t>
            </w:r>
            <w:r w:rsidRPr="007F4673">
              <w:rPr>
                <w:rFonts w:cs="Times New Roman"/>
                <w:color w:val="000000"/>
              </w:rPr>
              <w:t>Bishop</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C-2010-2193074</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Frank </w:t>
            </w:r>
            <w:proofErr w:type="spellStart"/>
            <w:r w:rsidRPr="007F4673">
              <w:rPr>
                <w:rFonts w:cs="Times New Roman"/>
                <w:color w:val="000000"/>
              </w:rPr>
              <w:t>Calderone</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C-2010-2196806</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Kathy </w:t>
            </w:r>
            <w:proofErr w:type="spellStart"/>
            <w:r w:rsidRPr="007F4673">
              <w:rPr>
                <w:rFonts w:cs="Times New Roman"/>
                <w:color w:val="000000"/>
              </w:rPr>
              <w:t>Demma</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C-2010-2197651</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James </w:t>
            </w:r>
            <w:r w:rsidRPr="007F4673">
              <w:rPr>
                <w:rFonts w:cs="Times New Roman"/>
                <w:color w:val="000000"/>
              </w:rPr>
              <w:t>Edgar</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C-2010-2198815</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Jeff and Cristina</w:t>
            </w:r>
            <w:r w:rsidR="00444955">
              <w:rPr>
                <w:rFonts w:cs="Times New Roman"/>
                <w:color w:val="000000"/>
              </w:rPr>
              <w:t xml:space="preserve"> </w:t>
            </w:r>
            <w:r w:rsidRPr="007F4673">
              <w:rPr>
                <w:rFonts w:cs="Times New Roman"/>
                <w:color w:val="000000"/>
              </w:rPr>
              <w:t>Fischer</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C-2010-2199226</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Ronald </w:t>
            </w:r>
            <w:proofErr w:type="spellStart"/>
            <w:r w:rsidRPr="007F4673">
              <w:rPr>
                <w:rFonts w:cs="Times New Roman"/>
                <w:color w:val="000000"/>
              </w:rPr>
              <w:t>Fonner</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C-2010-2199974</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Eric </w:t>
            </w:r>
            <w:proofErr w:type="spellStart"/>
            <w:r w:rsidRPr="007F4673">
              <w:rPr>
                <w:rFonts w:cs="Times New Roman"/>
                <w:color w:val="000000"/>
              </w:rPr>
              <w:t>Gaber</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C-2010-2199300</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John </w:t>
            </w:r>
            <w:r w:rsidRPr="007F4673">
              <w:rPr>
                <w:rFonts w:cs="Times New Roman"/>
                <w:color w:val="000000"/>
              </w:rPr>
              <w:t>Green, Jr.</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C-2010-2200580</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Robert </w:t>
            </w:r>
            <w:proofErr w:type="spellStart"/>
            <w:r w:rsidRPr="007F4673">
              <w:rPr>
                <w:rFonts w:cs="Times New Roman"/>
                <w:color w:val="000000"/>
              </w:rPr>
              <w:t>Heise</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C-2010-2202304</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Thomas and Paula </w:t>
            </w:r>
            <w:r w:rsidRPr="007F4673">
              <w:rPr>
                <w:rFonts w:cs="Times New Roman"/>
                <w:color w:val="000000"/>
              </w:rPr>
              <w:t>Hixson</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C-2010-2192125</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Pr>
                <w:rFonts w:cs="Times New Roman"/>
                <w:color w:val="000000"/>
              </w:rPr>
              <w:t xml:space="preserve">Nicole </w:t>
            </w:r>
            <w:proofErr w:type="spellStart"/>
            <w:r w:rsidRPr="007F4673">
              <w:rPr>
                <w:rFonts w:cs="Times New Roman"/>
                <w:color w:val="000000"/>
              </w:rPr>
              <w:t>Horten</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C-2010-2196268</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Calvin </w:t>
            </w:r>
            <w:r w:rsidR="007F4673" w:rsidRPr="007F4673">
              <w:rPr>
                <w:rFonts w:cs="Times New Roman"/>
                <w:color w:val="000000"/>
              </w:rPr>
              <w:t>Johnston</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C-2010-2197991</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proofErr w:type="spellStart"/>
            <w:r>
              <w:rPr>
                <w:rFonts w:cs="Times New Roman"/>
                <w:color w:val="000000"/>
              </w:rPr>
              <w:t>Terah</w:t>
            </w:r>
            <w:proofErr w:type="spellEnd"/>
            <w:r>
              <w:rPr>
                <w:rFonts w:cs="Times New Roman"/>
                <w:color w:val="000000"/>
              </w:rPr>
              <w:t xml:space="preserve"> </w:t>
            </w:r>
            <w:r w:rsidR="007F4673" w:rsidRPr="007F4673">
              <w:rPr>
                <w:rFonts w:cs="Times New Roman"/>
                <w:color w:val="000000"/>
              </w:rPr>
              <w:t>King-</w:t>
            </w:r>
            <w:proofErr w:type="spellStart"/>
            <w:r w:rsidR="007F4673" w:rsidRPr="007F4673">
              <w:rPr>
                <w:rFonts w:cs="Times New Roman"/>
                <w:color w:val="000000"/>
              </w:rPr>
              <w:t>Bussell</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C-2010-2198627</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Owen </w:t>
            </w:r>
            <w:r w:rsidR="007F4673" w:rsidRPr="007F4673">
              <w:rPr>
                <w:rFonts w:cs="Times New Roman"/>
                <w:color w:val="000000"/>
              </w:rPr>
              <w:t>Kirby</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C-2010-2200358</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Charles </w:t>
            </w:r>
            <w:proofErr w:type="spellStart"/>
            <w:r w:rsidR="007F4673" w:rsidRPr="007F4673">
              <w:rPr>
                <w:rFonts w:cs="Times New Roman"/>
                <w:color w:val="000000"/>
              </w:rPr>
              <w:t>Krouse</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C-2010-2197698</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Marti </w:t>
            </w:r>
            <w:proofErr w:type="spellStart"/>
            <w:r w:rsidR="007F4673" w:rsidRPr="007F4673">
              <w:rPr>
                <w:rFonts w:cs="Times New Roman"/>
                <w:color w:val="000000"/>
              </w:rPr>
              <w:t>Laudato</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C-2010-2204166</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Linda </w:t>
            </w:r>
            <w:r w:rsidR="007F4673" w:rsidRPr="007F4673">
              <w:rPr>
                <w:rFonts w:cs="Times New Roman"/>
                <w:color w:val="000000"/>
              </w:rPr>
              <w:t>Lynn</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C-2010-2200593</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Michael </w:t>
            </w:r>
            <w:proofErr w:type="spellStart"/>
            <w:r w:rsidR="007F4673" w:rsidRPr="007F4673">
              <w:rPr>
                <w:rFonts w:cs="Times New Roman"/>
                <w:color w:val="000000"/>
              </w:rPr>
              <w:t>McConville</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C-2010-2197667</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Frank </w:t>
            </w:r>
            <w:proofErr w:type="spellStart"/>
            <w:r w:rsidR="007F4673" w:rsidRPr="007F4673">
              <w:rPr>
                <w:rFonts w:cs="Times New Roman"/>
                <w:color w:val="000000"/>
              </w:rPr>
              <w:t>Meisner</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C-2010-2199239</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Donald </w:t>
            </w:r>
            <w:proofErr w:type="spellStart"/>
            <w:r w:rsidR="007F4673" w:rsidRPr="007F4673">
              <w:rPr>
                <w:rFonts w:cs="Times New Roman"/>
                <w:color w:val="000000"/>
              </w:rPr>
              <w:t>Mizner</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C-2010-2199286</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Donald </w:t>
            </w:r>
            <w:r w:rsidR="007F4673" w:rsidRPr="007F4673">
              <w:rPr>
                <w:rFonts w:cs="Times New Roman"/>
                <w:color w:val="000000"/>
              </w:rPr>
              <w:t>Moore</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C-2010-2200006</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Henry and Vonda </w:t>
            </w:r>
            <w:r w:rsidR="007F4673" w:rsidRPr="007F4673">
              <w:rPr>
                <w:rFonts w:cs="Times New Roman"/>
                <w:color w:val="000000"/>
              </w:rPr>
              <w:t>Myers</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C-2010-2192551</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Ronald </w:t>
            </w:r>
            <w:r w:rsidR="007F4673" w:rsidRPr="007F4673">
              <w:rPr>
                <w:rFonts w:cs="Times New Roman"/>
                <w:color w:val="000000"/>
              </w:rPr>
              <w:t>Neely</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C-2010-2199234</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Gary and Sandra </w:t>
            </w:r>
            <w:r w:rsidR="007F4673" w:rsidRPr="007F4673">
              <w:rPr>
                <w:rFonts w:cs="Times New Roman"/>
                <w:color w:val="000000"/>
              </w:rPr>
              <w:t>Neiman</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C-2010-2200533</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 xml:space="preserve">Gilbert </w:t>
            </w:r>
            <w:r w:rsidR="007F4673" w:rsidRPr="007F4673">
              <w:rPr>
                <w:rFonts w:cs="Times New Roman"/>
                <w:color w:val="000000"/>
              </w:rPr>
              <w:t>Piazza</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C-2010-2198198</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lastRenderedPageBreak/>
              <w:t xml:space="preserve">Nancy </w:t>
            </w:r>
            <w:proofErr w:type="spellStart"/>
            <w:r w:rsidR="007F4673" w:rsidRPr="007F4673">
              <w:rPr>
                <w:rFonts w:cs="Times New Roman"/>
                <w:color w:val="000000"/>
              </w:rPr>
              <w:t>Poy</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C-2010-2204406</w:t>
            </w:r>
          </w:p>
        </w:tc>
      </w:tr>
      <w:tr w:rsidR="007F4673" w:rsidRPr="007F4673" w:rsidTr="0081512E">
        <w:tc>
          <w:tcPr>
            <w:tcW w:w="4788" w:type="dxa"/>
            <w:tcBorders>
              <w:top w:val="nil"/>
              <w:left w:val="nil"/>
              <w:bottom w:val="nil"/>
              <w:right w:val="nil"/>
            </w:tcBorders>
            <w:vAlign w:val="bottom"/>
          </w:tcPr>
          <w:p w:rsidR="007F4673" w:rsidRPr="007F4673" w:rsidRDefault="00526B94" w:rsidP="00D13C63">
            <w:pPr>
              <w:ind w:firstLine="0"/>
              <w:rPr>
                <w:rFonts w:cs="Times New Roman"/>
                <w:color w:val="000000"/>
              </w:rPr>
            </w:pPr>
            <w:r>
              <w:rPr>
                <w:rFonts w:cs="Times New Roman"/>
                <w:color w:val="000000"/>
              </w:rPr>
              <w:t>Gerald and Barb</w:t>
            </w:r>
            <w:r w:rsidR="00A35077">
              <w:rPr>
                <w:rFonts w:cs="Times New Roman"/>
                <w:color w:val="000000"/>
              </w:rPr>
              <w:t xml:space="preserve">ara </w:t>
            </w:r>
            <w:r w:rsidR="007F4673" w:rsidRPr="007F4673">
              <w:rPr>
                <w:rFonts w:cs="Times New Roman"/>
                <w:color w:val="000000"/>
              </w:rPr>
              <w:t>Ralston</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C-2010-2198702</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Anthony </w:t>
            </w:r>
            <w:proofErr w:type="spellStart"/>
            <w:r w:rsidR="007F4673" w:rsidRPr="007F4673">
              <w:rPr>
                <w:rFonts w:cs="Times New Roman"/>
                <w:color w:val="000000"/>
              </w:rPr>
              <w:t>Raspatello</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C-2010-2197971</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David </w:t>
            </w:r>
            <w:r w:rsidR="007F4673" w:rsidRPr="007F4673">
              <w:rPr>
                <w:rFonts w:cs="Times New Roman"/>
                <w:color w:val="000000"/>
              </w:rPr>
              <w:t>Read</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C-2010-2209392</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Jennifer </w:t>
            </w:r>
            <w:r w:rsidR="007F4673" w:rsidRPr="007F4673">
              <w:rPr>
                <w:rFonts w:cs="Times New Roman"/>
                <w:color w:val="000000"/>
              </w:rPr>
              <w:t>Reichert</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C-2010-2204443</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Deborah </w:t>
            </w:r>
            <w:proofErr w:type="spellStart"/>
            <w:r w:rsidR="007F4673" w:rsidRPr="007F4673">
              <w:rPr>
                <w:rFonts w:cs="Times New Roman"/>
                <w:color w:val="000000"/>
              </w:rPr>
              <w:t>Rhed</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C-2010-2201825</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James and Lisa </w:t>
            </w:r>
            <w:r w:rsidR="007F4673" w:rsidRPr="007F4673">
              <w:rPr>
                <w:rFonts w:cs="Times New Roman"/>
                <w:color w:val="000000"/>
              </w:rPr>
              <w:t>Rittenhouse</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C-2010-2204304</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Marie </w:t>
            </w:r>
            <w:r w:rsidR="007F4673" w:rsidRPr="007F4673">
              <w:rPr>
                <w:rFonts w:cs="Times New Roman"/>
                <w:color w:val="000000"/>
              </w:rPr>
              <w:t>Russell</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C-2010-2198822</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Shirley </w:t>
            </w:r>
            <w:proofErr w:type="spellStart"/>
            <w:r w:rsidR="007F4673" w:rsidRPr="007F4673">
              <w:rPr>
                <w:rFonts w:cs="Times New Roman"/>
                <w:color w:val="000000"/>
              </w:rPr>
              <w:t>Ruttinger</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C-2010-2204105</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Timothy </w:t>
            </w:r>
            <w:proofErr w:type="spellStart"/>
            <w:r w:rsidR="007F4673" w:rsidRPr="007F4673">
              <w:rPr>
                <w:rFonts w:cs="Times New Roman"/>
                <w:color w:val="000000"/>
              </w:rPr>
              <w:t>Ruttinger</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C-2010-2204160</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Gary </w:t>
            </w:r>
            <w:r w:rsidR="007F4673" w:rsidRPr="007F4673">
              <w:rPr>
                <w:rFonts w:cs="Times New Roman"/>
                <w:color w:val="000000"/>
              </w:rPr>
              <w:t>Schneider</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C-2010-2200430</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Gary L. Smith</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C-2010-2204107</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Charles Snyder</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C-2010-2198668</w:t>
            </w:r>
          </w:p>
        </w:tc>
      </w:tr>
      <w:tr w:rsidR="007F4673" w:rsidRPr="007F4673" w:rsidTr="0081512E">
        <w:tc>
          <w:tcPr>
            <w:tcW w:w="4788" w:type="dxa"/>
            <w:tcBorders>
              <w:top w:val="nil"/>
              <w:left w:val="nil"/>
              <w:bottom w:val="nil"/>
              <w:right w:val="nil"/>
            </w:tcBorders>
            <w:vAlign w:val="bottom"/>
          </w:tcPr>
          <w:p w:rsidR="007F4673" w:rsidRPr="007F4673" w:rsidRDefault="007F4673" w:rsidP="00D13C63">
            <w:pPr>
              <w:ind w:firstLine="0"/>
              <w:rPr>
                <w:rFonts w:cs="Times New Roman"/>
                <w:color w:val="000000"/>
              </w:rPr>
            </w:pPr>
            <w:r w:rsidRPr="007F4673">
              <w:rPr>
                <w:rFonts w:cs="Times New Roman"/>
                <w:color w:val="000000"/>
              </w:rPr>
              <w:t>Treasure Lake</w:t>
            </w:r>
            <w:r w:rsidR="00D13C63">
              <w:rPr>
                <w:rFonts w:cs="Times New Roman"/>
                <w:color w:val="000000"/>
              </w:rPr>
              <w:t xml:space="preserve"> Property Owners</w:t>
            </w:r>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C-2010-2198622</w:t>
            </w:r>
          </w:p>
        </w:tc>
      </w:tr>
      <w:tr w:rsidR="007F4673" w:rsidRPr="007F4673" w:rsidTr="0081512E">
        <w:tc>
          <w:tcPr>
            <w:tcW w:w="4788" w:type="dxa"/>
            <w:tcBorders>
              <w:top w:val="nil"/>
              <w:left w:val="nil"/>
              <w:bottom w:val="nil"/>
              <w:right w:val="nil"/>
            </w:tcBorders>
            <w:vAlign w:val="bottom"/>
          </w:tcPr>
          <w:p w:rsidR="007F4673" w:rsidRPr="007F4673" w:rsidRDefault="00D13C63" w:rsidP="00D13C63">
            <w:pPr>
              <w:ind w:firstLine="0"/>
              <w:rPr>
                <w:rFonts w:cs="Times New Roman"/>
                <w:color w:val="000000"/>
              </w:rPr>
            </w:pPr>
            <w:r>
              <w:rPr>
                <w:rFonts w:cs="Times New Roman"/>
                <w:color w:val="000000"/>
              </w:rPr>
              <w:t xml:space="preserve">Steve </w:t>
            </w:r>
            <w:proofErr w:type="spellStart"/>
            <w:r w:rsidR="007F4673" w:rsidRPr="007F4673">
              <w:rPr>
                <w:rFonts w:cs="Times New Roman"/>
                <w:color w:val="000000"/>
              </w:rPr>
              <w:t>Tuller</w:t>
            </w:r>
            <w:proofErr w:type="spellEnd"/>
          </w:p>
        </w:tc>
        <w:tc>
          <w:tcPr>
            <w:tcW w:w="4788" w:type="dxa"/>
            <w:tcBorders>
              <w:top w:val="nil"/>
              <w:left w:val="nil"/>
              <w:bottom w:val="nil"/>
              <w:right w:val="nil"/>
            </w:tcBorders>
            <w:vAlign w:val="bottom"/>
          </w:tcPr>
          <w:p w:rsidR="007F4673" w:rsidRPr="007F4673" w:rsidRDefault="007F4673" w:rsidP="0081512E">
            <w:pPr>
              <w:rPr>
                <w:rFonts w:cs="Times New Roman"/>
                <w:color w:val="000000"/>
              </w:rPr>
            </w:pPr>
            <w:r w:rsidRPr="007F4673">
              <w:rPr>
                <w:rFonts w:cs="Times New Roman"/>
                <w:color w:val="000000"/>
              </w:rPr>
              <w:t>C-2010-2197915</w:t>
            </w:r>
          </w:p>
        </w:tc>
      </w:tr>
    </w:tbl>
    <w:p w:rsidR="00DA4C29" w:rsidRDefault="00DA4C29" w:rsidP="00B43A34">
      <w:pPr>
        <w:adjustRightInd w:val="0"/>
        <w:spacing w:line="240" w:lineRule="auto"/>
        <w:ind w:firstLine="0"/>
        <w:rPr>
          <w:rFonts w:cs="Times New Roman"/>
        </w:rPr>
      </w:pPr>
    </w:p>
    <w:p w:rsidR="0081512E" w:rsidRDefault="0081512E" w:rsidP="00B43A34">
      <w:pPr>
        <w:adjustRightInd w:val="0"/>
        <w:spacing w:line="240" w:lineRule="auto"/>
        <w:ind w:firstLine="0"/>
        <w:rPr>
          <w:rFonts w:cs="Times New Roman"/>
        </w:rPr>
      </w:pPr>
      <w:r>
        <w:rPr>
          <w:rFonts w:cs="Times New Roman"/>
        </w:rPr>
        <w:tab/>
      </w:r>
      <w:proofErr w:type="gramStart"/>
      <w:r>
        <w:rPr>
          <w:rFonts w:cs="Times New Roman"/>
        </w:rPr>
        <w:t>v</w:t>
      </w:r>
      <w:proofErr w:type="gramEnd"/>
      <w:r>
        <w:rPr>
          <w:rFonts w:cs="Times New Roman"/>
        </w:rPr>
        <w:t>.</w:t>
      </w:r>
    </w:p>
    <w:p w:rsidR="0081512E" w:rsidRDefault="0081512E" w:rsidP="00B43A34">
      <w:pPr>
        <w:adjustRightInd w:val="0"/>
        <w:spacing w:line="240" w:lineRule="auto"/>
        <w:ind w:firstLine="0"/>
        <w:rPr>
          <w:rFonts w:cs="Times New Roman"/>
        </w:rPr>
      </w:pPr>
    </w:p>
    <w:p w:rsidR="0081512E" w:rsidRPr="00FB1EF5" w:rsidRDefault="0081512E" w:rsidP="0081512E">
      <w:pPr>
        <w:spacing w:line="240" w:lineRule="auto"/>
        <w:ind w:firstLine="0"/>
        <w:jc w:val="both"/>
        <w:rPr>
          <w:szCs w:val="24"/>
        </w:rPr>
      </w:pPr>
      <w:r w:rsidRPr="00FB1EF5">
        <w:rPr>
          <w:szCs w:val="24"/>
        </w:rPr>
        <w:t>Total Environmental Solutions, Inc. –</w:t>
      </w:r>
      <w:r w:rsidRPr="00FB1EF5">
        <w:rPr>
          <w:szCs w:val="24"/>
        </w:rPr>
        <w:tab/>
      </w:r>
      <w:r w:rsidRPr="00FB1EF5">
        <w:rPr>
          <w:szCs w:val="24"/>
        </w:rPr>
        <w:tab/>
        <w:t>:</w:t>
      </w:r>
    </w:p>
    <w:p w:rsidR="0081512E" w:rsidRDefault="0081512E" w:rsidP="0081512E">
      <w:pPr>
        <w:adjustRightInd w:val="0"/>
        <w:spacing w:line="240" w:lineRule="auto"/>
        <w:ind w:firstLine="0"/>
        <w:rPr>
          <w:rFonts w:cs="Times New Roman"/>
        </w:rPr>
      </w:pPr>
      <w:r w:rsidRPr="00FB1EF5">
        <w:rPr>
          <w:szCs w:val="24"/>
        </w:rPr>
        <w:t>Treasure Lake Water Division</w:t>
      </w:r>
      <w:r w:rsidRPr="00FB1EF5">
        <w:rPr>
          <w:szCs w:val="24"/>
        </w:rPr>
        <w:tab/>
      </w:r>
    </w:p>
    <w:p w:rsidR="0081512E" w:rsidRDefault="0081512E" w:rsidP="00B43A34">
      <w:pPr>
        <w:adjustRightInd w:val="0"/>
        <w:spacing w:line="240" w:lineRule="auto"/>
        <w:ind w:firstLine="0"/>
        <w:rPr>
          <w:rFonts w:cs="Times New Roman"/>
        </w:rPr>
      </w:pPr>
    </w:p>
    <w:p w:rsidR="0081512E" w:rsidRDefault="0081512E" w:rsidP="00B43A34">
      <w:pPr>
        <w:adjustRightInd w:val="0"/>
        <w:spacing w:line="240" w:lineRule="auto"/>
        <w:ind w:firstLine="0"/>
        <w:rPr>
          <w:rFonts w:cs="Times New Roman"/>
        </w:rPr>
      </w:pPr>
    </w:p>
    <w:p w:rsidR="00932158" w:rsidRDefault="00932158" w:rsidP="00B43A34">
      <w:pPr>
        <w:adjustRightInd w:val="0"/>
        <w:spacing w:line="240" w:lineRule="auto"/>
        <w:ind w:firstLine="0"/>
        <w:rPr>
          <w:rFonts w:cs="Times New Roman"/>
        </w:rPr>
      </w:pPr>
    </w:p>
    <w:tbl>
      <w:tblPr>
        <w:tblStyle w:val="TableGrid"/>
        <w:tblW w:w="0" w:type="auto"/>
        <w:tblLook w:val="04A0"/>
      </w:tblPr>
      <w:tblGrid>
        <w:gridCol w:w="4788"/>
        <w:gridCol w:w="4788"/>
      </w:tblGrid>
      <w:tr w:rsidR="007D25CB" w:rsidTr="00932158">
        <w:tc>
          <w:tcPr>
            <w:tcW w:w="4788" w:type="dxa"/>
            <w:tcBorders>
              <w:top w:val="nil"/>
              <w:left w:val="nil"/>
              <w:bottom w:val="nil"/>
              <w:right w:val="nil"/>
            </w:tcBorders>
          </w:tcPr>
          <w:p w:rsidR="007D25CB" w:rsidRPr="007F4673" w:rsidRDefault="007D25CB" w:rsidP="00E44F7F">
            <w:pPr>
              <w:adjustRightInd w:val="0"/>
              <w:ind w:firstLine="0"/>
              <w:rPr>
                <w:rFonts w:cs="Times New Roman"/>
              </w:rPr>
            </w:pPr>
            <w:r w:rsidRPr="007F4673">
              <w:rPr>
                <w:rFonts w:cs="Times New Roman"/>
              </w:rPr>
              <w:t>Pennsylvania Public Utility Commission</w:t>
            </w:r>
          </w:p>
        </w:tc>
        <w:tc>
          <w:tcPr>
            <w:tcW w:w="4788" w:type="dxa"/>
            <w:tcBorders>
              <w:top w:val="nil"/>
              <w:left w:val="nil"/>
              <w:bottom w:val="nil"/>
              <w:right w:val="nil"/>
            </w:tcBorders>
            <w:vAlign w:val="bottom"/>
          </w:tcPr>
          <w:p w:rsidR="007D25CB" w:rsidRPr="00867875" w:rsidRDefault="00932158" w:rsidP="00E44F7F">
            <w:pPr>
              <w:rPr>
                <w:rFonts w:ascii="Calibri" w:hAnsi="Calibri"/>
                <w:color w:val="000000"/>
                <w:sz w:val="22"/>
                <w:szCs w:val="22"/>
              </w:rPr>
            </w:pPr>
            <w:r w:rsidRPr="00FB1EF5">
              <w:rPr>
                <w:szCs w:val="24"/>
              </w:rPr>
              <w:t>R-2010-2171924</w:t>
            </w:r>
          </w:p>
        </w:tc>
      </w:tr>
      <w:tr w:rsidR="007D25CB" w:rsidTr="00932158">
        <w:tc>
          <w:tcPr>
            <w:tcW w:w="4788" w:type="dxa"/>
            <w:tcBorders>
              <w:top w:val="nil"/>
              <w:left w:val="nil"/>
              <w:bottom w:val="nil"/>
              <w:right w:val="nil"/>
            </w:tcBorders>
          </w:tcPr>
          <w:p w:rsidR="007D25CB" w:rsidRPr="007F4673" w:rsidRDefault="007D25CB" w:rsidP="00E44F7F">
            <w:pPr>
              <w:adjustRightInd w:val="0"/>
              <w:ind w:firstLine="0"/>
              <w:rPr>
                <w:rFonts w:cs="Times New Roman"/>
              </w:rPr>
            </w:pPr>
            <w:r w:rsidRPr="007F4673">
              <w:rPr>
                <w:rFonts w:cs="Times New Roman"/>
              </w:rPr>
              <w:t>Office of Consumer Advocate</w:t>
            </w:r>
          </w:p>
        </w:tc>
        <w:tc>
          <w:tcPr>
            <w:tcW w:w="4788" w:type="dxa"/>
            <w:tcBorders>
              <w:top w:val="nil"/>
              <w:left w:val="nil"/>
              <w:bottom w:val="nil"/>
              <w:right w:val="nil"/>
            </w:tcBorders>
            <w:vAlign w:val="bottom"/>
          </w:tcPr>
          <w:p w:rsidR="007D25CB" w:rsidRPr="00867875" w:rsidRDefault="00932158" w:rsidP="00932158">
            <w:pPr>
              <w:jc w:val="both"/>
              <w:rPr>
                <w:rFonts w:ascii="Calibri" w:hAnsi="Calibri"/>
                <w:color w:val="000000"/>
                <w:sz w:val="22"/>
                <w:szCs w:val="22"/>
              </w:rPr>
            </w:pPr>
            <w:r w:rsidRPr="00FB1EF5">
              <w:rPr>
                <w:szCs w:val="24"/>
              </w:rPr>
              <w:t>C-2010-2191421</w:t>
            </w:r>
          </w:p>
        </w:tc>
      </w:tr>
      <w:tr w:rsidR="007D25CB" w:rsidRPr="00F548AE" w:rsidTr="00932158">
        <w:tc>
          <w:tcPr>
            <w:tcW w:w="4788" w:type="dxa"/>
            <w:tcBorders>
              <w:top w:val="nil"/>
              <w:left w:val="nil"/>
              <w:bottom w:val="nil"/>
              <w:right w:val="nil"/>
            </w:tcBorders>
            <w:vAlign w:val="bottom"/>
          </w:tcPr>
          <w:p w:rsidR="007D25CB" w:rsidRPr="00F548AE" w:rsidRDefault="007D25CB" w:rsidP="00E44F7F">
            <w:pPr>
              <w:ind w:firstLine="0"/>
              <w:rPr>
                <w:rFonts w:cs="Times New Roman"/>
                <w:color w:val="000000"/>
              </w:rPr>
            </w:pPr>
            <w:r w:rsidRPr="00F548AE">
              <w:rPr>
                <w:rFonts w:cs="Times New Roman"/>
                <w:color w:val="000000"/>
              </w:rPr>
              <w:t>James Edgar</w:t>
            </w:r>
          </w:p>
        </w:tc>
        <w:tc>
          <w:tcPr>
            <w:tcW w:w="4788" w:type="dxa"/>
            <w:tcBorders>
              <w:top w:val="nil"/>
              <w:left w:val="nil"/>
              <w:bottom w:val="nil"/>
              <w:right w:val="nil"/>
            </w:tcBorders>
            <w:vAlign w:val="bottom"/>
          </w:tcPr>
          <w:p w:rsidR="007D25CB" w:rsidRPr="00F548AE" w:rsidRDefault="007D25CB" w:rsidP="00E44F7F">
            <w:pPr>
              <w:rPr>
                <w:rFonts w:cs="Times New Roman"/>
                <w:color w:val="000000"/>
              </w:rPr>
            </w:pPr>
            <w:r w:rsidRPr="00F548AE">
              <w:rPr>
                <w:rFonts w:cs="Times New Roman"/>
                <w:color w:val="000000"/>
              </w:rPr>
              <w:t>C-2010-2193057</w:t>
            </w:r>
          </w:p>
        </w:tc>
      </w:tr>
      <w:tr w:rsidR="007D25CB" w:rsidRPr="00F548AE" w:rsidTr="00932158">
        <w:tc>
          <w:tcPr>
            <w:tcW w:w="4788" w:type="dxa"/>
            <w:tcBorders>
              <w:top w:val="nil"/>
              <w:left w:val="nil"/>
              <w:bottom w:val="nil"/>
              <w:right w:val="nil"/>
            </w:tcBorders>
            <w:vAlign w:val="bottom"/>
          </w:tcPr>
          <w:p w:rsidR="007D25CB" w:rsidRPr="00F548AE" w:rsidRDefault="007D25CB" w:rsidP="00E44F7F">
            <w:pPr>
              <w:ind w:firstLine="0"/>
              <w:rPr>
                <w:rFonts w:cs="Times New Roman"/>
                <w:color w:val="000000"/>
              </w:rPr>
            </w:pPr>
            <w:r w:rsidRPr="00F548AE">
              <w:rPr>
                <w:rFonts w:cs="Times New Roman"/>
                <w:color w:val="000000"/>
              </w:rPr>
              <w:t>Jeff and Cristina</w:t>
            </w:r>
            <w:r w:rsidR="00220CA6">
              <w:rPr>
                <w:rFonts w:cs="Times New Roman"/>
                <w:color w:val="000000"/>
              </w:rPr>
              <w:t xml:space="preserve"> </w:t>
            </w:r>
            <w:r w:rsidRPr="00F548AE">
              <w:rPr>
                <w:rFonts w:cs="Times New Roman"/>
                <w:color w:val="000000"/>
              </w:rPr>
              <w:t>Fischer</w:t>
            </w:r>
          </w:p>
        </w:tc>
        <w:tc>
          <w:tcPr>
            <w:tcW w:w="4788" w:type="dxa"/>
            <w:tcBorders>
              <w:top w:val="nil"/>
              <w:left w:val="nil"/>
              <w:bottom w:val="nil"/>
              <w:right w:val="nil"/>
            </w:tcBorders>
            <w:vAlign w:val="bottom"/>
          </w:tcPr>
          <w:p w:rsidR="007D25CB" w:rsidRPr="00F548AE" w:rsidRDefault="007D25CB" w:rsidP="00E44F7F">
            <w:pPr>
              <w:rPr>
                <w:rFonts w:cs="Times New Roman"/>
                <w:color w:val="000000"/>
              </w:rPr>
            </w:pPr>
            <w:r w:rsidRPr="00F548AE">
              <w:rPr>
                <w:rFonts w:cs="Times New Roman"/>
                <w:color w:val="000000"/>
              </w:rPr>
              <w:t>C-2010-2196830</w:t>
            </w:r>
          </w:p>
        </w:tc>
      </w:tr>
      <w:tr w:rsidR="007D25CB" w:rsidRPr="00F548AE" w:rsidTr="00932158">
        <w:tc>
          <w:tcPr>
            <w:tcW w:w="4788" w:type="dxa"/>
            <w:tcBorders>
              <w:top w:val="nil"/>
              <w:left w:val="nil"/>
              <w:bottom w:val="nil"/>
              <w:right w:val="nil"/>
            </w:tcBorders>
            <w:vAlign w:val="bottom"/>
          </w:tcPr>
          <w:p w:rsidR="007D25CB" w:rsidRPr="00F548AE" w:rsidRDefault="007D25CB" w:rsidP="00E44F7F">
            <w:pPr>
              <w:ind w:firstLine="0"/>
              <w:rPr>
                <w:rFonts w:cs="Times New Roman"/>
                <w:color w:val="000000"/>
              </w:rPr>
            </w:pPr>
            <w:r w:rsidRPr="00F548AE">
              <w:rPr>
                <w:rFonts w:cs="Times New Roman"/>
                <w:color w:val="000000"/>
              </w:rPr>
              <w:t xml:space="preserve">Ronald </w:t>
            </w:r>
            <w:proofErr w:type="spellStart"/>
            <w:r w:rsidRPr="00F548AE">
              <w:rPr>
                <w:rFonts w:cs="Times New Roman"/>
                <w:color w:val="000000"/>
              </w:rPr>
              <w:t>Fonner</w:t>
            </w:r>
            <w:proofErr w:type="spellEnd"/>
          </w:p>
        </w:tc>
        <w:tc>
          <w:tcPr>
            <w:tcW w:w="4788" w:type="dxa"/>
            <w:tcBorders>
              <w:top w:val="nil"/>
              <w:left w:val="nil"/>
              <w:bottom w:val="nil"/>
              <w:right w:val="nil"/>
            </w:tcBorders>
            <w:vAlign w:val="bottom"/>
          </w:tcPr>
          <w:p w:rsidR="007D25CB" w:rsidRPr="00F548AE" w:rsidRDefault="007D25CB" w:rsidP="00E44F7F">
            <w:pPr>
              <w:rPr>
                <w:rFonts w:cs="Times New Roman"/>
                <w:color w:val="000000"/>
              </w:rPr>
            </w:pPr>
            <w:r w:rsidRPr="00F548AE">
              <w:rPr>
                <w:rFonts w:cs="Times New Roman"/>
                <w:color w:val="000000"/>
              </w:rPr>
              <w:t>C-2010-2199959</w:t>
            </w:r>
          </w:p>
        </w:tc>
      </w:tr>
      <w:tr w:rsidR="007D25CB" w:rsidRPr="00F548AE" w:rsidTr="00932158">
        <w:tc>
          <w:tcPr>
            <w:tcW w:w="4788" w:type="dxa"/>
            <w:tcBorders>
              <w:top w:val="nil"/>
              <w:left w:val="nil"/>
              <w:bottom w:val="nil"/>
              <w:right w:val="nil"/>
            </w:tcBorders>
            <w:vAlign w:val="bottom"/>
          </w:tcPr>
          <w:p w:rsidR="007D25CB" w:rsidRPr="00F548AE" w:rsidRDefault="007D25CB" w:rsidP="00E44F7F">
            <w:pPr>
              <w:ind w:firstLine="0"/>
              <w:rPr>
                <w:rFonts w:cs="Times New Roman"/>
                <w:color w:val="000000"/>
              </w:rPr>
            </w:pPr>
            <w:r w:rsidRPr="00F548AE">
              <w:rPr>
                <w:rFonts w:cs="Times New Roman"/>
                <w:color w:val="000000"/>
              </w:rPr>
              <w:t xml:space="preserve">Eric </w:t>
            </w:r>
            <w:proofErr w:type="spellStart"/>
            <w:r w:rsidRPr="00F548AE">
              <w:rPr>
                <w:rFonts w:cs="Times New Roman"/>
                <w:color w:val="000000"/>
              </w:rPr>
              <w:t>Gaber</w:t>
            </w:r>
            <w:proofErr w:type="spellEnd"/>
          </w:p>
        </w:tc>
        <w:tc>
          <w:tcPr>
            <w:tcW w:w="4788" w:type="dxa"/>
            <w:tcBorders>
              <w:top w:val="nil"/>
              <w:left w:val="nil"/>
              <w:bottom w:val="nil"/>
              <w:right w:val="nil"/>
            </w:tcBorders>
            <w:vAlign w:val="bottom"/>
          </w:tcPr>
          <w:p w:rsidR="007D25CB" w:rsidRPr="00F548AE" w:rsidRDefault="007D25CB" w:rsidP="00E44F7F">
            <w:pPr>
              <w:rPr>
                <w:rFonts w:cs="Times New Roman"/>
                <w:color w:val="000000"/>
              </w:rPr>
            </w:pPr>
            <w:r w:rsidRPr="00F548AE">
              <w:rPr>
                <w:rFonts w:cs="Times New Roman"/>
                <w:color w:val="000000"/>
              </w:rPr>
              <w:t>C-2010-2199313</w:t>
            </w:r>
          </w:p>
        </w:tc>
      </w:tr>
      <w:tr w:rsidR="007D25CB" w:rsidRPr="00F548AE" w:rsidTr="00932158">
        <w:tc>
          <w:tcPr>
            <w:tcW w:w="4788" w:type="dxa"/>
            <w:tcBorders>
              <w:top w:val="nil"/>
              <w:left w:val="nil"/>
              <w:bottom w:val="nil"/>
              <w:right w:val="nil"/>
            </w:tcBorders>
            <w:vAlign w:val="bottom"/>
          </w:tcPr>
          <w:p w:rsidR="007D25CB" w:rsidRPr="00F548AE" w:rsidRDefault="007D25CB" w:rsidP="00E44F7F">
            <w:pPr>
              <w:ind w:firstLine="0"/>
              <w:rPr>
                <w:rFonts w:cs="Times New Roman"/>
                <w:color w:val="000000"/>
              </w:rPr>
            </w:pPr>
            <w:r w:rsidRPr="00F548AE">
              <w:rPr>
                <w:rFonts w:cs="Times New Roman"/>
                <w:color w:val="000000"/>
              </w:rPr>
              <w:t>John Green, Jr.</w:t>
            </w:r>
          </w:p>
        </w:tc>
        <w:tc>
          <w:tcPr>
            <w:tcW w:w="4788" w:type="dxa"/>
            <w:tcBorders>
              <w:top w:val="nil"/>
              <w:left w:val="nil"/>
              <w:bottom w:val="nil"/>
              <w:right w:val="nil"/>
            </w:tcBorders>
            <w:vAlign w:val="bottom"/>
          </w:tcPr>
          <w:p w:rsidR="007D25CB" w:rsidRPr="00F548AE" w:rsidRDefault="007D25CB" w:rsidP="00E44F7F">
            <w:pPr>
              <w:rPr>
                <w:rFonts w:cs="Times New Roman"/>
                <w:color w:val="000000"/>
              </w:rPr>
            </w:pPr>
            <w:r w:rsidRPr="00F548AE">
              <w:rPr>
                <w:rFonts w:cs="Times New Roman"/>
                <w:color w:val="000000"/>
              </w:rPr>
              <w:t>C-2010-2200585</w:t>
            </w:r>
          </w:p>
        </w:tc>
      </w:tr>
      <w:tr w:rsidR="00025D39" w:rsidRPr="00F548AE" w:rsidTr="00932158">
        <w:tc>
          <w:tcPr>
            <w:tcW w:w="4788" w:type="dxa"/>
            <w:tcBorders>
              <w:top w:val="nil"/>
              <w:left w:val="nil"/>
              <w:bottom w:val="nil"/>
              <w:right w:val="nil"/>
            </w:tcBorders>
            <w:vAlign w:val="bottom"/>
          </w:tcPr>
          <w:p w:rsidR="00025D39" w:rsidRPr="00F548AE" w:rsidRDefault="00025D39" w:rsidP="00E44F7F">
            <w:pPr>
              <w:ind w:firstLine="0"/>
              <w:rPr>
                <w:rFonts w:cs="Times New Roman"/>
                <w:color w:val="000000"/>
              </w:rPr>
            </w:pPr>
            <w:r w:rsidRPr="00F548AE">
              <w:rPr>
                <w:rFonts w:cs="Times New Roman"/>
                <w:color w:val="000000"/>
              </w:rPr>
              <w:t>Owen Kirby</w:t>
            </w:r>
          </w:p>
        </w:tc>
        <w:tc>
          <w:tcPr>
            <w:tcW w:w="4788" w:type="dxa"/>
            <w:tcBorders>
              <w:top w:val="nil"/>
              <w:left w:val="nil"/>
              <w:bottom w:val="nil"/>
              <w:right w:val="nil"/>
            </w:tcBorders>
            <w:vAlign w:val="bottom"/>
          </w:tcPr>
          <w:p w:rsidR="00025D39" w:rsidRPr="00F548AE" w:rsidRDefault="00025D39" w:rsidP="00E44F7F">
            <w:pPr>
              <w:rPr>
                <w:rFonts w:cs="Times New Roman"/>
                <w:color w:val="000000"/>
              </w:rPr>
            </w:pPr>
            <w:r w:rsidRPr="00F548AE">
              <w:rPr>
                <w:rFonts w:cs="Times New Roman"/>
                <w:color w:val="000000"/>
              </w:rPr>
              <w:t>C-2010-2200347</w:t>
            </w:r>
          </w:p>
        </w:tc>
      </w:tr>
      <w:tr w:rsidR="00025D39" w:rsidRPr="00F548AE" w:rsidTr="00932158">
        <w:tc>
          <w:tcPr>
            <w:tcW w:w="4788" w:type="dxa"/>
            <w:tcBorders>
              <w:top w:val="nil"/>
              <w:left w:val="nil"/>
              <w:bottom w:val="nil"/>
              <w:right w:val="nil"/>
            </w:tcBorders>
            <w:vAlign w:val="bottom"/>
          </w:tcPr>
          <w:p w:rsidR="00025D39" w:rsidRPr="00F548AE" w:rsidRDefault="00025D39" w:rsidP="00E44F7F">
            <w:pPr>
              <w:ind w:firstLine="0"/>
              <w:rPr>
                <w:rFonts w:cs="Times New Roman"/>
                <w:color w:val="000000"/>
              </w:rPr>
            </w:pPr>
            <w:r w:rsidRPr="00F548AE">
              <w:rPr>
                <w:rFonts w:cs="Times New Roman"/>
                <w:color w:val="000000"/>
              </w:rPr>
              <w:t xml:space="preserve">Charles </w:t>
            </w:r>
            <w:proofErr w:type="spellStart"/>
            <w:r w:rsidRPr="00F548AE">
              <w:rPr>
                <w:rFonts w:cs="Times New Roman"/>
                <w:color w:val="000000"/>
              </w:rPr>
              <w:t>Krouse</w:t>
            </w:r>
            <w:proofErr w:type="spellEnd"/>
          </w:p>
        </w:tc>
        <w:tc>
          <w:tcPr>
            <w:tcW w:w="4788" w:type="dxa"/>
            <w:tcBorders>
              <w:top w:val="nil"/>
              <w:left w:val="nil"/>
              <w:bottom w:val="nil"/>
              <w:right w:val="nil"/>
            </w:tcBorders>
            <w:vAlign w:val="bottom"/>
          </w:tcPr>
          <w:p w:rsidR="00025D39" w:rsidRPr="00F548AE" w:rsidRDefault="00025D39" w:rsidP="00E44F7F">
            <w:pPr>
              <w:rPr>
                <w:rFonts w:cs="Times New Roman"/>
                <w:color w:val="000000"/>
              </w:rPr>
            </w:pPr>
            <w:r w:rsidRPr="00F548AE">
              <w:rPr>
                <w:rFonts w:cs="Times New Roman"/>
                <w:color w:val="000000"/>
              </w:rPr>
              <w:t>C-2010-2197746</w:t>
            </w:r>
          </w:p>
        </w:tc>
      </w:tr>
      <w:tr w:rsidR="00025D39" w:rsidRPr="00F548AE" w:rsidTr="00932158">
        <w:tc>
          <w:tcPr>
            <w:tcW w:w="4788" w:type="dxa"/>
            <w:tcBorders>
              <w:top w:val="nil"/>
              <w:left w:val="nil"/>
              <w:bottom w:val="nil"/>
              <w:right w:val="nil"/>
            </w:tcBorders>
            <w:vAlign w:val="bottom"/>
          </w:tcPr>
          <w:p w:rsidR="00025D39" w:rsidRPr="00F548AE" w:rsidRDefault="00025D39" w:rsidP="00E44F7F">
            <w:pPr>
              <w:ind w:firstLine="0"/>
              <w:rPr>
                <w:rFonts w:cs="Times New Roman"/>
                <w:color w:val="000000"/>
              </w:rPr>
            </w:pPr>
            <w:r w:rsidRPr="00F548AE">
              <w:rPr>
                <w:rFonts w:cs="Times New Roman"/>
                <w:color w:val="000000"/>
              </w:rPr>
              <w:t xml:space="preserve">Marti </w:t>
            </w:r>
            <w:proofErr w:type="spellStart"/>
            <w:r w:rsidRPr="00F548AE">
              <w:rPr>
                <w:rFonts w:cs="Times New Roman"/>
                <w:color w:val="000000"/>
              </w:rPr>
              <w:t>Laudato</w:t>
            </w:r>
            <w:proofErr w:type="spellEnd"/>
          </w:p>
        </w:tc>
        <w:tc>
          <w:tcPr>
            <w:tcW w:w="4788" w:type="dxa"/>
            <w:tcBorders>
              <w:top w:val="nil"/>
              <w:left w:val="nil"/>
              <w:bottom w:val="nil"/>
              <w:right w:val="nil"/>
            </w:tcBorders>
            <w:vAlign w:val="bottom"/>
          </w:tcPr>
          <w:p w:rsidR="00025D39" w:rsidRPr="00F548AE" w:rsidRDefault="00025D39" w:rsidP="00E44F7F">
            <w:pPr>
              <w:rPr>
                <w:rFonts w:cs="Times New Roman"/>
                <w:color w:val="000000"/>
              </w:rPr>
            </w:pPr>
            <w:r w:rsidRPr="00F548AE">
              <w:rPr>
                <w:rFonts w:cs="Times New Roman"/>
                <w:color w:val="000000"/>
              </w:rPr>
              <w:t>C-2010-2204214</w:t>
            </w:r>
          </w:p>
        </w:tc>
      </w:tr>
      <w:tr w:rsidR="00025D39" w:rsidRPr="00F548AE" w:rsidTr="00932158">
        <w:tc>
          <w:tcPr>
            <w:tcW w:w="4788" w:type="dxa"/>
            <w:tcBorders>
              <w:top w:val="nil"/>
              <w:left w:val="nil"/>
              <w:bottom w:val="nil"/>
              <w:right w:val="nil"/>
            </w:tcBorders>
            <w:vAlign w:val="bottom"/>
          </w:tcPr>
          <w:p w:rsidR="00025D39" w:rsidRPr="00F548AE" w:rsidRDefault="00025D39" w:rsidP="00E44F7F">
            <w:pPr>
              <w:ind w:firstLine="0"/>
              <w:rPr>
                <w:rFonts w:cs="Times New Roman"/>
                <w:color w:val="000000"/>
              </w:rPr>
            </w:pPr>
            <w:r w:rsidRPr="00F548AE">
              <w:rPr>
                <w:rFonts w:cs="Times New Roman"/>
                <w:color w:val="000000"/>
              </w:rPr>
              <w:t>Linda Lynn</w:t>
            </w:r>
          </w:p>
        </w:tc>
        <w:tc>
          <w:tcPr>
            <w:tcW w:w="4788" w:type="dxa"/>
            <w:tcBorders>
              <w:top w:val="nil"/>
              <w:left w:val="nil"/>
              <w:bottom w:val="nil"/>
              <w:right w:val="nil"/>
            </w:tcBorders>
            <w:vAlign w:val="bottom"/>
          </w:tcPr>
          <w:p w:rsidR="00025D39" w:rsidRPr="00F548AE" w:rsidRDefault="00025D39" w:rsidP="00E44F7F">
            <w:pPr>
              <w:rPr>
                <w:rFonts w:cs="Times New Roman"/>
                <w:color w:val="000000"/>
              </w:rPr>
            </w:pPr>
            <w:r w:rsidRPr="00F548AE">
              <w:rPr>
                <w:rFonts w:cs="Times New Roman"/>
                <w:color w:val="000000"/>
              </w:rPr>
              <w:t>C-2010-2200761</w:t>
            </w:r>
          </w:p>
        </w:tc>
      </w:tr>
      <w:tr w:rsidR="00025D39" w:rsidRPr="00F548AE" w:rsidTr="00932158">
        <w:tc>
          <w:tcPr>
            <w:tcW w:w="4788" w:type="dxa"/>
            <w:tcBorders>
              <w:top w:val="nil"/>
              <w:left w:val="nil"/>
              <w:bottom w:val="nil"/>
              <w:right w:val="nil"/>
            </w:tcBorders>
            <w:vAlign w:val="bottom"/>
          </w:tcPr>
          <w:p w:rsidR="00025D39" w:rsidRPr="00F548AE" w:rsidRDefault="00025D39" w:rsidP="00E44F7F">
            <w:pPr>
              <w:ind w:firstLine="0"/>
              <w:rPr>
                <w:rFonts w:cs="Times New Roman"/>
                <w:color w:val="000000"/>
              </w:rPr>
            </w:pPr>
            <w:r w:rsidRPr="00F548AE">
              <w:rPr>
                <w:rFonts w:cs="Times New Roman"/>
                <w:color w:val="000000"/>
              </w:rPr>
              <w:t xml:space="preserve">Donald </w:t>
            </w:r>
            <w:proofErr w:type="spellStart"/>
            <w:r w:rsidRPr="00F548AE">
              <w:rPr>
                <w:rFonts w:cs="Times New Roman"/>
                <w:color w:val="000000"/>
              </w:rPr>
              <w:t>Mizner</w:t>
            </w:r>
            <w:proofErr w:type="spellEnd"/>
          </w:p>
        </w:tc>
        <w:tc>
          <w:tcPr>
            <w:tcW w:w="4788" w:type="dxa"/>
            <w:tcBorders>
              <w:top w:val="nil"/>
              <w:left w:val="nil"/>
              <w:bottom w:val="nil"/>
              <w:right w:val="nil"/>
            </w:tcBorders>
            <w:vAlign w:val="bottom"/>
          </w:tcPr>
          <w:p w:rsidR="00025D39" w:rsidRPr="00F548AE" w:rsidRDefault="00025D39" w:rsidP="00E44F7F">
            <w:pPr>
              <w:rPr>
                <w:rFonts w:cs="Times New Roman"/>
                <w:color w:val="000000"/>
              </w:rPr>
            </w:pPr>
            <w:r w:rsidRPr="00F548AE">
              <w:rPr>
                <w:rFonts w:cs="Times New Roman"/>
                <w:color w:val="000000"/>
              </w:rPr>
              <w:t>C-2010-2199271</w:t>
            </w:r>
          </w:p>
        </w:tc>
      </w:tr>
      <w:tr w:rsidR="00025D39" w:rsidRPr="00F548AE" w:rsidTr="00932158">
        <w:tc>
          <w:tcPr>
            <w:tcW w:w="4788" w:type="dxa"/>
            <w:tcBorders>
              <w:top w:val="nil"/>
              <w:left w:val="nil"/>
              <w:bottom w:val="nil"/>
              <w:right w:val="nil"/>
            </w:tcBorders>
            <w:vAlign w:val="bottom"/>
          </w:tcPr>
          <w:p w:rsidR="00025D39" w:rsidRPr="00F548AE" w:rsidRDefault="00025D39" w:rsidP="00E44F7F">
            <w:pPr>
              <w:ind w:firstLine="0"/>
              <w:rPr>
                <w:rFonts w:cs="Times New Roman"/>
                <w:color w:val="000000"/>
              </w:rPr>
            </w:pPr>
            <w:r w:rsidRPr="00F548AE">
              <w:rPr>
                <w:rFonts w:cs="Times New Roman"/>
                <w:color w:val="000000"/>
              </w:rPr>
              <w:t>Donald Moore</w:t>
            </w:r>
          </w:p>
        </w:tc>
        <w:tc>
          <w:tcPr>
            <w:tcW w:w="4788" w:type="dxa"/>
            <w:tcBorders>
              <w:top w:val="nil"/>
              <w:left w:val="nil"/>
              <w:bottom w:val="nil"/>
              <w:right w:val="nil"/>
            </w:tcBorders>
            <w:vAlign w:val="bottom"/>
          </w:tcPr>
          <w:p w:rsidR="00025D39" w:rsidRPr="00F548AE" w:rsidRDefault="00025D39" w:rsidP="00E44F7F">
            <w:pPr>
              <w:rPr>
                <w:rFonts w:cs="Times New Roman"/>
                <w:color w:val="000000"/>
              </w:rPr>
            </w:pPr>
            <w:r w:rsidRPr="00F548AE">
              <w:rPr>
                <w:rFonts w:cs="Times New Roman"/>
                <w:color w:val="000000"/>
              </w:rPr>
              <w:t>C-2010-2199961</w:t>
            </w:r>
          </w:p>
        </w:tc>
      </w:tr>
      <w:tr w:rsidR="00025D39" w:rsidRPr="00F548AE" w:rsidTr="00932158">
        <w:tc>
          <w:tcPr>
            <w:tcW w:w="4788" w:type="dxa"/>
            <w:tcBorders>
              <w:top w:val="nil"/>
              <w:left w:val="nil"/>
              <w:bottom w:val="nil"/>
              <w:right w:val="nil"/>
            </w:tcBorders>
            <w:vAlign w:val="bottom"/>
          </w:tcPr>
          <w:p w:rsidR="00025D39" w:rsidRPr="00F548AE" w:rsidRDefault="00025D39" w:rsidP="00E44F7F">
            <w:pPr>
              <w:ind w:firstLine="0"/>
              <w:rPr>
                <w:rFonts w:cs="Times New Roman"/>
                <w:color w:val="000000"/>
              </w:rPr>
            </w:pPr>
            <w:r w:rsidRPr="00F548AE">
              <w:rPr>
                <w:rFonts w:cs="Times New Roman"/>
                <w:color w:val="000000"/>
              </w:rPr>
              <w:t>Gary and Sandra Neiman</w:t>
            </w:r>
          </w:p>
        </w:tc>
        <w:tc>
          <w:tcPr>
            <w:tcW w:w="4788" w:type="dxa"/>
            <w:tcBorders>
              <w:top w:val="nil"/>
              <w:left w:val="nil"/>
              <w:bottom w:val="nil"/>
              <w:right w:val="nil"/>
            </w:tcBorders>
            <w:vAlign w:val="bottom"/>
          </w:tcPr>
          <w:p w:rsidR="00025D39" w:rsidRPr="00F548AE" w:rsidRDefault="00025D39" w:rsidP="00E44F7F">
            <w:pPr>
              <w:rPr>
                <w:rFonts w:cs="Times New Roman"/>
                <w:color w:val="000000"/>
              </w:rPr>
            </w:pPr>
            <w:r w:rsidRPr="00F548AE">
              <w:rPr>
                <w:rFonts w:cs="Times New Roman"/>
                <w:color w:val="000000"/>
              </w:rPr>
              <w:t>C-2010-2200536</w:t>
            </w:r>
          </w:p>
        </w:tc>
      </w:tr>
      <w:tr w:rsidR="00025D39" w:rsidRPr="00F548AE" w:rsidTr="00932158">
        <w:tc>
          <w:tcPr>
            <w:tcW w:w="4788" w:type="dxa"/>
            <w:tcBorders>
              <w:top w:val="nil"/>
              <w:left w:val="nil"/>
              <w:bottom w:val="nil"/>
              <w:right w:val="nil"/>
            </w:tcBorders>
            <w:vAlign w:val="bottom"/>
          </w:tcPr>
          <w:p w:rsidR="00025D39" w:rsidRPr="00F548AE" w:rsidRDefault="00025D39" w:rsidP="00E44F7F">
            <w:pPr>
              <w:ind w:firstLine="0"/>
              <w:rPr>
                <w:rFonts w:cs="Times New Roman"/>
                <w:color w:val="000000"/>
              </w:rPr>
            </w:pPr>
            <w:r w:rsidRPr="00F548AE">
              <w:rPr>
                <w:rFonts w:cs="Times New Roman"/>
                <w:color w:val="000000"/>
              </w:rPr>
              <w:t>Gilbert Piazza</w:t>
            </w:r>
          </w:p>
        </w:tc>
        <w:tc>
          <w:tcPr>
            <w:tcW w:w="4788" w:type="dxa"/>
            <w:tcBorders>
              <w:top w:val="nil"/>
              <w:left w:val="nil"/>
              <w:bottom w:val="nil"/>
              <w:right w:val="nil"/>
            </w:tcBorders>
            <w:vAlign w:val="bottom"/>
          </w:tcPr>
          <w:p w:rsidR="00025D39" w:rsidRPr="00F548AE" w:rsidRDefault="00025D39" w:rsidP="00E44F7F">
            <w:pPr>
              <w:rPr>
                <w:rFonts w:cs="Times New Roman"/>
                <w:color w:val="000000"/>
              </w:rPr>
            </w:pPr>
            <w:r w:rsidRPr="00F548AE">
              <w:rPr>
                <w:rFonts w:cs="Times New Roman"/>
                <w:color w:val="000000"/>
              </w:rPr>
              <w:t>C-2010-2198194</w:t>
            </w:r>
          </w:p>
        </w:tc>
      </w:tr>
      <w:tr w:rsidR="00025D39" w:rsidRPr="00F548AE" w:rsidTr="00932158">
        <w:tc>
          <w:tcPr>
            <w:tcW w:w="4788" w:type="dxa"/>
            <w:tcBorders>
              <w:top w:val="nil"/>
              <w:left w:val="nil"/>
              <w:bottom w:val="nil"/>
              <w:right w:val="nil"/>
            </w:tcBorders>
            <w:vAlign w:val="bottom"/>
          </w:tcPr>
          <w:p w:rsidR="00025D39" w:rsidRPr="00F548AE" w:rsidRDefault="00025D39" w:rsidP="00E44F7F">
            <w:pPr>
              <w:ind w:firstLine="0"/>
              <w:rPr>
                <w:rFonts w:cs="Times New Roman"/>
                <w:color w:val="000000"/>
              </w:rPr>
            </w:pPr>
            <w:r w:rsidRPr="00F548AE">
              <w:rPr>
                <w:rFonts w:cs="Times New Roman"/>
                <w:color w:val="000000"/>
              </w:rPr>
              <w:t>Gerald and Barbara Ralston</w:t>
            </w:r>
          </w:p>
        </w:tc>
        <w:tc>
          <w:tcPr>
            <w:tcW w:w="4788" w:type="dxa"/>
            <w:tcBorders>
              <w:top w:val="nil"/>
              <w:left w:val="nil"/>
              <w:bottom w:val="nil"/>
              <w:right w:val="nil"/>
            </w:tcBorders>
            <w:vAlign w:val="bottom"/>
          </w:tcPr>
          <w:p w:rsidR="00025D39" w:rsidRPr="00F548AE" w:rsidRDefault="007F05A7" w:rsidP="00E44F7F">
            <w:pPr>
              <w:rPr>
                <w:rFonts w:cs="Times New Roman"/>
                <w:color w:val="000000"/>
              </w:rPr>
            </w:pPr>
            <w:r w:rsidRPr="00F548AE">
              <w:rPr>
                <w:rFonts w:cs="Times New Roman"/>
                <w:color w:val="000000"/>
              </w:rPr>
              <w:t>C-2010-2198807</w:t>
            </w:r>
          </w:p>
        </w:tc>
      </w:tr>
      <w:tr w:rsidR="007F05A7" w:rsidRPr="00F548AE" w:rsidTr="00932158">
        <w:tc>
          <w:tcPr>
            <w:tcW w:w="4788" w:type="dxa"/>
            <w:tcBorders>
              <w:top w:val="nil"/>
              <w:left w:val="nil"/>
              <w:bottom w:val="nil"/>
              <w:right w:val="nil"/>
            </w:tcBorders>
            <w:vAlign w:val="bottom"/>
          </w:tcPr>
          <w:p w:rsidR="007F05A7" w:rsidRPr="00F548AE" w:rsidRDefault="007F05A7" w:rsidP="00E44F7F">
            <w:pPr>
              <w:ind w:firstLine="0"/>
              <w:rPr>
                <w:rFonts w:cs="Times New Roman"/>
                <w:color w:val="000000"/>
              </w:rPr>
            </w:pPr>
            <w:r w:rsidRPr="00F548AE">
              <w:rPr>
                <w:rFonts w:cs="Times New Roman"/>
                <w:color w:val="000000"/>
              </w:rPr>
              <w:t xml:space="preserve">Deborah </w:t>
            </w:r>
            <w:proofErr w:type="spellStart"/>
            <w:r w:rsidRPr="00F548AE">
              <w:rPr>
                <w:rFonts w:cs="Times New Roman"/>
                <w:color w:val="000000"/>
              </w:rPr>
              <w:t>Rhed</w:t>
            </w:r>
            <w:proofErr w:type="spellEnd"/>
          </w:p>
        </w:tc>
        <w:tc>
          <w:tcPr>
            <w:tcW w:w="4788" w:type="dxa"/>
            <w:tcBorders>
              <w:top w:val="nil"/>
              <w:left w:val="nil"/>
              <w:bottom w:val="nil"/>
              <w:right w:val="nil"/>
            </w:tcBorders>
            <w:vAlign w:val="bottom"/>
          </w:tcPr>
          <w:p w:rsidR="007F05A7" w:rsidRPr="00F548AE" w:rsidRDefault="007F05A7" w:rsidP="00E44F7F">
            <w:pPr>
              <w:rPr>
                <w:rFonts w:cs="Times New Roman"/>
                <w:color w:val="000000"/>
              </w:rPr>
            </w:pPr>
            <w:r w:rsidRPr="00F548AE">
              <w:rPr>
                <w:rFonts w:cs="Times New Roman"/>
                <w:color w:val="000000"/>
              </w:rPr>
              <w:t>C-2010-2201849</w:t>
            </w:r>
          </w:p>
        </w:tc>
      </w:tr>
      <w:tr w:rsidR="007F05A7" w:rsidRPr="00F548AE" w:rsidTr="00932158">
        <w:tc>
          <w:tcPr>
            <w:tcW w:w="4788" w:type="dxa"/>
            <w:tcBorders>
              <w:top w:val="nil"/>
              <w:left w:val="nil"/>
              <w:bottom w:val="nil"/>
              <w:right w:val="nil"/>
            </w:tcBorders>
            <w:vAlign w:val="bottom"/>
          </w:tcPr>
          <w:p w:rsidR="007F05A7" w:rsidRPr="00F548AE" w:rsidRDefault="007F05A7" w:rsidP="00E44F7F">
            <w:pPr>
              <w:ind w:firstLine="0"/>
              <w:rPr>
                <w:rFonts w:cs="Times New Roman"/>
                <w:color w:val="000000"/>
              </w:rPr>
            </w:pPr>
            <w:r w:rsidRPr="00F548AE">
              <w:rPr>
                <w:rFonts w:cs="Times New Roman"/>
                <w:color w:val="000000"/>
              </w:rPr>
              <w:t>James and Lisa Rittenhouse</w:t>
            </w:r>
          </w:p>
        </w:tc>
        <w:tc>
          <w:tcPr>
            <w:tcW w:w="4788" w:type="dxa"/>
            <w:tcBorders>
              <w:top w:val="nil"/>
              <w:left w:val="nil"/>
              <w:bottom w:val="nil"/>
              <w:right w:val="nil"/>
            </w:tcBorders>
            <w:vAlign w:val="bottom"/>
          </w:tcPr>
          <w:p w:rsidR="007F05A7" w:rsidRPr="00F548AE" w:rsidRDefault="007F05A7" w:rsidP="00E44F7F">
            <w:pPr>
              <w:rPr>
                <w:rFonts w:cs="Times New Roman"/>
                <w:color w:val="000000"/>
              </w:rPr>
            </w:pPr>
            <w:r w:rsidRPr="00F548AE">
              <w:rPr>
                <w:rFonts w:cs="Times New Roman"/>
                <w:color w:val="000000"/>
              </w:rPr>
              <w:t>C-2010-2204308</w:t>
            </w:r>
          </w:p>
        </w:tc>
      </w:tr>
      <w:tr w:rsidR="007F05A7" w:rsidRPr="00F548AE" w:rsidTr="00932158">
        <w:tc>
          <w:tcPr>
            <w:tcW w:w="4788" w:type="dxa"/>
            <w:tcBorders>
              <w:top w:val="nil"/>
              <w:left w:val="nil"/>
              <w:bottom w:val="nil"/>
              <w:right w:val="nil"/>
            </w:tcBorders>
            <w:vAlign w:val="bottom"/>
          </w:tcPr>
          <w:p w:rsidR="007F05A7" w:rsidRPr="00F548AE" w:rsidRDefault="007F05A7" w:rsidP="00E44F7F">
            <w:pPr>
              <w:ind w:firstLine="0"/>
              <w:rPr>
                <w:rFonts w:cs="Times New Roman"/>
                <w:color w:val="000000"/>
              </w:rPr>
            </w:pPr>
            <w:r w:rsidRPr="00F548AE">
              <w:rPr>
                <w:rFonts w:cs="Times New Roman"/>
                <w:color w:val="000000"/>
              </w:rPr>
              <w:t xml:space="preserve">Shirley </w:t>
            </w:r>
            <w:proofErr w:type="spellStart"/>
            <w:r w:rsidRPr="00F548AE">
              <w:rPr>
                <w:rFonts w:cs="Times New Roman"/>
                <w:color w:val="000000"/>
              </w:rPr>
              <w:t>Ruttinger</w:t>
            </w:r>
            <w:proofErr w:type="spellEnd"/>
          </w:p>
        </w:tc>
        <w:tc>
          <w:tcPr>
            <w:tcW w:w="4788" w:type="dxa"/>
            <w:tcBorders>
              <w:top w:val="nil"/>
              <w:left w:val="nil"/>
              <w:bottom w:val="nil"/>
              <w:right w:val="nil"/>
            </w:tcBorders>
            <w:vAlign w:val="bottom"/>
          </w:tcPr>
          <w:p w:rsidR="007F05A7" w:rsidRPr="00F548AE" w:rsidRDefault="00F548AE" w:rsidP="00E44F7F">
            <w:pPr>
              <w:rPr>
                <w:rFonts w:cs="Times New Roman"/>
                <w:color w:val="000000"/>
              </w:rPr>
            </w:pPr>
            <w:r w:rsidRPr="00F548AE">
              <w:rPr>
                <w:rFonts w:cs="Times New Roman"/>
                <w:color w:val="000000"/>
              </w:rPr>
              <w:t>C-2010-2204103</w:t>
            </w:r>
          </w:p>
        </w:tc>
      </w:tr>
      <w:tr w:rsidR="007F05A7" w:rsidRPr="00F548AE" w:rsidTr="00932158">
        <w:tc>
          <w:tcPr>
            <w:tcW w:w="4788" w:type="dxa"/>
            <w:tcBorders>
              <w:top w:val="nil"/>
              <w:left w:val="nil"/>
              <w:bottom w:val="nil"/>
              <w:right w:val="nil"/>
            </w:tcBorders>
            <w:vAlign w:val="bottom"/>
          </w:tcPr>
          <w:p w:rsidR="007F05A7" w:rsidRPr="00F548AE" w:rsidRDefault="007F05A7" w:rsidP="00E44F7F">
            <w:pPr>
              <w:ind w:firstLine="0"/>
              <w:rPr>
                <w:rFonts w:cs="Times New Roman"/>
                <w:color w:val="000000"/>
              </w:rPr>
            </w:pPr>
            <w:r w:rsidRPr="00F548AE">
              <w:rPr>
                <w:rFonts w:cs="Times New Roman"/>
                <w:color w:val="000000"/>
              </w:rPr>
              <w:t xml:space="preserve">Timothy </w:t>
            </w:r>
            <w:proofErr w:type="spellStart"/>
            <w:r w:rsidRPr="00F548AE">
              <w:rPr>
                <w:rFonts w:cs="Times New Roman"/>
                <w:color w:val="000000"/>
              </w:rPr>
              <w:t>Ruttinger</w:t>
            </w:r>
            <w:proofErr w:type="spellEnd"/>
          </w:p>
        </w:tc>
        <w:tc>
          <w:tcPr>
            <w:tcW w:w="4788" w:type="dxa"/>
            <w:tcBorders>
              <w:top w:val="nil"/>
              <w:left w:val="nil"/>
              <w:bottom w:val="nil"/>
              <w:right w:val="nil"/>
            </w:tcBorders>
            <w:vAlign w:val="bottom"/>
          </w:tcPr>
          <w:p w:rsidR="007F05A7" w:rsidRPr="00F548AE" w:rsidRDefault="007F05A7" w:rsidP="007F05A7">
            <w:pPr>
              <w:rPr>
                <w:rFonts w:cs="Times New Roman"/>
                <w:color w:val="000000"/>
              </w:rPr>
            </w:pPr>
            <w:r w:rsidRPr="00F548AE">
              <w:rPr>
                <w:rFonts w:cs="Times New Roman"/>
                <w:color w:val="000000"/>
              </w:rPr>
              <w:t>C-2010-2204217</w:t>
            </w:r>
          </w:p>
        </w:tc>
      </w:tr>
      <w:tr w:rsidR="00F548AE" w:rsidRPr="00F548AE" w:rsidTr="00932158">
        <w:tc>
          <w:tcPr>
            <w:tcW w:w="4788" w:type="dxa"/>
            <w:tcBorders>
              <w:top w:val="nil"/>
              <w:left w:val="nil"/>
              <w:bottom w:val="nil"/>
              <w:right w:val="nil"/>
            </w:tcBorders>
            <w:vAlign w:val="bottom"/>
          </w:tcPr>
          <w:p w:rsidR="00F548AE" w:rsidRPr="00F548AE" w:rsidRDefault="00F548AE" w:rsidP="00E44F7F">
            <w:pPr>
              <w:ind w:firstLine="0"/>
              <w:rPr>
                <w:rFonts w:cs="Times New Roman"/>
                <w:color w:val="000000"/>
              </w:rPr>
            </w:pPr>
            <w:proofErr w:type="spellStart"/>
            <w:r w:rsidRPr="00F548AE">
              <w:rPr>
                <w:rFonts w:cs="Times New Roman"/>
                <w:color w:val="000000"/>
              </w:rPr>
              <w:lastRenderedPageBreak/>
              <w:t>Wiliam</w:t>
            </w:r>
            <w:proofErr w:type="spellEnd"/>
            <w:r w:rsidRPr="00F548AE">
              <w:rPr>
                <w:rFonts w:cs="Times New Roman"/>
                <w:color w:val="000000"/>
              </w:rPr>
              <w:t xml:space="preserve"> </w:t>
            </w:r>
            <w:proofErr w:type="spellStart"/>
            <w:r w:rsidRPr="00F548AE">
              <w:rPr>
                <w:rFonts w:cs="Times New Roman"/>
                <w:color w:val="000000"/>
              </w:rPr>
              <w:t>Shugarts</w:t>
            </w:r>
            <w:proofErr w:type="spellEnd"/>
          </w:p>
        </w:tc>
        <w:tc>
          <w:tcPr>
            <w:tcW w:w="4788" w:type="dxa"/>
            <w:tcBorders>
              <w:top w:val="nil"/>
              <w:left w:val="nil"/>
              <w:bottom w:val="nil"/>
              <w:right w:val="nil"/>
            </w:tcBorders>
            <w:vAlign w:val="bottom"/>
          </w:tcPr>
          <w:p w:rsidR="00F548AE" w:rsidRPr="00F548AE" w:rsidRDefault="00F548AE" w:rsidP="00E44F7F">
            <w:pPr>
              <w:rPr>
                <w:rFonts w:cs="Times New Roman"/>
                <w:color w:val="000000"/>
              </w:rPr>
            </w:pPr>
            <w:r w:rsidRPr="00F548AE">
              <w:rPr>
                <w:rFonts w:cs="Times New Roman"/>
                <w:color w:val="000000"/>
              </w:rPr>
              <w:t>C-2010-2204218</w:t>
            </w:r>
          </w:p>
        </w:tc>
      </w:tr>
      <w:tr w:rsidR="007F05A7" w:rsidRPr="00F548AE" w:rsidTr="00932158">
        <w:tc>
          <w:tcPr>
            <w:tcW w:w="4788" w:type="dxa"/>
            <w:tcBorders>
              <w:top w:val="nil"/>
              <w:left w:val="nil"/>
              <w:bottom w:val="nil"/>
              <w:right w:val="nil"/>
            </w:tcBorders>
            <w:vAlign w:val="bottom"/>
          </w:tcPr>
          <w:p w:rsidR="007F05A7" w:rsidRPr="00F548AE" w:rsidRDefault="007F05A7" w:rsidP="00E44F7F">
            <w:pPr>
              <w:ind w:firstLine="0"/>
              <w:rPr>
                <w:rFonts w:cs="Times New Roman"/>
                <w:color w:val="000000"/>
              </w:rPr>
            </w:pPr>
            <w:r w:rsidRPr="00F548AE">
              <w:rPr>
                <w:rFonts w:cs="Times New Roman"/>
                <w:color w:val="000000"/>
              </w:rPr>
              <w:t>Gary L. Smith</w:t>
            </w:r>
          </w:p>
        </w:tc>
        <w:tc>
          <w:tcPr>
            <w:tcW w:w="4788" w:type="dxa"/>
            <w:tcBorders>
              <w:top w:val="nil"/>
              <w:left w:val="nil"/>
              <w:bottom w:val="nil"/>
              <w:right w:val="nil"/>
            </w:tcBorders>
            <w:vAlign w:val="bottom"/>
          </w:tcPr>
          <w:p w:rsidR="007F05A7" w:rsidRPr="00F548AE" w:rsidRDefault="00F548AE" w:rsidP="00E44F7F">
            <w:pPr>
              <w:rPr>
                <w:rFonts w:cs="Times New Roman"/>
                <w:color w:val="000000"/>
              </w:rPr>
            </w:pPr>
            <w:r w:rsidRPr="00F548AE">
              <w:rPr>
                <w:rFonts w:cs="Times New Roman"/>
                <w:color w:val="000000"/>
              </w:rPr>
              <w:t>C-2010-2204288</w:t>
            </w:r>
          </w:p>
        </w:tc>
      </w:tr>
      <w:tr w:rsidR="00F548AE" w:rsidRPr="00F548AE" w:rsidTr="00932158">
        <w:tc>
          <w:tcPr>
            <w:tcW w:w="4788" w:type="dxa"/>
            <w:tcBorders>
              <w:top w:val="nil"/>
              <w:left w:val="nil"/>
              <w:bottom w:val="nil"/>
              <w:right w:val="nil"/>
            </w:tcBorders>
            <w:vAlign w:val="bottom"/>
          </w:tcPr>
          <w:p w:rsidR="00F548AE" w:rsidRPr="00F548AE" w:rsidRDefault="00F548AE" w:rsidP="00E44F7F">
            <w:pPr>
              <w:ind w:firstLine="0"/>
              <w:rPr>
                <w:rFonts w:cs="Times New Roman"/>
                <w:color w:val="000000"/>
              </w:rPr>
            </w:pPr>
            <w:r w:rsidRPr="00F548AE">
              <w:rPr>
                <w:rFonts w:cs="Times New Roman"/>
                <w:color w:val="000000"/>
              </w:rPr>
              <w:t>Treasure Lake Property Owners</w:t>
            </w:r>
          </w:p>
        </w:tc>
        <w:tc>
          <w:tcPr>
            <w:tcW w:w="4788" w:type="dxa"/>
            <w:tcBorders>
              <w:top w:val="nil"/>
              <w:left w:val="nil"/>
              <w:bottom w:val="nil"/>
              <w:right w:val="nil"/>
            </w:tcBorders>
            <w:vAlign w:val="bottom"/>
          </w:tcPr>
          <w:p w:rsidR="00F548AE" w:rsidRPr="00F548AE" w:rsidRDefault="00F548AE" w:rsidP="00E44F7F">
            <w:pPr>
              <w:rPr>
                <w:rFonts w:cs="Times New Roman"/>
                <w:color w:val="000000"/>
              </w:rPr>
            </w:pPr>
            <w:r w:rsidRPr="00F548AE">
              <w:rPr>
                <w:rFonts w:cs="Times New Roman"/>
                <w:color w:val="000000"/>
              </w:rPr>
              <w:t>C-2010-2198616</w:t>
            </w:r>
          </w:p>
        </w:tc>
      </w:tr>
      <w:tr w:rsidR="00F548AE" w:rsidRPr="00F548AE" w:rsidTr="00932158">
        <w:tc>
          <w:tcPr>
            <w:tcW w:w="4788" w:type="dxa"/>
            <w:tcBorders>
              <w:top w:val="nil"/>
              <w:left w:val="nil"/>
              <w:bottom w:val="nil"/>
              <w:right w:val="nil"/>
            </w:tcBorders>
            <w:vAlign w:val="bottom"/>
          </w:tcPr>
          <w:p w:rsidR="00F548AE" w:rsidRPr="00F548AE" w:rsidRDefault="00F548AE" w:rsidP="00E44F7F">
            <w:pPr>
              <w:ind w:firstLine="0"/>
              <w:rPr>
                <w:rFonts w:cs="Times New Roman"/>
                <w:color w:val="000000"/>
              </w:rPr>
            </w:pPr>
            <w:r w:rsidRPr="00F548AE">
              <w:rPr>
                <w:rFonts w:cs="Times New Roman"/>
                <w:color w:val="000000"/>
              </w:rPr>
              <w:t xml:space="preserve">Steve </w:t>
            </w:r>
            <w:proofErr w:type="spellStart"/>
            <w:r w:rsidRPr="00F548AE">
              <w:rPr>
                <w:rFonts w:cs="Times New Roman"/>
                <w:color w:val="000000"/>
              </w:rPr>
              <w:t>Tuller</w:t>
            </w:r>
            <w:proofErr w:type="spellEnd"/>
          </w:p>
        </w:tc>
        <w:tc>
          <w:tcPr>
            <w:tcW w:w="4788" w:type="dxa"/>
            <w:tcBorders>
              <w:top w:val="nil"/>
              <w:left w:val="nil"/>
              <w:bottom w:val="nil"/>
              <w:right w:val="nil"/>
            </w:tcBorders>
            <w:vAlign w:val="bottom"/>
          </w:tcPr>
          <w:p w:rsidR="00F548AE" w:rsidRPr="00F548AE" w:rsidRDefault="00F548AE" w:rsidP="00E44F7F">
            <w:pPr>
              <w:rPr>
                <w:rFonts w:cs="Times New Roman"/>
                <w:color w:val="000000"/>
              </w:rPr>
            </w:pPr>
            <w:r w:rsidRPr="00F548AE">
              <w:rPr>
                <w:rFonts w:cs="Times New Roman"/>
                <w:color w:val="000000"/>
              </w:rPr>
              <w:t>C-2010-2197286</w:t>
            </w:r>
          </w:p>
        </w:tc>
      </w:tr>
    </w:tbl>
    <w:p w:rsidR="0081512E" w:rsidRDefault="0081512E" w:rsidP="00B43A34">
      <w:pPr>
        <w:adjustRightInd w:val="0"/>
        <w:spacing w:line="240" w:lineRule="auto"/>
        <w:ind w:firstLine="0"/>
        <w:rPr>
          <w:rFonts w:cs="Times New Roman"/>
        </w:rPr>
      </w:pPr>
    </w:p>
    <w:p w:rsidR="00932158" w:rsidRDefault="00932158" w:rsidP="00B43A34">
      <w:pPr>
        <w:adjustRightInd w:val="0"/>
        <w:spacing w:line="240" w:lineRule="auto"/>
        <w:ind w:firstLine="0"/>
        <w:rPr>
          <w:rFonts w:cs="Times New Roman"/>
        </w:rPr>
      </w:pPr>
      <w:r>
        <w:rPr>
          <w:rFonts w:cs="Times New Roman"/>
        </w:rPr>
        <w:tab/>
      </w:r>
      <w:proofErr w:type="gramStart"/>
      <w:r>
        <w:rPr>
          <w:rFonts w:cs="Times New Roman"/>
        </w:rPr>
        <w:t>v</w:t>
      </w:r>
      <w:proofErr w:type="gramEnd"/>
      <w:r>
        <w:rPr>
          <w:rFonts w:cs="Times New Roman"/>
        </w:rPr>
        <w:t>.</w:t>
      </w:r>
    </w:p>
    <w:p w:rsidR="00932158" w:rsidRDefault="00932158" w:rsidP="00B43A34">
      <w:pPr>
        <w:adjustRightInd w:val="0"/>
        <w:spacing w:line="240" w:lineRule="auto"/>
        <w:ind w:firstLine="0"/>
        <w:rPr>
          <w:rFonts w:cs="Times New Roman"/>
        </w:rPr>
      </w:pPr>
    </w:p>
    <w:p w:rsidR="00932158" w:rsidRPr="00FB1EF5" w:rsidRDefault="00932158" w:rsidP="00B21383">
      <w:pPr>
        <w:spacing w:line="240" w:lineRule="auto"/>
        <w:ind w:firstLine="0"/>
        <w:jc w:val="both"/>
        <w:rPr>
          <w:szCs w:val="24"/>
        </w:rPr>
      </w:pPr>
      <w:r w:rsidRPr="00FB1EF5">
        <w:rPr>
          <w:szCs w:val="24"/>
        </w:rPr>
        <w:t xml:space="preserve">Total Environmental Solutions, Inc. </w:t>
      </w:r>
    </w:p>
    <w:p w:rsidR="00932158" w:rsidRDefault="00932158" w:rsidP="00B21383">
      <w:pPr>
        <w:adjustRightInd w:val="0"/>
        <w:spacing w:line="240" w:lineRule="auto"/>
        <w:ind w:firstLine="0"/>
        <w:rPr>
          <w:szCs w:val="24"/>
        </w:rPr>
      </w:pPr>
      <w:r w:rsidRPr="00FB1EF5">
        <w:rPr>
          <w:szCs w:val="24"/>
        </w:rPr>
        <w:t>Treasure Lake Wastewater Division</w:t>
      </w:r>
    </w:p>
    <w:p w:rsidR="00634A73" w:rsidRDefault="00634A73" w:rsidP="00B21383">
      <w:pPr>
        <w:adjustRightInd w:val="0"/>
        <w:spacing w:line="240" w:lineRule="auto"/>
        <w:ind w:firstLine="0"/>
        <w:rPr>
          <w:szCs w:val="24"/>
        </w:rPr>
      </w:pPr>
    </w:p>
    <w:p w:rsidR="00634A73" w:rsidRDefault="00634A73" w:rsidP="00B21383">
      <w:pPr>
        <w:adjustRightInd w:val="0"/>
        <w:spacing w:line="240" w:lineRule="auto"/>
        <w:ind w:firstLine="0"/>
        <w:rPr>
          <w:rFonts w:cs="Times New Roman"/>
        </w:rPr>
        <w:sectPr w:rsidR="00634A73" w:rsidSect="005926AE">
          <w:pgSz w:w="12240" w:h="15840"/>
          <w:pgMar w:top="1440" w:right="1440" w:bottom="1440" w:left="1440" w:header="720" w:footer="720" w:gutter="0"/>
          <w:cols w:space="720"/>
          <w:docGrid w:linePitch="360"/>
        </w:sectPr>
      </w:pPr>
    </w:p>
    <w:p w:rsidR="00634A73" w:rsidRDefault="00634A73" w:rsidP="00B21383">
      <w:pPr>
        <w:adjustRightInd w:val="0"/>
        <w:spacing w:line="240" w:lineRule="auto"/>
        <w:ind w:firstLine="0"/>
        <w:rPr>
          <w:rFonts w:cs="Times New Roman"/>
        </w:rPr>
      </w:pPr>
    </w:p>
    <w:p w:rsidR="00444955" w:rsidRDefault="00444955" w:rsidP="00B21383">
      <w:pPr>
        <w:adjustRightInd w:val="0"/>
        <w:spacing w:line="240" w:lineRule="auto"/>
        <w:ind w:firstLine="0"/>
        <w:rPr>
          <w:rFonts w:cs="Times New Roman"/>
        </w:rPr>
      </w:pPr>
    </w:p>
    <w:p w:rsidR="00C2708F" w:rsidRPr="00F548AE" w:rsidRDefault="00C2708F" w:rsidP="00B21383">
      <w:pPr>
        <w:adjustRightInd w:val="0"/>
        <w:spacing w:line="240" w:lineRule="auto"/>
        <w:ind w:firstLine="0"/>
        <w:rPr>
          <w:rFonts w:cs="Times New Roman"/>
        </w:rPr>
      </w:pPr>
    </w:p>
    <w:p w:rsidR="00B43A34" w:rsidRDefault="00B43A34" w:rsidP="00B43A34">
      <w:pPr>
        <w:ind w:firstLine="0"/>
        <w:jc w:val="center"/>
        <w:rPr>
          <w:b/>
        </w:rPr>
      </w:pPr>
      <w:r w:rsidRPr="00B43A34">
        <w:rPr>
          <w:b/>
        </w:rPr>
        <w:t>OPINION AND ORDER</w:t>
      </w:r>
    </w:p>
    <w:p w:rsidR="00B43A34" w:rsidRDefault="00B43A34" w:rsidP="00B43A34">
      <w:pPr>
        <w:ind w:firstLine="0"/>
        <w:jc w:val="center"/>
        <w:rPr>
          <w:b/>
        </w:rPr>
      </w:pPr>
    </w:p>
    <w:p w:rsidR="00B43A34" w:rsidRPr="00B43A34" w:rsidRDefault="00B43A34" w:rsidP="00B43A34">
      <w:pPr>
        <w:ind w:firstLine="0"/>
        <w:rPr>
          <w:b/>
        </w:rPr>
      </w:pPr>
      <w:r>
        <w:rPr>
          <w:b/>
        </w:rPr>
        <w:t>BY THE COMMISSION</w:t>
      </w:r>
    </w:p>
    <w:p w:rsidR="00B43A34" w:rsidRDefault="00B43A34" w:rsidP="00C2708F">
      <w:pPr>
        <w:spacing w:line="240" w:lineRule="auto"/>
      </w:pPr>
    </w:p>
    <w:p w:rsidR="001A25B4" w:rsidRDefault="00F729A0" w:rsidP="00EB1898">
      <w:r>
        <w:t xml:space="preserve">Before the Pennsylvania Public Utility Commission (Commission) </w:t>
      </w:r>
      <w:r w:rsidR="00EB1898">
        <w:t xml:space="preserve">for consideration and disposition are the Exceptions filed by </w:t>
      </w:r>
      <w:r w:rsidR="00680DFD">
        <w:t>Total Environmental Solutions, Inc. (TESI</w:t>
      </w:r>
      <w:r w:rsidR="00E44F7F">
        <w:t xml:space="preserve"> or Company</w:t>
      </w:r>
      <w:r w:rsidR="00680DFD">
        <w:t xml:space="preserve">) filed on January 20, 2011, to the Recommended Decision </w:t>
      </w:r>
      <w:r w:rsidR="00541D17">
        <w:t xml:space="preserve">(R.D.) </w:t>
      </w:r>
      <w:r w:rsidR="00680DFD">
        <w:t xml:space="preserve">of Administrative Law Judge Katrina L. Dunderdale (ALJ), issued on January 10, 2011.  </w:t>
      </w:r>
      <w:r w:rsidR="00641B02">
        <w:t xml:space="preserve">No Reply Exceptions were filed. </w:t>
      </w:r>
      <w:r w:rsidR="007D1835">
        <w:t xml:space="preserve">Also before the Commission </w:t>
      </w:r>
      <w:proofErr w:type="gramStart"/>
      <w:r w:rsidR="00865951">
        <w:t>are</w:t>
      </w:r>
      <w:proofErr w:type="gramEnd"/>
      <w:r w:rsidR="0037326E">
        <w:t xml:space="preserve"> </w:t>
      </w:r>
      <w:r w:rsidR="00541D17">
        <w:t xml:space="preserve">the </w:t>
      </w:r>
      <w:r w:rsidR="0037326E">
        <w:t>Joint Petition</w:t>
      </w:r>
      <w:r w:rsidR="00865951">
        <w:t>s</w:t>
      </w:r>
      <w:r w:rsidR="0037326E">
        <w:t xml:space="preserve"> for Settlement of Rate Investigation (Settlement</w:t>
      </w:r>
      <w:r w:rsidR="00865951">
        <w:t>s</w:t>
      </w:r>
      <w:r w:rsidR="0037326E">
        <w:t>)</w:t>
      </w:r>
      <w:r w:rsidR="00865951">
        <w:rPr>
          <w:rStyle w:val="FootnoteReference"/>
        </w:rPr>
        <w:footnoteReference w:id="1"/>
      </w:r>
      <w:r w:rsidR="0037326E">
        <w:t xml:space="preserve"> filed on November 30, 2010.  </w:t>
      </w:r>
    </w:p>
    <w:p w:rsidR="001A25B4" w:rsidRDefault="001A25B4" w:rsidP="001A25B4">
      <w:pPr>
        <w:pStyle w:val="Heading1"/>
      </w:pPr>
      <w:r>
        <w:t>I.</w:t>
      </w:r>
      <w:r>
        <w:tab/>
        <w:t>Background</w:t>
      </w:r>
    </w:p>
    <w:p w:rsidR="001A25B4" w:rsidRPr="001A25B4" w:rsidRDefault="001A25B4" w:rsidP="001A25B4">
      <w:pPr>
        <w:spacing w:line="240" w:lineRule="auto"/>
      </w:pPr>
    </w:p>
    <w:p w:rsidR="001A25B4" w:rsidRDefault="001A25B4" w:rsidP="001A25B4">
      <w:r>
        <w:t xml:space="preserve">TESI </w:t>
      </w:r>
      <w:r w:rsidR="00FF444E">
        <w:t xml:space="preserve">provides both water </w:t>
      </w:r>
      <w:r w:rsidR="00E44F7F">
        <w:t xml:space="preserve">and wastewater </w:t>
      </w:r>
      <w:r w:rsidR="00FF444E">
        <w:t xml:space="preserve">service to approximately 2,105 residential and commercial customers and to 3,455 availability customers in portions of Sandy Township, Clearfield County, Pennsylvania.  </w:t>
      </w:r>
      <w:r w:rsidR="00AC7A54">
        <w:t xml:space="preserve">On June 30, 2010, TESI filed proposed tariffs that were calculated to produce </w:t>
      </w:r>
      <w:r w:rsidR="00772F3E">
        <w:t xml:space="preserve">a </w:t>
      </w:r>
      <w:r w:rsidR="00AC7A54">
        <w:t>$376,183</w:t>
      </w:r>
      <w:r w:rsidR="00E44F7F">
        <w:t>,</w:t>
      </w:r>
      <w:r w:rsidR="00AC7A54">
        <w:t xml:space="preserve"> or </w:t>
      </w:r>
      <w:r w:rsidR="00E44F7F">
        <w:t xml:space="preserve">a </w:t>
      </w:r>
      <w:r w:rsidR="00AC7A54">
        <w:t xml:space="preserve">62.2% increase in annual water service revenue and </w:t>
      </w:r>
      <w:r w:rsidR="00772F3E">
        <w:t>a $268,150</w:t>
      </w:r>
      <w:r w:rsidR="00E44F7F">
        <w:t>,</w:t>
      </w:r>
      <w:r w:rsidR="00772F3E">
        <w:t xml:space="preserve"> or </w:t>
      </w:r>
      <w:r w:rsidR="00E44F7F">
        <w:t xml:space="preserve">a </w:t>
      </w:r>
      <w:r w:rsidR="00772F3E">
        <w:t xml:space="preserve">25.6% increase in </w:t>
      </w:r>
      <w:r w:rsidR="00685DE3">
        <w:t xml:space="preserve">annual </w:t>
      </w:r>
      <w:r w:rsidR="00772F3E">
        <w:t xml:space="preserve">wastewater revenue. </w:t>
      </w:r>
      <w:r w:rsidR="00AC7A54">
        <w:t xml:space="preserve"> </w:t>
      </w:r>
    </w:p>
    <w:p w:rsidR="001A25B4" w:rsidRDefault="001A25B4" w:rsidP="001A25B4">
      <w:pPr>
        <w:pStyle w:val="Heading1"/>
      </w:pPr>
      <w:r>
        <w:lastRenderedPageBreak/>
        <w:t>II.</w:t>
      </w:r>
      <w:r>
        <w:tab/>
        <w:t xml:space="preserve"> History of the Proceeding </w:t>
      </w:r>
    </w:p>
    <w:p w:rsidR="009A14BC" w:rsidRDefault="009A14BC" w:rsidP="001837A6">
      <w:pPr>
        <w:spacing w:line="240" w:lineRule="auto"/>
      </w:pPr>
    </w:p>
    <w:p w:rsidR="00C66ED4" w:rsidRDefault="001837A6" w:rsidP="009A14BC">
      <w:r>
        <w:t xml:space="preserve">On June 30, 2010, TESI filed Supplement No. 4 to Tariff Water </w:t>
      </w:r>
      <w:r w:rsidR="001E4376">
        <w:t xml:space="preserve">– Pa. P.U.C. </w:t>
      </w:r>
      <w:r>
        <w:t>No. 4 (</w:t>
      </w:r>
      <w:r w:rsidR="00E44F7F">
        <w:t xml:space="preserve">Docket No. </w:t>
      </w:r>
      <w:r>
        <w:t xml:space="preserve">R-2010-2171918) and Supplement No. </w:t>
      </w:r>
      <w:r w:rsidR="001E4376">
        <w:t>6 to Tariff Wastewater – Pa. P.U.C. No. 4 (</w:t>
      </w:r>
      <w:r w:rsidR="00E44F7F">
        <w:t xml:space="preserve">Docket No. </w:t>
      </w:r>
      <w:proofErr w:type="gramStart"/>
      <w:r w:rsidR="001E4376">
        <w:t>R-2010-2171924</w:t>
      </w:r>
      <w:r w:rsidR="00C66ED4">
        <w:t>)</w:t>
      </w:r>
      <w:r w:rsidR="001E4376">
        <w:t>.</w:t>
      </w:r>
      <w:proofErr w:type="gramEnd"/>
      <w:r w:rsidR="001E4376">
        <w:t xml:space="preserve">  Both Supplements had a requested effective date of August 29, 2010</w:t>
      </w:r>
      <w:r w:rsidR="00013AF8">
        <w:t>.  As part of its filing</w:t>
      </w:r>
      <w:r w:rsidR="00C66ED4">
        <w:t>s</w:t>
      </w:r>
      <w:r w:rsidR="00013AF8">
        <w:t>, TESI submitted the</w:t>
      </w:r>
      <w:r w:rsidR="001E4376">
        <w:t xml:space="preserve"> data required </w:t>
      </w:r>
      <w:r w:rsidR="00EA27B4">
        <w:t xml:space="preserve">pursuant to 52 Pa. Code </w:t>
      </w:r>
      <w:r w:rsidR="00EA27B4">
        <w:rPr>
          <w:rFonts w:cs="Times New Roman"/>
        </w:rPr>
        <w:t>§</w:t>
      </w:r>
      <w:r w:rsidR="001E4376">
        <w:t xml:space="preserve"> </w:t>
      </w:r>
      <w:r w:rsidR="00EA27B4">
        <w:t>53.52(b) and (c)</w:t>
      </w:r>
      <w:r w:rsidR="00013AF8">
        <w:t xml:space="preserve"> using an historic test year of the twelve months ending December 31, 2009</w:t>
      </w:r>
      <w:r w:rsidR="00B252B2">
        <w:t>,</w:t>
      </w:r>
      <w:r w:rsidR="00013AF8">
        <w:t xml:space="preserve"> and a future test year </w:t>
      </w:r>
      <w:r w:rsidR="00C66ED4">
        <w:t xml:space="preserve">of the twelve months ending December 31, 2010. </w:t>
      </w:r>
      <w:r w:rsidR="001E4376">
        <w:t xml:space="preserve">  </w:t>
      </w:r>
    </w:p>
    <w:p w:rsidR="00C66ED4" w:rsidRDefault="00C66ED4" w:rsidP="009A14BC"/>
    <w:p w:rsidR="00560EB4" w:rsidRDefault="005253AB" w:rsidP="00C66ED4">
      <w:r>
        <w:rPr>
          <w:szCs w:val="24"/>
        </w:rPr>
        <w:t xml:space="preserve">By Orders entered </w:t>
      </w:r>
      <w:r w:rsidR="00C66ED4" w:rsidRPr="00E84D6E">
        <w:rPr>
          <w:szCs w:val="24"/>
        </w:rPr>
        <w:t xml:space="preserve">August 18, 2010, the Commission suspended </w:t>
      </w:r>
      <w:r>
        <w:rPr>
          <w:szCs w:val="24"/>
        </w:rPr>
        <w:t xml:space="preserve">both </w:t>
      </w:r>
      <w:r w:rsidR="00C66ED4" w:rsidRPr="00E84D6E">
        <w:rPr>
          <w:szCs w:val="24"/>
        </w:rPr>
        <w:t xml:space="preserve">tariff supplements until March 29, 2011, </w:t>
      </w:r>
      <w:r>
        <w:rPr>
          <w:szCs w:val="24"/>
        </w:rPr>
        <w:t xml:space="preserve">unless otherwise </w:t>
      </w:r>
      <w:r w:rsidR="00FD6387">
        <w:rPr>
          <w:szCs w:val="24"/>
        </w:rPr>
        <w:t xml:space="preserve">directed by Order of the Commission. The Commission initiated an investigation into both tariff supplements and assigned the matter to the Office of Administrative Law Judge. </w:t>
      </w:r>
      <w:r w:rsidR="00560EB4">
        <w:rPr>
          <w:szCs w:val="24"/>
        </w:rPr>
        <w:t xml:space="preserve">On August 26, 2010, TESI filed its suspension tariffs, </w:t>
      </w:r>
      <w:r w:rsidR="00560EB4">
        <w:t xml:space="preserve">Supplement No. 5 to Tariff Water – Pa. P.U.C. No. </w:t>
      </w:r>
      <w:proofErr w:type="gramStart"/>
      <w:r w:rsidR="00560EB4">
        <w:t>4  and</w:t>
      </w:r>
      <w:proofErr w:type="gramEnd"/>
      <w:r w:rsidR="00560EB4">
        <w:t xml:space="preserve"> Supplement No. 7 to Tariff Wastewater – Pa. P.U.C. No. 4.</w:t>
      </w:r>
    </w:p>
    <w:p w:rsidR="00C66ED4" w:rsidRPr="00E84D6E" w:rsidRDefault="00C66ED4" w:rsidP="00C66ED4">
      <w:pPr>
        <w:rPr>
          <w:szCs w:val="24"/>
        </w:rPr>
      </w:pPr>
    </w:p>
    <w:p w:rsidR="00C66ED4" w:rsidRPr="00E84D6E" w:rsidRDefault="00C66ED4" w:rsidP="00C66ED4">
      <w:pPr>
        <w:rPr>
          <w:szCs w:val="24"/>
        </w:rPr>
      </w:pPr>
      <w:r>
        <w:rPr>
          <w:szCs w:val="24"/>
        </w:rPr>
        <w:t>On July 30, 2010</w:t>
      </w:r>
      <w:r w:rsidRPr="00E84D6E">
        <w:rPr>
          <w:szCs w:val="24"/>
        </w:rPr>
        <w:t>, the Office of Consumer Advocate (OCA)</w:t>
      </w:r>
      <w:r>
        <w:rPr>
          <w:szCs w:val="24"/>
        </w:rPr>
        <w:t xml:space="preserve"> entered an appearance and filed </w:t>
      </w:r>
      <w:r w:rsidR="00CF28FF">
        <w:rPr>
          <w:szCs w:val="24"/>
        </w:rPr>
        <w:t>F</w:t>
      </w:r>
      <w:r w:rsidR="00D163C3">
        <w:rPr>
          <w:szCs w:val="24"/>
        </w:rPr>
        <w:t xml:space="preserve">ormal </w:t>
      </w:r>
      <w:r w:rsidR="00CF28FF">
        <w:rPr>
          <w:szCs w:val="24"/>
        </w:rPr>
        <w:t>C</w:t>
      </w:r>
      <w:r>
        <w:rPr>
          <w:szCs w:val="24"/>
        </w:rPr>
        <w:t>omplaint</w:t>
      </w:r>
      <w:r w:rsidR="00D01FB9">
        <w:rPr>
          <w:szCs w:val="24"/>
        </w:rPr>
        <w:t>s</w:t>
      </w:r>
      <w:r>
        <w:rPr>
          <w:szCs w:val="24"/>
        </w:rPr>
        <w:t xml:space="preserve"> on </w:t>
      </w:r>
      <w:r w:rsidR="00D163C3">
        <w:rPr>
          <w:szCs w:val="24"/>
        </w:rPr>
        <w:t xml:space="preserve">the water tariff, docketed at </w:t>
      </w:r>
      <w:r>
        <w:rPr>
          <w:szCs w:val="24"/>
        </w:rPr>
        <w:t xml:space="preserve">C-2010-2191449, and </w:t>
      </w:r>
      <w:r w:rsidR="00D163C3">
        <w:rPr>
          <w:szCs w:val="24"/>
        </w:rPr>
        <w:t xml:space="preserve">the wastewater </w:t>
      </w:r>
      <w:r w:rsidR="00D01FB9">
        <w:rPr>
          <w:szCs w:val="24"/>
        </w:rPr>
        <w:t xml:space="preserve">tariff, docketed at </w:t>
      </w:r>
      <w:r>
        <w:rPr>
          <w:szCs w:val="24"/>
        </w:rPr>
        <w:t>C-2010-2191421</w:t>
      </w:r>
      <w:r w:rsidRPr="00E84D6E">
        <w:rPr>
          <w:szCs w:val="24"/>
        </w:rPr>
        <w:t xml:space="preserve">.  </w:t>
      </w:r>
      <w:r>
        <w:rPr>
          <w:szCs w:val="24"/>
        </w:rPr>
        <w:t>T</w:t>
      </w:r>
      <w:r w:rsidRPr="00E84D6E">
        <w:rPr>
          <w:szCs w:val="24"/>
        </w:rPr>
        <w:t>he Commission’s Office of Trial Staff (OTS) entered its appearance in this proceeding</w:t>
      </w:r>
      <w:r>
        <w:rPr>
          <w:szCs w:val="24"/>
        </w:rPr>
        <w:t xml:space="preserve"> on August 19, 2010.  </w:t>
      </w:r>
    </w:p>
    <w:p w:rsidR="000D70BC" w:rsidRDefault="000D70BC" w:rsidP="00C66ED4">
      <w:pPr>
        <w:rPr>
          <w:szCs w:val="24"/>
        </w:rPr>
      </w:pPr>
    </w:p>
    <w:p w:rsidR="002E0E28" w:rsidRPr="00F076C3" w:rsidRDefault="00FF2B92" w:rsidP="002E0E28">
      <w:pPr>
        <w:rPr>
          <w:szCs w:val="24"/>
        </w:rPr>
      </w:pPr>
      <w:r>
        <w:rPr>
          <w:szCs w:val="24"/>
        </w:rPr>
        <w:t xml:space="preserve">A total of forty </w:t>
      </w:r>
      <w:r w:rsidRPr="00FF2B92">
        <w:rPr>
          <w:i/>
          <w:szCs w:val="24"/>
        </w:rPr>
        <w:t>pro se</w:t>
      </w:r>
      <w:r>
        <w:rPr>
          <w:szCs w:val="24"/>
        </w:rPr>
        <w:t xml:space="preserve"> </w:t>
      </w:r>
      <w:r w:rsidR="00CF28FF">
        <w:rPr>
          <w:szCs w:val="24"/>
        </w:rPr>
        <w:t>C</w:t>
      </w:r>
      <w:r>
        <w:rPr>
          <w:szCs w:val="24"/>
        </w:rPr>
        <w:t xml:space="preserve">omplainants collectively filed </w:t>
      </w:r>
      <w:r w:rsidR="00CF28FF">
        <w:rPr>
          <w:szCs w:val="24"/>
        </w:rPr>
        <w:t>twenty-nine F</w:t>
      </w:r>
      <w:r w:rsidR="00DE0BC3">
        <w:rPr>
          <w:szCs w:val="24"/>
        </w:rPr>
        <w:t xml:space="preserve">ormal </w:t>
      </w:r>
      <w:r w:rsidR="00CF28FF">
        <w:rPr>
          <w:szCs w:val="24"/>
        </w:rPr>
        <w:t>C</w:t>
      </w:r>
      <w:r w:rsidR="00DE0BC3">
        <w:rPr>
          <w:szCs w:val="24"/>
        </w:rPr>
        <w:t>omplaints against the propos</w:t>
      </w:r>
      <w:r w:rsidR="00CF28FF">
        <w:rPr>
          <w:szCs w:val="24"/>
        </w:rPr>
        <w:t>ed water tariff and twenty-two F</w:t>
      </w:r>
      <w:r w:rsidR="00DE0BC3">
        <w:rPr>
          <w:szCs w:val="24"/>
        </w:rPr>
        <w:t xml:space="preserve">ormal </w:t>
      </w:r>
      <w:r w:rsidR="00CF28FF">
        <w:rPr>
          <w:szCs w:val="24"/>
        </w:rPr>
        <w:t>C</w:t>
      </w:r>
      <w:r w:rsidR="00DE0BC3">
        <w:rPr>
          <w:szCs w:val="24"/>
        </w:rPr>
        <w:t xml:space="preserve">omplaints against the proposed wastewater tariff. </w:t>
      </w:r>
      <w:r w:rsidR="000117FD">
        <w:rPr>
          <w:szCs w:val="24"/>
        </w:rPr>
        <w:t xml:space="preserve"> A consistent theme in the Complaints was the magnitude of the requested water and wastewater rate increases, particularly in light of the </w:t>
      </w:r>
      <w:r w:rsidR="00EE6FB5">
        <w:rPr>
          <w:szCs w:val="24"/>
        </w:rPr>
        <w:t xml:space="preserve">difficult </w:t>
      </w:r>
      <w:r w:rsidR="000117FD">
        <w:rPr>
          <w:szCs w:val="24"/>
        </w:rPr>
        <w:t>econom</w:t>
      </w:r>
      <w:r w:rsidR="00EE6FB5">
        <w:rPr>
          <w:szCs w:val="24"/>
        </w:rPr>
        <w:t>ic times</w:t>
      </w:r>
      <w:r w:rsidR="000117FD">
        <w:rPr>
          <w:szCs w:val="24"/>
        </w:rPr>
        <w:t xml:space="preserve">.  </w:t>
      </w:r>
      <w:r w:rsidR="00EE6FB5">
        <w:rPr>
          <w:szCs w:val="24"/>
        </w:rPr>
        <w:t xml:space="preserve">A number of the Complainants indicated that they were on </w:t>
      </w:r>
      <w:r w:rsidR="00017CAA">
        <w:rPr>
          <w:szCs w:val="24"/>
        </w:rPr>
        <w:t xml:space="preserve">a </w:t>
      </w:r>
      <w:r w:rsidR="00EE6FB5">
        <w:rPr>
          <w:szCs w:val="24"/>
        </w:rPr>
        <w:t xml:space="preserve">fixed income. </w:t>
      </w:r>
      <w:r w:rsidR="000117FD">
        <w:rPr>
          <w:szCs w:val="24"/>
        </w:rPr>
        <w:t xml:space="preserve"> </w:t>
      </w:r>
      <w:r w:rsidR="00AD716D">
        <w:rPr>
          <w:szCs w:val="24"/>
        </w:rPr>
        <w:t xml:space="preserve">A few Complaints addressed </w:t>
      </w:r>
      <w:r w:rsidR="000117FD">
        <w:rPr>
          <w:szCs w:val="24"/>
        </w:rPr>
        <w:t xml:space="preserve">water quality </w:t>
      </w:r>
      <w:r w:rsidR="00CF28FF">
        <w:rPr>
          <w:szCs w:val="24"/>
        </w:rPr>
        <w:t xml:space="preserve">issues </w:t>
      </w:r>
      <w:r w:rsidR="000117FD">
        <w:rPr>
          <w:szCs w:val="24"/>
        </w:rPr>
        <w:t xml:space="preserve">and the fact that sewer charges were based on water consumption when a portion of water consumption was used for </w:t>
      </w:r>
      <w:r w:rsidR="000117FD">
        <w:rPr>
          <w:szCs w:val="24"/>
        </w:rPr>
        <w:lastRenderedPageBreak/>
        <w:t xml:space="preserve">irrigation.  </w:t>
      </w:r>
      <w:r w:rsidR="002E0E28">
        <w:rPr>
          <w:szCs w:val="24"/>
        </w:rPr>
        <w:t xml:space="preserve">The ALJ subsequently </w:t>
      </w:r>
      <w:r w:rsidR="002E0E28" w:rsidRPr="00F076C3">
        <w:rPr>
          <w:szCs w:val="24"/>
        </w:rPr>
        <w:t xml:space="preserve">consolidated the </w:t>
      </w:r>
      <w:r w:rsidR="002E0E28">
        <w:rPr>
          <w:szCs w:val="24"/>
        </w:rPr>
        <w:t xml:space="preserve">individual </w:t>
      </w:r>
      <w:r w:rsidR="00B252B2">
        <w:rPr>
          <w:szCs w:val="24"/>
        </w:rPr>
        <w:t>F</w:t>
      </w:r>
      <w:r w:rsidR="002E0E28">
        <w:rPr>
          <w:szCs w:val="24"/>
        </w:rPr>
        <w:t xml:space="preserve">ormal </w:t>
      </w:r>
      <w:r w:rsidR="00B252B2">
        <w:rPr>
          <w:szCs w:val="24"/>
        </w:rPr>
        <w:t>C</w:t>
      </w:r>
      <w:r w:rsidR="002E0E28" w:rsidRPr="00F076C3">
        <w:rPr>
          <w:szCs w:val="24"/>
        </w:rPr>
        <w:t>omplaint</w:t>
      </w:r>
      <w:r w:rsidR="002E0E28">
        <w:rPr>
          <w:szCs w:val="24"/>
        </w:rPr>
        <w:t>s</w:t>
      </w:r>
      <w:r w:rsidR="002E0E28" w:rsidRPr="00F076C3">
        <w:rPr>
          <w:szCs w:val="24"/>
        </w:rPr>
        <w:t xml:space="preserve"> with the rate proceedings at </w:t>
      </w:r>
      <w:r w:rsidR="00CF28FF">
        <w:rPr>
          <w:szCs w:val="24"/>
        </w:rPr>
        <w:t xml:space="preserve">Docket Nos. </w:t>
      </w:r>
      <w:r w:rsidR="002E0E28">
        <w:rPr>
          <w:szCs w:val="24"/>
        </w:rPr>
        <w:t>R-2010-2171918</w:t>
      </w:r>
      <w:r w:rsidR="002E0E28" w:rsidRPr="00F076C3">
        <w:rPr>
          <w:szCs w:val="24"/>
        </w:rPr>
        <w:t xml:space="preserve"> and R-</w:t>
      </w:r>
      <w:r w:rsidR="002E0E28">
        <w:rPr>
          <w:szCs w:val="24"/>
        </w:rPr>
        <w:t xml:space="preserve">2010-2171924. </w:t>
      </w:r>
      <w:r w:rsidR="00B252B2">
        <w:rPr>
          <w:szCs w:val="24"/>
        </w:rPr>
        <w:t xml:space="preserve">These Formal Complaints are listed </w:t>
      </w:r>
      <w:r w:rsidR="00D16A72">
        <w:rPr>
          <w:szCs w:val="24"/>
        </w:rPr>
        <w:t>in the caption of this Opinion and Order.</w:t>
      </w:r>
    </w:p>
    <w:p w:rsidR="00C66ED4" w:rsidRPr="00F076C3" w:rsidRDefault="00C66ED4" w:rsidP="00C66ED4">
      <w:pPr>
        <w:rPr>
          <w:szCs w:val="24"/>
        </w:rPr>
      </w:pPr>
    </w:p>
    <w:p w:rsidR="00487D54" w:rsidRDefault="00C66ED4" w:rsidP="00371D73">
      <w:pPr>
        <w:rPr>
          <w:szCs w:val="24"/>
        </w:rPr>
      </w:pPr>
      <w:r w:rsidRPr="00E84D6E">
        <w:rPr>
          <w:szCs w:val="24"/>
        </w:rPr>
        <w:t xml:space="preserve">The </w:t>
      </w:r>
      <w:r w:rsidR="00371D73">
        <w:rPr>
          <w:szCs w:val="24"/>
        </w:rPr>
        <w:t xml:space="preserve">ALJ </w:t>
      </w:r>
      <w:r w:rsidRPr="00E84D6E">
        <w:rPr>
          <w:szCs w:val="24"/>
        </w:rPr>
        <w:t>conducted a telephonic prehearing conference on September 13, 2010</w:t>
      </w:r>
      <w:r w:rsidR="00017CAA">
        <w:rPr>
          <w:szCs w:val="24"/>
        </w:rPr>
        <w:t>,</w:t>
      </w:r>
      <w:r w:rsidRPr="00E84D6E">
        <w:rPr>
          <w:szCs w:val="24"/>
        </w:rPr>
        <w:t xml:space="preserve"> at which counsels for TESI, </w:t>
      </w:r>
      <w:r w:rsidR="00D66E04">
        <w:rPr>
          <w:szCs w:val="24"/>
        </w:rPr>
        <w:t xml:space="preserve">the </w:t>
      </w:r>
      <w:r w:rsidRPr="00E84D6E">
        <w:rPr>
          <w:szCs w:val="24"/>
        </w:rPr>
        <w:t xml:space="preserve">OTS and </w:t>
      </w:r>
      <w:r w:rsidR="00D66E04">
        <w:rPr>
          <w:szCs w:val="24"/>
        </w:rPr>
        <w:t xml:space="preserve">the </w:t>
      </w:r>
      <w:r w:rsidRPr="00E84D6E">
        <w:rPr>
          <w:szCs w:val="24"/>
        </w:rPr>
        <w:t xml:space="preserve">OCA were present.  </w:t>
      </w:r>
      <w:r w:rsidRPr="00F076C3">
        <w:rPr>
          <w:szCs w:val="24"/>
        </w:rPr>
        <w:t xml:space="preserve">Prior to </w:t>
      </w:r>
      <w:r w:rsidR="00371D73">
        <w:rPr>
          <w:szCs w:val="24"/>
        </w:rPr>
        <w:t xml:space="preserve">the </w:t>
      </w:r>
      <w:r w:rsidRPr="00F076C3">
        <w:rPr>
          <w:szCs w:val="24"/>
        </w:rPr>
        <w:t xml:space="preserve">prehearing conference, TESI, </w:t>
      </w:r>
      <w:r w:rsidR="00D66E04">
        <w:rPr>
          <w:szCs w:val="24"/>
        </w:rPr>
        <w:t xml:space="preserve">the </w:t>
      </w:r>
      <w:r w:rsidRPr="00F076C3">
        <w:rPr>
          <w:szCs w:val="24"/>
        </w:rPr>
        <w:t xml:space="preserve">OTS and </w:t>
      </w:r>
      <w:r w:rsidR="00D66E04">
        <w:rPr>
          <w:szCs w:val="24"/>
        </w:rPr>
        <w:t xml:space="preserve">the </w:t>
      </w:r>
      <w:r w:rsidRPr="00F076C3">
        <w:rPr>
          <w:szCs w:val="24"/>
        </w:rPr>
        <w:t xml:space="preserve">OCA submitted prehearing memoranda. </w:t>
      </w:r>
      <w:r w:rsidR="00B70928">
        <w:rPr>
          <w:szCs w:val="24"/>
        </w:rPr>
        <w:t xml:space="preserve"> On October 8, 2010, TESI, the OTS and the OCA </w:t>
      </w:r>
      <w:r w:rsidR="00F41FE2">
        <w:rPr>
          <w:szCs w:val="24"/>
        </w:rPr>
        <w:t xml:space="preserve">jointly filed Stipulations Regarding Rate of Return for both the instant </w:t>
      </w:r>
      <w:r w:rsidR="00B70928">
        <w:rPr>
          <w:szCs w:val="24"/>
        </w:rPr>
        <w:t xml:space="preserve">water and wastewater cases.  </w:t>
      </w:r>
    </w:p>
    <w:p w:rsidR="00487D54" w:rsidRDefault="00487D54" w:rsidP="00371D73">
      <w:pPr>
        <w:rPr>
          <w:szCs w:val="24"/>
        </w:rPr>
      </w:pPr>
    </w:p>
    <w:p w:rsidR="00541D17" w:rsidRDefault="00371D73" w:rsidP="00371D73">
      <w:pPr>
        <w:rPr>
          <w:color w:val="000000"/>
          <w:szCs w:val="24"/>
        </w:rPr>
      </w:pPr>
      <w:r>
        <w:rPr>
          <w:szCs w:val="24"/>
        </w:rPr>
        <w:t xml:space="preserve">Two </w:t>
      </w:r>
      <w:r w:rsidRPr="00F076C3">
        <w:rPr>
          <w:szCs w:val="24"/>
        </w:rPr>
        <w:t xml:space="preserve">public input </w:t>
      </w:r>
      <w:r>
        <w:rPr>
          <w:szCs w:val="24"/>
        </w:rPr>
        <w:t>hearings were held within the service territory</w:t>
      </w:r>
      <w:r w:rsidRPr="00F076C3">
        <w:rPr>
          <w:szCs w:val="24"/>
        </w:rPr>
        <w:t xml:space="preserve"> on </w:t>
      </w:r>
      <w:r>
        <w:rPr>
          <w:szCs w:val="24"/>
        </w:rPr>
        <w:t>November 9, 2010</w:t>
      </w:r>
      <w:r w:rsidR="005C033F">
        <w:rPr>
          <w:szCs w:val="24"/>
        </w:rPr>
        <w:t>,</w:t>
      </w:r>
      <w:r>
        <w:rPr>
          <w:szCs w:val="24"/>
        </w:rPr>
        <w:t xml:space="preserve"> in Dubois, PA.  </w:t>
      </w:r>
      <w:r w:rsidR="005C033F">
        <w:rPr>
          <w:szCs w:val="24"/>
        </w:rPr>
        <w:t>C</w:t>
      </w:r>
      <w:r w:rsidR="005C033F" w:rsidRPr="00E84D6E">
        <w:rPr>
          <w:szCs w:val="24"/>
        </w:rPr>
        <w:t xml:space="preserve">ounsels for TESI, </w:t>
      </w:r>
      <w:r w:rsidR="005C033F">
        <w:rPr>
          <w:szCs w:val="24"/>
        </w:rPr>
        <w:t xml:space="preserve">the </w:t>
      </w:r>
      <w:r w:rsidR="005C033F" w:rsidRPr="00E84D6E">
        <w:rPr>
          <w:szCs w:val="24"/>
        </w:rPr>
        <w:t xml:space="preserve">OTS and </w:t>
      </w:r>
      <w:r w:rsidR="005C033F">
        <w:rPr>
          <w:szCs w:val="24"/>
        </w:rPr>
        <w:t xml:space="preserve">the </w:t>
      </w:r>
      <w:r w:rsidR="005C033F" w:rsidRPr="00E84D6E">
        <w:rPr>
          <w:szCs w:val="24"/>
        </w:rPr>
        <w:t>OCA were present</w:t>
      </w:r>
      <w:r w:rsidR="002C3F14">
        <w:rPr>
          <w:szCs w:val="24"/>
        </w:rPr>
        <w:t xml:space="preserve"> at the hearings</w:t>
      </w:r>
      <w:r w:rsidR="005C033F">
        <w:rPr>
          <w:szCs w:val="24"/>
        </w:rPr>
        <w:t xml:space="preserve">.   </w:t>
      </w:r>
      <w:r>
        <w:rPr>
          <w:szCs w:val="24"/>
        </w:rPr>
        <w:t xml:space="preserve">The first hearing began at </w:t>
      </w:r>
      <w:r w:rsidRPr="00F076C3">
        <w:rPr>
          <w:szCs w:val="24"/>
        </w:rPr>
        <w:t xml:space="preserve">1:00 p.m. </w:t>
      </w:r>
      <w:r w:rsidR="005C033F">
        <w:rPr>
          <w:szCs w:val="24"/>
        </w:rPr>
        <w:t xml:space="preserve">and </w:t>
      </w:r>
      <w:r>
        <w:rPr>
          <w:szCs w:val="24"/>
        </w:rPr>
        <w:t xml:space="preserve">eight </w:t>
      </w:r>
      <w:r w:rsidRPr="00F076C3">
        <w:rPr>
          <w:color w:val="000000"/>
          <w:szCs w:val="24"/>
        </w:rPr>
        <w:t>witnesses presented sworn testimony</w:t>
      </w:r>
      <w:r w:rsidR="005C033F">
        <w:rPr>
          <w:color w:val="000000"/>
          <w:szCs w:val="24"/>
        </w:rPr>
        <w:t xml:space="preserve">.  The second hearing began at </w:t>
      </w:r>
      <w:r>
        <w:rPr>
          <w:color w:val="000000"/>
          <w:szCs w:val="24"/>
        </w:rPr>
        <w:t xml:space="preserve">6:00 p.m. </w:t>
      </w:r>
      <w:r w:rsidR="005C033F">
        <w:rPr>
          <w:color w:val="000000"/>
          <w:szCs w:val="24"/>
        </w:rPr>
        <w:t>and s</w:t>
      </w:r>
      <w:r>
        <w:rPr>
          <w:color w:val="000000"/>
          <w:szCs w:val="24"/>
        </w:rPr>
        <w:t>ixteen witnesses presented sworn testimony</w:t>
      </w:r>
      <w:r w:rsidRPr="00F076C3">
        <w:rPr>
          <w:color w:val="000000"/>
          <w:szCs w:val="24"/>
        </w:rPr>
        <w:t xml:space="preserve">.  </w:t>
      </w:r>
      <w:r w:rsidR="001F0394">
        <w:rPr>
          <w:color w:val="000000"/>
          <w:szCs w:val="24"/>
        </w:rPr>
        <w:t>A summary of each witness</w:t>
      </w:r>
      <w:r w:rsidR="002C3F14">
        <w:rPr>
          <w:color w:val="000000"/>
          <w:szCs w:val="24"/>
        </w:rPr>
        <w:t>’</w:t>
      </w:r>
      <w:r w:rsidR="001F0394">
        <w:rPr>
          <w:color w:val="000000"/>
          <w:szCs w:val="24"/>
        </w:rPr>
        <w:t xml:space="preserve"> testimony is presented </w:t>
      </w:r>
      <w:r w:rsidR="002C3F14">
        <w:rPr>
          <w:color w:val="000000"/>
          <w:szCs w:val="24"/>
        </w:rPr>
        <w:t xml:space="preserve">in the Recommended Decision at </w:t>
      </w:r>
      <w:r w:rsidR="00CF28FF">
        <w:rPr>
          <w:color w:val="000000"/>
          <w:szCs w:val="24"/>
        </w:rPr>
        <w:t xml:space="preserve">pages </w:t>
      </w:r>
      <w:r w:rsidR="002C3F14">
        <w:rPr>
          <w:color w:val="000000"/>
          <w:szCs w:val="24"/>
        </w:rPr>
        <w:t xml:space="preserve">5-11.  In addition to the magnitude of the rate requests, most of the witnesses testified </w:t>
      </w:r>
      <w:r w:rsidR="00541D17">
        <w:rPr>
          <w:color w:val="000000"/>
          <w:szCs w:val="24"/>
        </w:rPr>
        <w:t xml:space="preserve">about </w:t>
      </w:r>
      <w:r w:rsidR="00D66E04">
        <w:rPr>
          <w:color w:val="000000"/>
          <w:szCs w:val="24"/>
        </w:rPr>
        <w:t xml:space="preserve">service and water quality issues, including </w:t>
      </w:r>
      <w:r w:rsidR="00541D17">
        <w:rPr>
          <w:color w:val="000000"/>
          <w:szCs w:val="24"/>
        </w:rPr>
        <w:t xml:space="preserve">discolored </w:t>
      </w:r>
      <w:r w:rsidR="005C77E7">
        <w:rPr>
          <w:color w:val="000000"/>
          <w:szCs w:val="24"/>
        </w:rPr>
        <w:t xml:space="preserve">and rusty </w:t>
      </w:r>
      <w:r w:rsidR="00541D17">
        <w:rPr>
          <w:color w:val="000000"/>
          <w:szCs w:val="24"/>
        </w:rPr>
        <w:t>water and the effects on their water fixtures</w:t>
      </w:r>
      <w:r w:rsidR="005C77E7">
        <w:rPr>
          <w:color w:val="000000"/>
          <w:szCs w:val="24"/>
        </w:rPr>
        <w:t xml:space="preserve"> and appliances</w:t>
      </w:r>
      <w:r w:rsidR="00541D17">
        <w:rPr>
          <w:color w:val="000000"/>
          <w:szCs w:val="24"/>
        </w:rPr>
        <w:t xml:space="preserve">. </w:t>
      </w:r>
    </w:p>
    <w:p w:rsidR="00541D17" w:rsidRDefault="00541D17" w:rsidP="00371D73">
      <w:pPr>
        <w:rPr>
          <w:color w:val="000000"/>
          <w:szCs w:val="24"/>
        </w:rPr>
      </w:pPr>
    </w:p>
    <w:p w:rsidR="00D66E04" w:rsidRDefault="005C77E7" w:rsidP="002378D5">
      <w:pPr>
        <w:rPr>
          <w:szCs w:val="24"/>
        </w:rPr>
      </w:pPr>
      <w:r>
        <w:rPr>
          <w:szCs w:val="24"/>
        </w:rPr>
        <w:t>A</w:t>
      </w:r>
      <w:r w:rsidRPr="00F076C3">
        <w:rPr>
          <w:szCs w:val="24"/>
        </w:rPr>
        <w:t xml:space="preserve">n evidentiary hearing </w:t>
      </w:r>
      <w:r>
        <w:rPr>
          <w:szCs w:val="24"/>
        </w:rPr>
        <w:t>was held o</w:t>
      </w:r>
      <w:r w:rsidRPr="00F076C3">
        <w:rPr>
          <w:szCs w:val="24"/>
        </w:rPr>
        <w:t xml:space="preserve">n </w:t>
      </w:r>
      <w:r>
        <w:rPr>
          <w:szCs w:val="24"/>
        </w:rPr>
        <w:t>November 15, 2010</w:t>
      </w:r>
      <w:r w:rsidR="00C53283">
        <w:rPr>
          <w:szCs w:val="24"/>
        </w:rPr>
        <w:t xml:space="preserve">. </w:t>
      </w:r>
      <w:r>
        <w:rPr>
          <w:szCs w:val="24"/>
        </w:rPr>
        <w:t xml:space="preserve"> </w:t>
      </w:r>
      <w:r w:rsidRPr="00F076C3">
        <w:rPr>
          <w:szCs w:val="24"/>
        </w:rPr>
        <w:t xml:space="preserve">TESI, </w:t>
      </w:r>
      <w:r>
        <w:rPr>
          <w:szCs w:val="24"/>
        </w:rPr>
        <w:t xml:space="preserve">the </w:t>
      </w:r>
      <w:r w:rsidRPr="00F076C3">
        <w:rPr>
          <w:szCs w:val="24"/>
        </w:rPr>
        <w:t xml:space="preserve">OTS and </w:t>
      </w:r>
      <w:r>
        <w:rPr>
          <w:szCs w:val="24"/>
        </w:rPr>
        <w:t xml:space="preserve">the </w:t>
      </w:r>
      <w:r w:rsidRPr="00F076C3">
        <w:rPr>
          <w:szCs w:val="24"/>
        </w:rPr>
        <w:t xml:space="preserve">OCA </w:t>
      </w:r>
      <w:r>
        <w:rPr>
          <w:szCs w:val="24"/>
        </w:rPr>
        <w:t xml:space="preserve">stipulated to the admission of each </w:t>
      </w:r>
      <w:r w:rsidR="00CF28FF">
        <w:rPr>
          <w:szCs w:val="24"/>
        </w:rPr>
        <w:t>P</w:t>
      </w:r>
      <w:r>
        <w:rPr>
          <w:szCs w:val="24"/>
        </w:rPr>
        <w:t>arty’s verified testimonies and exhibits without objection</w:t>
      </w:r>
      <w:r w:rsidRPr="00F076C3">
        <w:rPr>
          <w:szCs w:val="24"/>
        </w:rPr>
        <w:t xml:space="preserve">. </w:t>
      </w:r>
      <w:r w:rsidR="002378D5">
        <w:rPr>
          <w:szCs w:val="24"/>
        </w:rPr>
        <w:t xml:space="preserve"> Subsequently, on November 30, 2010, </w:t>
      </w:r>
      <w:r w:rsidR="002378D5" w:rsidRPr="00F076C3">
        <w:rPr>
          <w:szCs w:val="24"/>
        </w:rPr>
        <w:t xml:space="preserve">TESI, </w:t>
      </w:r>
      <w:r w:rsidR="002378D5">
        <w:rPr>
          <w:szCs w:val="24"/>
        </w:rPr>
        <w:t xml:space="preserve">the </w:t>
      </w:r>
      <w:r w:rsidR="002378D5" w:rsidRPr="00F076C3">
        <w:rPr>
          <w:szCs w:val="24"/>
        </w:rPr>
        <w:t xml:space="preserve">OTS and </w:t>
      </w:r>
      <w:r w:rsidR="002378D5">
        <w:rPr>
          <w:szCs w:val="24"/>
        </w:rPr>
        <w:t xml:space="preserve">the </w:t>
      </w:r>
      <w:r w:rsidR="002378D5" w:rsidRPr="00F076C3">
        <w:rPr>
          <w:szCs w:val="24"/>
        </w:rPr>
        <w:t xml:space="preserve">OCA filed </w:t>
      </w:r>
      <w:r w:rsidR="00CA1BDD">
        <w:rPr>
          <w:szCs w:val="24"/>
        </w:rPr>
        <w:t>Settlement</w:t>
      </w:r>
      <w:r w:rsidR="00E86524">
        <w:rPr>
          <w:szCs w:val="24"/>
        </w:rPr>
        <w:t>s</w:t>
      </w:r>
      <w:r w:rsidR="00CA1BDD">
        <w:rPr>
          <w:szCs w:val="24"/>
        </w:rPr>
        <w:t xml:space="preserve"> </w:t>
      </w:r>
      <w:r w:rsidR="00E86524">
        <w:rPr>
          <w:szCs w:val="24"/>
        </w:rPr>
        <w:t xml:space="preserve">of </w:t>
      </w:r>
      <w:r w:rsidR="002378D5">
        <w:rPr>
          <w:szCs w:val="24"/>
        </w:rPr>
        <w:t xml:space="preserve">the water </w:t>
      </w:r>
      <w:r w:rsidR="00CA1BDD">
        <w:rPr>
          <w:szCs w:val="24"/>
        </w:rPr>
        <w:t xml:space="preserve">(Water Settlement) </w:t>
      </w:r>
      <w:r w:rsidR="002378D5">
        <w:rPr>
          <w:szCs w:val="24"/>
        </w:rPr>
        <w:t xml:space="preserve">and wastewater </w:t>
      </w:r>
      <w:r w:rsidR="00CA1BDD">
        <w:rPr>
          <w:szCs w:val="24"/>
        </w:rPr>
        <w:t xml:space="preserve">(Wastewater Settlement) </w:t>
      </w:r>
      <w:r w:rsidR="002378D5">
        <w:rPr>
          <w:szCs w:val="24"/>
        </w:rPr>
        <w:t>proceeding</w:t>
      </w:r>
      <w:r w:rsidR="00A73322">
        <w:rPr>
          <w:szCs w:val="24"/>
        </w:rPr>
        <w:t>s</w:t>
      </w:r>
      <w:r w:rsidR="002378D5">
        <w:rPr>
          <w:szCs w:val="24"/>
        </w:rPr>
        <w:t xml:space="preserve">.  </w:t>
      </w:r>
      <w:r w:rsidR="00A73322">
        <w:rPr>
          <w:szCs w:val="24"/>
        </w:rPr>
        <w:t xml:space="preserve">Each of the three signatories filed Statements in Support and TESI </w:t>
      </w:r>
      <w:r w:rsidR="002378D5">
        <w:rPr>
          <w:szCs w:val="24"/>
        </w:rPr>
        <w:t>served a copy of the Settlement</w:t>
      </w:r>
      <w:r w:rsidR="00A73322">
        <w:rPr>
          <w:szCs w:val="24"/>
        </w:rPr>
        <w:t>s</w:t>
      </w:r>
      <w:r w:rsidR="002378D5">
        <w:rPr>
          <w:szCs w:val="24"/>
        </w:rPr>
        <w:t xml:space="preserve"> and Statements of Support to all </w:t>
      </w:r>
      <w:r w:rsidR="00A73322">
        <w:rPr>
          <w:szCs w:val="24"/>
        </w:rPr>
        <w:t>P</w:t>
      </w:r>
      <w:r w:rsidR="002378D5">
        <w:rPr>
          <w:szCs w:val="24"/>
        </w:rPr>
        <w:t xml:space="preserve">arties on November 30, 2010.  </w:t>
      </w:r>
    </w:p>
    <w:p w:rsidR="00F06FED" w:rsidRDefault="00F06FED" w:rsidP="002378D5">
      <w:pPr>
        <w:rPr>
          <w:szCs w:val="24"/>
        </w:rPr>
      </w:pPr>
    </w:p>
    <w:p w:rsidR="00D32F66" w:rsidRDefault="00151B6E" w:rsidP="00D32F66">
      <w:pPr>
        <w:rPr>
          <w:szCs w:val="24"/>
        </w:rPr>
      </w:pPr>
      <w:r>
        <w:rPr>
          <w:szCs w:val="24"/>
        </w:rPr>
        <w:t xml:space="preserve">By </w:t>
      </w:r>
      <w:r w:rsidR="00CF28FF">
        <w:rPr>
          <w:szCs w:val="24"/>
        </w:rPr>
        <w:t>L</w:t>
      </w:r>
      <w:r>
        <w:rPr>
          <w:szCs w:val="24"/>
        </w:rPr>
        <w:t xml:space="preserve">etter dated </w:t>
      </w:r>
      <w:r w:rsidR="00D32F66">
        <w:rPr>
          <w:szCs w:val="24"/>
        </w:rPr>
        <w:t xml:space="preserve">December 1, 2010, the ALJ notified all </w:t>
      </w:r>
      <w:r w:rsidR="00CF28FF">
        <w:rPr>
          <w:szCs w:val="24"/>
        </w:rPr>
        <w:t>P</w:t>
      </w:r>
      <w:r w:rsidR="00D32F66">
        <w:rPr>
          <w:szCs w:val="24"/>
        </w:rPr>
        <w:t>arties of the</w:t>
      </w:r>
      <w:r>
        <w:rPr>
          <w:szCs w:val="24"/>
        </w:rPr>
        <w:t>ir</w:t>
      </w:r>
      <w:r w:rsidR="00D32F66">
        <w:rPr>
          <w:szCs w:val="24"/>
        </w:rPr>
        <w:t xml:space="preserve"> opportunity to object to or comment on the </w:t>
      </w:r>
      <w:r w:rsidR="00716914">
        <w:rPr>
          <w:szCs w:val="24"/>
        </w:rPr>
        <w:t xml:space="preserve">proposed </w:t>
      </w:r>
      <w:r w:rsidR="00D32F66">
        <w:rPr>
          <w:szCs w:val="24"/>
        </w:rPr>
        <w:t>Settlement</w:t>
      </w:r>
      <w:r>
        <w:rPr>
          <w:szCs w:val="24"/>
        </w:rPr>
        <w:t xml:space="preserve">.  The ALJ established a </w:t>
      </w:r>
      <w:r>
        <w:rPr>
          <w:szCs w:val="24"/>
        </w:rPr>
        <w:lastRenderedPageBreak/>
        <w:t xml:space="preserve">deadline of December 13, 2010, for </w:t>
      </w:r>
      <w:r w:rsidR="00D32F66">
        <w:rPr>
          <w:szCs w:val="24"/>
        </w:rPr>
        <w:t>objections</w:t>
      </w:r>
      <w:r>
        <w:rPr>
          <w:szCs w:val="24"/>
        </w:rPr>
        <w:t xml:space="preserve"> or </w:t>
      </w:r>
      <w:r w:rsidR="00D32F66">
        <w:rPr>
          <w:szCs w:val="24"/>
        </w:rPr>
        <w:t xml:space="preserve">comments </w:t>
      </w:r>
      <w:r>
        <w:rPr>
          <w:szCs w:val="24"/>
        </w:rPr>
        <w:t xml:space="preserve">and the Parties were required to submit replies to any objections and comments by </w:t>
      </w:r>
      <w:r w:rsidR="00D32F66">
        <w:rPr>
          <w:szCs w:val="24"/>
        </w:rPr>
        <w:t xml:space="preserve">December </w:t>
      </w:r>
      <w:r>
        <w:rPr>
          <w:szCs w:val="24"/>
        </w:rPr>
        <w:t>20</w:t>
      </w:r>
      <w:r w:rsidR="00D32F66">
        <w:rPr>
          <w:szCs w:val="24"/>
        </w:rPr>
        <w:t xml:space="preserve">, 2010.  </w:t>
      </w:r>
    </w:p>
    <w:p w:rsidR="00151B6E" w:rsidRDefault="00151B6E" w:rsidP="00D32F66">
      <w:pPr>
        <w:rPr>
          <w:szCs w:val="24"/>
        </w:rPr>
      </w:pPr>
    </w:p>
    <w:p w:rsidR="00D32F66" w:rsidRDefault="00D32F66" w:rsidP="00D32F66">
      <w:pPr>
        <w:rPr>
          <w:szCs w:val="24"/>
        </w:rPr>
      </w:pPr>
      <w:r>
        <w:rPr>
          <w:szCs w:val="24"/>
        </w:rPr>
        <w:t xml:space="preserve">On December 3, 2010, the </w:t>
      </w:r>
      <w:r w:rsidR="00151B6E">
        <w:rPr>
          <w:szCs w:val="24"/>
        </w:rPr>
        <w:t>ALJ</w:t>
      </w:r>
      <w:r>
        <w:rPr>
          <w:szCs w:val="24"/>
        </w:rPr>
        <w:t xml:space="preserve"> conducted a telephonic conference with TESI, </w:t>
      </w:r>
      <w:r w:rsidR="00716914">
        <w:rPr>
          <w:szCs w:val="24"/>
        </w:rPr>
        <w:t xml:space="preserve">the </w:t>
      </w:r>
      <w:r>
        <w:rPr>
          <w:szCs w:val="24"/>
        </w:rPr>
        <w:t xml:space="preserve">OCA and </w:t>
      </w:r>
      <w:r w:rsidR="00716914">
        <w:rPr>
          <w:szCs w:val="24"/>
        </w:rPr>
        <w:t xml:space="preserve">the </w:t>
      </w:r>
      <w:r>
        <w:rPr>
          <w:szCs w:val="24"/>
        </w:rPr>
        <w:t>OTS to discuss concern</w:t>
      </w:r>
      <w:r w:rsidR="00716914">
        <w:rPr>
          <w:szCs w:val="24"/>
        </w:rPr>
        <w:t xml:space="preserve">s about the proposed </w:t>
      </w:r>
      <w:r w:rsidR="00C53283">
        <w:rPr>
          <w:szCs w:val="24"/>
        </w:rPr>
        <w:t xml:space="preserve">Water </w:t>
      </w:r>
      <w:r w:rsidR="00716914">
        <w:rPr>
          <w:szCs w:val="24"/>
        </w:rPr>
        <w:t>Settlement.</w:t>
      </w:r>
      <w:r>
        <w:rPr>
          <w:szCs w:val="24"/>
        </w:rPr>
        <w:t xml:space="preserve">  Thereafter, on December 20, 2010, the signatories to the proposed </w:t>
      </w:r>
      <w:r w:rsidR="00C53283">
        <w:rPr>
          <w:szCs w:val="24"/>
        </w:rPr>
        <w:t xml:space="preserve">Water </w:t>
      </w:r>
      <w:r>
        <w:rPr>
          <w:szCs w:val="24"/>
        </w:rPr>
        <w:t xml:space="preserve">Settlement amended the Settlement by filing </w:t>
      </w:r>
      <w:r w:rsidR="00575F4F">
        <w:rPr>
          <w:szCs w:val="24"/>
        </w:rPr>
        <w:t>the A</w:t>
      </w:r>
      <w:r>
        <w:rPr>
          <w:szCs w:val="24"/>
        </w:rPr>
        <w:t>ddendum to Joint Petition for Settlement of Rate Investigation</w:t>
      </w:r>
      <w:r w:rsidR="00EA1BA1">
        <w:rPr>
          <w:szCs w:val="24"/>
        </w:rPr>
        <w:t xml:space="preserve"> (Settlement Addendum)</w:t>
      </w:r>
      <w:r>
        <w:rPr>
          <w:szCs w:val="24"/>
        </w:rPr>
        <w:t xml:space="preserve">, which </w:t>
      </w:r>
      <w:r w:rsidR="00EA1BA1">
        <w:rPr>
          <w:szCs w:val="24"/>
        </w:rPr>
        <w:t>wa</w:t>
      </w:r>
      <w:r>
        <w:rPr>
          <w:szCs w:val="24"/>
        </w:rPr>
        <w:t xml:space="preserve">s served upon all </w:t>
      </w:r>
      <w:r w:rsidR="00EA1BA1">
        <w:rPr>
          <w:szCs w:val="24"/>
        </w:rPr>
        <w:t>P</w:t>
      </w:r>
      <w:r>
        <w:rPr>
          <w:szCs w:val="24"/>
        </w:rPr>
        <w:t>arties.</w:t>
      </w:r>
    </w:p>
    <w:p w:rsidR="00D32F66" w:rsidRDefault="00D32F66" w:rsidP="00D32F66">
      <w:pPr>
        <w:rPr>
          <w:szCs w:val="24"/>
        </w:rPr>
      </w:pPr>
    </w:p>
    <w:p w:rsidR="00D32F66" w:rsidRDefault="00716914" w:rsidP="00D32F66">
      <w:pPr>
        <w:rPr>
          <w:szCs w:val="24"/>
        </w:rPr>
      </w:pPr>
      <w:r>
        <w:rPr>
          <w:szCs w:val="24"/>
        </w:rPr>
        <w:t xml:space="preserve">There were no comments or objections filed on the proposed </w:t>
      </w:r>
      <w:r w:rsidR="008C590C">
        <w:rPr>
          <w:szCs w:val="24"/>
        </w:rPr>
        <w:t>S</w:t>
      </w:r>
      <w:r>
        <w:rPr>
          <w:szCs w:val="24"/>
        </w:rPr>
        <w:t>ettlement</w:t>
      </w:r>
      <w:r w:rsidR="00C53283">
        <w:rPr>
          <w:szCs w:val="24"/>
        </w:rPr>
        <w:t>s</w:t>
      </w:r>
      <w:r w:rsidR="008C590C">
        <w:rPr>
          <w:szCs w:val="24"/>
        </w:rPr>
        <w:t xml:space="preserve"> on or before </w:t>
      </w:r>
      <w:r w:rsidR="00D32F66">
        <w:rPr>
          <w:szCs w:val="24"/>
        </w:rPr>
        <w:t xml:space="preserve">December 13, 2010.  </w:t>
      </w:r>
      <w:r w:rsidR="00112D42">
        <w:rPr>
          <w:szCs w:val="24"/>
        </w:rPr>
        <w:t>O</w:t>
      </w:r>
      <w:r w:rsidR="00D32F66">
        <w:rPr>
          <w:szCs w:val="24"/>
        </w:rPr>
        <w:t xml:space="preserve">n December 21, 2010, the </w:t>
      </w:r>
      <w:r w:rsidR="008C590C">
        <w:rPr>
          <w:szCs w:val="24"/>
        </w:rPr>
        <w:t xml:space="preserve">ALJ </w:t>
      </w:r>
      <w:r w:rsidR="00D32F66">
        <w:rPr>
          <w:szCs w:val="24"/>
        </w:rPr>
        <w:t>issued an Interim Order which closed the record</w:t>
      </w:r>
      <w:r w:rsidR="00D32F66" w:rsidRPr="00F076C3">
        <w:rPr>
          <w:szCs w:val="24"/>
        </w:rPr>
        <w:t>.</w:t>
      </w:r>
      <w:r w:rsidR="00D32F66">
        <w:rPr>
          <w:szCs w:val="24"/>
        </w:rPr>
        <w:t xml:space="preserve">  </w:t>
      </w:r>
    </w:p>
    <w:p w:rsidR="00112D42" w:rsidRDefault="00112D42" w:rsidP="00D32F66">
      <w:pPr>
        <w:rPr>
          <w:szCs w:val="24"/>
        </w:rPr>
      </w:pPr>
    </w:p>
    <w:p w:rsidR="00112D42" w:rsidRDefault="00112D42" w:rsidP="00D32F66">
      <w:pPr>
        <w:rPr>
          <w:szCs w:val="24"/>
        </w:rPr>
      </w:pPr>
      <w:r>
        <w:rPr>
          <w:szCs w:val="24"/>
        </w:rPr>
        <w:t xml:space="preserve">The ALJ’s Recommended Decision was issued on January 3, 2011.  The ALJ, </w:t>
      </w:r>
      <w:r w:rsidRPr="00B96AF8">
        <w:rPr>
          <w:i/>
          <w:szCs w:val="24"/>
        </w:rPr>
        <w:t>inter alia,</w:t>
      </w:r>
      <w:r>
        <w:rPr>
          <w:szCs w:val="24"/>
        </w:rPr>
        <w:t xml:space="preserve"> recommended the adoption of the Settlements and </w:t>
      </w:r>
      <w:r w:rsidR="00B96AF8">
        <w:rPr>
          <w:szCs w:val="24"/>
        </w:rPr>
        <w:t xml:space="preserve">also recommended that </w:t>
      </w:r>
      <w:r w:rsidR="00E570CD">
        <w:rPr>
          <w:szCs w:val="24"/>
        </w:rPr>
        <w:t>additional measures be established to address</w:t>
      </w:r>
      <w:r w:rsidR="00E44F7F">
        <w:rPr>
          <w:szCs w:val="24"/>
        </w:rPr>
        <w:t xml:space="preserve"> </w:t>
      </w:r>
      <w:r w:rsidR="00B641AB">
        <w:rPr>
          <w:szCs w:val="24"/>
        </w:rPr>
        <w:t xml:space="preserve">the issue of </w:t>
      </w:r>
      <w:r w:rsidR="00E44F7F">
        <w:rPr>
          <w:szCs w:val="24"/>
        </w:rPr>
        <w:t>unaccounted-</w:t>
      </w:r>
      <w:r w:rsidR="00DE3835">
        <w:rPr>
          <w:szCs w:val="24"/>
        </w:rPr>
        <w:t xml:space="preserve">for water.  </w:t>
      </w:r>
      <w:r w:rsidR="00641B02">
        <w:rPr>
          <w:szCs w:val="24"/>
        </w:rPr>
        <w:t>On January 20, 2011, TESI filed Exceptions to the Recommend</w:t>
      </w:r>
      <w:r w:rsidR="00F20EB4">
        <w:rPr>
          <w:szCs w:val="24"/>
        </w:rPr>
        <w:t xml:space="preserve"> Decision</w:t>
      </w:r>
      <w:r w:rsidR="00B641AB">
        <w:rPr>
          <w:szCs w:val="24"/>
        </w:rPr>
        <w:t>,</w:t>
      </w:r>
      <w:r w:rsidR="00F20EB4">
        <w:rPr>
          <w:szCs w:val="24"/>
        </w:rPr>
        <w:t xml:space="preserve"> </w:t>
      </w:r>
      <w:r w:rsidR="00641B02">
        <w:rPr>
          <w:szCs w:val="24"/>
        </w:rPr>
        <w:t xml:space="preserve">wherein it opposed the </w:t>
      </w:r>
      <w:r w:rsidR="00F20EB4">
        <w:rPr>
          <w:szCs w:val="24"/>
        </w:rPr>
        <w:t>additional conditions recommended by the ALJ that were not addressed in the Settlement.</w:t>
      </w:r>
    </w:p>
    <w:p w:rsidR="00F06FED" w:rsidRDefault="00F06FED" w:rsidP="00F06FED">
      <w:pPr>
        <w:pStyle w:val="Heading1"/>
      </w:pPr>
      <w:r>
        <w:t>III.</w:t>
      </w:r>
      <w:r>
        <w:tab/>
        <w:t>Discussion</w:t>
      </w:r>
    </w:p>
    <w:p w:rsidR="00AD5DB2" w:rsidRPr="00AD5DB2" w:rsidRDefault="00AD5DB2" w:rsidP="00AD5DB2">
      <w:pPr>
        <w:spacing w:line="240" w:lineRule="auto"/>
      </w:pPr>
    </w:p>
    <w:p w:rsidR="00AD5DB2" w:rsidRPr="00374306" w:rsidRDefault="00AD5DB2" w:rsidP="00AD5DB2">
      <w:r w:rsidRPr="00374306">
        <w:t xml:space="preserve">The purpose of this investigation is to establish rates for </w:t>
      </w:r>
      <w:r>
        <w:t>TESI</w:t>
      </w:r>
      <w:r w:rsidRPr="00374306">
        <w:t xml:space="preserve"> customers which are “just and reasonable” pursuant to Section 1301 of the Public Utility Code</w:t>
      </w:r>
      <w:r>
        <w:t xml:space="preserve"> (Code)</w:t>
      </w:r>
      <w:r w:rsidRPr="00374306">
        <w:t xml:space="preserve">, </w:t>
      </w:r>
      <w:r>
        <w:t>66 </w:t>
      </w:r>
      <w:r w:rsidRPr="00374306">
        <w:t>Pa.</w:t>
      </w:r>
      <w:r>
        <w:t xml:space="preserve"> </w:t>
      </w:r>
      <w:r w:rsidRPr="00374306">
        <w:t>C.S. § 1301.</w:t>
      </w:r>
      <w:r>
        <w:t xml:space="preserve">  A public</w:t>
      </w:r>
      <w:r w:rsidRPr="00374306">
        <w:t xml:space="preserve"> utility seeking a general rate increase is entitled to an opportunity to earn a fair rate of return on the value of the property dedicated to public service.  </w:t>
      </w:r>
      <w:proofErr w:type="gramStart"/>
      <w:r w:rsidRPr="00374306">
        <w:rPr>
          <w:i/>
        </w:rPr>
        <w:t>Pennsylvania Gas and Water Co. v. Pennsylvania Pub.</w:t>
      </w:r>
      <w:proofErr w:type="gramEnd"/>
      <w:r w:rsidRPr="00374306">
        <w:rPr>
          <w:i/>
        </w:rPr>
        <w:t xml:space="preserve"> </w:t>
      </w:r>
      <w:proofErr w:type="gramStart"/>
      <w:r w:rsidRPr="00374306">
        <w:rPr>
          <w:i/>
        </w:rPr>
        <w:t xml:space="preserve">Util. </w:t>
      </w:r>
      <w:proofErr w:type="spellStart"/>
      <w:r w:rsidRPr="00374306">
        <w:rPr>
          <w:i/>
        </w:rPr>
        <w:t>Comm’n</w:t>
      </w:r>
      <w:proofErr w:type="spellEnd"/>
      <w:r w:rsidRPr="00374306">
        <w:t>, 341 A.2d 239 (Pa. Cmwlth. 1975).</w:t>
      </w:r>
      <w:proofErr w:type="gramEnd"/>
      <w:r w:rsidRPr="00374306">
        <w:t xml:space="preserve">  In determining what constitutes a fair rate of return, the Commission is guided by the criteria set forth in </w:t>
      </w:r>
      <w:r w:rsidRPr="00374306">
        <w:rPr>
          <w:i/>
        </w:rPr>
        <w:t xml:space="preserve">Bluefield Water Works and Improvement </w:t>
      </w:r>
      <w:r w:rsidRPr="00374306">
        <w:rPr>
          <w:i/>
        </w:rPr>
        <w:lastRenderedPageBreak/>
        <w:t xml:space="preserve">Co. v. Public Service </w:t>
      </w:r>
      <w:proofErr w:type="spellStart"/>
      <w:r w:rsidRPr="00374306">
        <w:rPr>
          <w:i/>
        </w:rPr>
        <w:t>Comm’n</w:t>
      </w:r>
      <w:proofErr w:type="spellEnd"/>
      <w:r w:rsidRPr="00374306">
        <w:rPr>
          <w:i/>
        </w:rPr>
        <w:t xml:space="preserve"> of West Virginia,</w:t>
      </w:r>
      <w:r w:rsidRPr="00374306">
        <w:t xml:space="preserve"> 262 U.S. 679 (1923) and </w:t>
      </w:r>
      <w:r w:rsidRPr="00374306">
        <w:rPr>
          <w:i/>
        </w:rPr>
        <w:t xml:space="preserve">Federal Power </w:t>
      </w:r>
      <w:proofErr w:type="spellStart"/>
      <w:r w:rsidRPr="00374306">
        <w:rPr>
          <w:i/>
        </w:rPr>
        <w:t>Comm’n</w:t>
      </w:r>
      <w:proofErr w:type="spellEnd"/>
      <w:r w:rsidRPr="00374306">
        <w:rPr>
          <w:i/>
        </w:rPr>
        <w:t xml:space="preserve"> v. Hope Natural Gas Co.</w:t>
      </w:r>
      <w:r w:rsidRPr="00374306">
        <w:t xml:space="preserve">, 320 U.S. 591 (1944).  In </w:t>
      </w:r>
      <w:r w:rsidRPr="00374306">
        <w:rPr>
          <w:i/>
        </w:rPr>
        <w:t>Bluefield</w:t>
      </w:r>
      <w:r w:rsidRPr="00374306">
        <w:t xml:space="preserve"> the United States Supreme Court stated:</w:t>
      </w:r>
    </w:p>
    <w:p w:rsidR="00AD5DB2" w:rsidRPr="00374306" w:rsidRDefault="00AD5DB2" w:rsidP="00AD5DB2"/>
    <w:p w:rsidR="00AD5DB2" w:rsidRPr="00374306" w:rsidRDefault="00AD5DB2" w:rsidP="00AD5DB2">
      <w:pPr>
        <w:spacing w:line="240" w:lineRule="auto"/>
        <w:ind w:left="1440" w:right="1440" w:firstLine="0"/>
      </w:pPr>
      <w:r w:rsidRPr="00374306">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AD5DB2" w:rsidRPr="00374306" w:rsidRDefault="00AD5DB2" w:rsidP="00AD5DB2">
      <w:pPr>
        <w:spacing w:line="240" w:lineRule="auto"/>
        <w:ind w:left="1440" w:right="1440"/>
      </w:pPr>
    </w:p>
    <w:p w:rsidR="00AD5DB2" w:rsidRPr="00374306" w:rsidRDefault="00AD5DB2" w:rsidP="00AD5DB2">
      <w:pPr>
        <w:pStyle w:val="BodyText"/>
        <w:spacing w:line="240" w:lineRule="auto"/>
        <w:rPr>
          <w:szCs w:val="26"/>
        </w:rPr>
      </w:pPr>
      <w:r w:rsidRPr="00374306">
        <w:rPr>
          <w:i/>
          <w:szCs w:val="26"/>
        </w:rPr>
        <w:t>Bluefield</w:t>
      </w:r>
      <w:r>
        <w:rPr>
          <w:i/>
          <w:szCs w:val="26"/>
        </w:rPr>
        <w:t xml:space="preserve">, </w:t>
      </w:r>
      <w:r>
        <w:rPr>
          <w:szCs w:val="26"/>
        </w:rPr>
        <w:t>262 U.S. at 692-3</w:t>
      </w:r>
      <w:r w:rsidRPr="00374306">
        <w:rPr>
          <w:szCs w:val="26"/>
        </w:rPr>
        <w:t>.</w:t>
      </w:r>
    </w:p>
    <w:p w:rsidR="00A13D34" w:rsidRDefault="00A13D34" w:rsidP="00CF0FFB"/>
    <w:p w:rsidR="00CF0FFB" w:rsidRDefault="007A1598" w:rsidP="00CF0FFB">
      <w:r>
        <w:t xml:space="preserve">The ALJ recommended, </w:t>
      </w:r>
      <w:r w:rsidRPr="007A1598">
        <w:rPr>
          <w:i/>
        </w:rPr>
        <w:t>inter alia</w:t>
      </w:r>
      <w:r>
        <w:t xml:space="preserve">, that we adopt the Water Settlement and </w:t>
      </w:r>
      <w:r w:rsidR="006F582C">
        <w:t xml:space="preserve">the </w:t>
      </w:r>
      <w:r>
        <w:t xml:space="preserve">Wastewater Settlement </w:t>
      </w:r>
      <w:r w:rsidR="00E570CD">
        <w:t>which</w:t>
      </w:r>
      <w:r w:rsidR="006F582C">
        <w:t xml:space="preserve"> do not make any specific findings regarding a fair rate of return.  Instead, the Parties </w:t>
      </w:r>
      <w:r w:rsidR="0019581F">
        <w:t xml:space="preserve">to the Settlements </w:t>
      </w:r>
      <w:r w:rsidR="00F54B6E">
        <w:t>request</w:t>
      </w:r>
      <w:r w:rsidR="006F582C">
        <w:t xml:space="preserve"> that </w:t>
      </w:r>
      <w:r w:rsidR="00396C0E">
        <w:t xml:space="preserve">the Commission </w:t>
      </w:r>
      <w:r w:rsidR="006F582C">
        <w:t xml:space="preserve">find that </w:t>
      </w:r>
      <w:r w:rsidR="0019581F">
        <w:t>specific increases in annual water and</w:t>
      </w:r>
      <w:r w:rsidR="006F582C">
        <w:t xml:space="preserve"> </w:t>
      </w:r>
      <w:r w:rsidR="0019581F">
        <w:t>wastewater service revenue</w:t>
      </w:r>
      <w:r w:rsidR="00B641AB">
        <w:t>,</w:t>
      </w:r>
      <w:r w:rsidR="0019581F">
        <w:t xml:space="preserve"> and corresponding changes in rates are fair, just and reasonable, and therefore, in the public interest.  </w:t>
      </w:r>
      <w:r w:rsidR="004838E3">
        <w:t xml:space="preserve">By making that </w:t>
      </w:r>
      <w:r w:rsidR="00F54B6E">
        <w:t>request,</w:t>
      </w:r>
      <w:r w:rsidR="004838E3">
        <w:t xml:space="preserve"> the Parties </w:t>
      </w:r>
      <w:r w:rsidR="00B641AB">
        <w:t>agree</w:t>
      </w:r>
      <w:r w:rsidR="00F54B6E">
        <w:t xml:space="preserve"> that the rates set forth in the Settlements are designed to yield a fair rate of return.</w:t>
      </w:r>
      <w:r w:rsidR="0019581F">
        <w:t xml:space="preserve"> </w:t>
      </w:r>
    </w:p>
    <w:p w:rsidR="00AD5DB2" w:rsidRPr="00A13D34" w:rsidRDefault="00AD5DB2" w:rsidP="00A13D34">
      <w:pPr>
        <w:spacing w:line="240" w:lineRule="auto"/>
      </w:pPr>
    </w:p>
    <w:p w:rsidR="00A13D34" w:rsidRDefault="00A13D34" w:rsidP="00A13D34">
      <w:pPr>
        <w:rPr>
          <w:iCs/>
        </w:rPr>
      </w:pPr>
      <w:r>
        <w:rPr>
          <w:snapToGrid w:val="0"/>
        </w:rPr>
        <w:t xml:space="preserve">Section 332(a) of the Code, 66 Pa. C.S. §332(a),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t>
      </w:r>
      <w:r>
        <w:rPr>
          <w:snapToGrid w:val="0"/>
        </w:rPr>
        <w:lastRenderedPageBreak/>
        <w:t xml:space="preserve">which is substantial and legally credible.”  </w:t>
      </w:r>
      <w:proofErr w:type="gramStart"/>
      <w:r>
        <w:rPr>
          <w:i/>
          <w:snapToGrid w:val="0"/>
        </w:rPr>
        <w:t xml:space="preserve">Samuel J. </w:t>
      </w:r>
      <w:proofErr w:type="spellStart"/>
      <w:r>
        <w:rPr>
          <w:i/>
          <w:snapToGrid w:val="0"/>
        </w:rPr>
        <w:t>Lansberry</w:t>
      </w:r>
      <w:proofErr w:type="spellEnd"/>
      <w:r>
        <w:rPr>
          <w:i/>
          <w:snapToGrid w:val="0"/>
        </w:rPr>
        <w:t>, Inc. v. Pa. PUC</w:t>
      </w:r>
      <w:r>
        <w:rPr>
          <w:snapToGrid w:val="0"/>
        </w:rPr>
        <w:t>, 578</w:t>
      </w:r>
      <w:r w:rsidRPr="00797A0E">
        <w:rPr>
          <w:rFonts w:cs="Arial"/>
          <w:bCs/>
          <w:szCs w:val="18"/>
        </w:rPr>
        <w:t xml:space="preserve"> A.2d 6</w:t>
      </w:r>
      <w:r>
        <w:rPr>
          <w:rFonts w:cs="Arial"/>
          <w:bCs/>
          <w:szCs w:val="18"/>
        </w:rPr>
        <w:t xml:space="preserve">00, 602 (Pa. Cmwlth. 1990), </w:t>
      </w:r>
      <w:proofErr w:type="spellStart"/>
      <w:r w:rsidRPr="00E917E9">
        <w:rPr>
          <w:rFonts w:cs="Arial"/>
          <w:bCs/>
          <w:i/>
          <w:szCs w:val="18"/>
        </w:rPr>
        <w:t>alloc</w:t>
      </w:r>
      <w:proofErr w:type="spellEnd"/>
      <w:r w:rsidRPr="00E917E9">
        <w:rPr>
          <w:rFonts w:cs="Arial"/>
          <w:bCs/>
          <w:i/>
          <w:szCs w:val="18"/>
        </w:rPr>
        <w:t>.</w:t>
      </w:r>
      <w:proofErr w:type="gramEnd"/>
      <w:r w:rsidRPr="00E917E9">
        <w:rPr>
          <w:rFonts w:cs="Arial"/>
          <w:bCs/>
          <w:i/>
          <w:szCs w:val="18"/>
        </w:rPr>
        <w:t xml:space="preserve"> </w:t>
      </w:r>
      <w:proofErr w:type="gramStart"/>
      <w:r w:rsidRPr="00E917E9">
        <w:rPr>
          <w:rFonts w:cs="Arial"/>
          <w:bCs/>
          <w:i/>
          <w:szCs w:val="18"/>
        </w:rPr>
        <w:t>denied</w:t>
      </w:r>
      <w:proofErr w:type="gramEnd"/>
      <w:r>
        <w:rPr>
          <w:rFonts w:cs="Arial"/>
          <w:bCs/>
          <w:szCs w:val="18"/>
        </w:rPr>
        <w:t>, 529 Pa. 654,602 A.2d 863 (1992).  T</w:t>
      </w:r>
      <w:r>
        <w:rPr>
          <w:iCs/>
        </w:rPr>
        <w:t xml:space="preserve">he term “preponderance of the evidence” means that one party has presented evidence that is more convincing, by even the smallest amount, than the evidence presented by the other party.  </w:t>
      </w:r>
      <w:proofErr w:type="gramStart"/>
      <w:r>
        <w:rPr>
          <w:i/>
          <w:iCs/>
        </w:rPr>
        <w:t xml:space="preserve">Se-ling Hosiery v. Margulies, </w:t>
      </w:r>
      <w:r>
        <w:rPr>
          <w:iCs/>
        </w:rPr>
        <w:t>364 Pa. 45.70 A.2d 857 (1950).</w:t>
      </w:r>
      <w:proofErr w:type="gramEnd"/>
      <w:r>
        <w:rPr>
          <w:iCs/>
        </w:rPr>
        <w:t xml:space="preserve">  In this instance, </w:t>
      </w:r>
      <w:r w:rsidR="00AD5DB2">
        <w:rPr>
          <w:iCs/>
        </w:rPr>
        <w:t>TESI</w:t>
      </w:r>
      <w:r>
        <w:rPr>
          <w:iCs/>
        </w:rPr>
        <w:t xml:space="preserve"> has the burden of proof.</w:t>
      </w:r>
    </w:p>
    <w:p w:rsidR="00D364F6" w:rsidRDefault="00D364F6" w:rsidP="00A13D34">
      <w:pPr>
        <w:rPr>
          <w:iCs/>
        </w:rPr>
      </w:pPr>
    </w:p>
    <w:p w:rsidR="00E64828" w:rsidRPr="00E64828" w:rsidRDefault="00E863DB" w:rsidP="00E863DB">
      <w:pPr>
        <w:pStyle w:val="Heading2"/>
      </w:pPr>
      <w:bookmarkStart w:id="0" w:name="_Toc271015508"/>
      <w:r>
        <w:tab/>
      </w:r>
      <w:r w:rsidR="00E64828" w:rsidRPr="00E64828">
        <w:t>Terms of the Settlement</w:t>
      </w:r>
      <w:r>
        <w:t>s</w:t>
      </w:r>
      <w:bookmarkEnd w:id="0"/>
    </w:p>
    <w:p w:rsidR="00E64828" w:rsidRDefault="00E64828" w:rsidP="00D364F6">
      <w:pPr>
        <w:keepNext/>
        <w:spacing w:line="240" w:lineRule="auto"/>
      </w:pPr>
    </w:p>
    <w:p w:rsidR="00E64828" w:rsidRDefault="00E64828" w:rsidP="00E64828">
      <w:pPr>
        <w:keepNext/>
      </w:pPr>
      <w:r w:rsidRPr="000D6043">
        <w:t>Pursuant to our Regulations at 52 Pa. Code §</w:t>
      </w:r>
      <w:r>
        <w:t xml:space="preserve"> </w:t>
      </w:r>
      <w:r w:rsidRPr="000D6043">
        <w:t xml:space="preserve">5.231, it is the Commission’s policy to promote settlements.  </w:t>
      </w:r>
      <w:r>
        <w:t>T</w:t>
      </w:r>
      <w:r w:rsidRPr="000D6043">
        <w:t>he Commission must</w:t>
      </w:r>
      <w:r>
        <w:t>, however,</w:t>
      </w:r>
      <w:r w:rsidRPr="000D6043">
        <w:t xml:space="preserve"> review proposed settlements to determine whether the terms are in the public interest.</w:t>
      </w:r>
      <w:r>
        <w:t xml:space="preserve"> </w:t>
      </w:r>
      <w:r w:rsidRPr="000D6043">
        <w:t xml:space="preserve"> </w:t>
      </w:r>
      <w:proofErr w:type="gramStart"/>
      <w:r w:rsidRPr="00416218">
        <w:rPr>
          <w:i/>
        </w:rPr>
        <w:t>Pa. PUC v. Philadelphia Gas Works</w:t>
      </w:r>
      <w:r w:rsidRPr="00416218">
        <w:t>, M-00031768 (January</w:t>
      </w:r>
      <w:r>
        <w:t xml:space="preserve"> </w:t>
      </w:r>
      <w:r w:rsidRPr="00416218">
        <w:t>7, 2004)</w:t>
      </w:r>
      <w:r>
        <w:t xml:space="preserve">; </w:t>
      </w:r>
      <w:r w:rsidRPr="00416218">
        <w:rPr>
          <w:i/>
        </w:rPr>
        <w:t>Pa. PUC</w:t>
      </w:r>
      <w:r>
        <w:rPr>
          <w:i/>
        </w:rPr>
        <w:t xml:space="preserve"> </w:t>
      </w:r>
      <w:r w:rsidRPr="00416218">
        <w:rPr>
          <w:i/>
        </w:rPr>
        <w:t>v. C S Water and Sewer Assoc.</w:t>
      </w:r>
      <w:r w:rsidRPr="00416218">
        <w:t>, 74 Pa.</w:t>
      </w:r>
      <w:r>
        <w:t xml:space="preserve"> </w:t>
      </w:r>
      <w:r w:rsidRPr="00416218">
        <w:t>P</w:t>
      </w:r>
      <w:r>
        <w:t>.</w:t>
      </w:r>
      <w:r w:rsidRPr="00416218">
        <w:t>U</w:t>
      </w:r>
      <w:r>
        <w:t>.</w:t>
      </w:r>
      <w:r w:rsidRPr="00416218">
        <w:t>C</w:t>
      </w:r>
      <w:r>
        <w:t>.</w:t>
      </w:r>
      <w:r w:rsidRPr="00416218">
        <w:t xml:space="preserve"> 767 (1991); </w:t>
      </w:r>
      <w:r w:rsidRPr="00416218">
        <w:rPr>
          <w:i/>
        </w:rPr>
        <w:t>Pa. PUC</w:t>
      </w:r>
      <w:r>
        <w:rPr>
          <w:i/>
        </w:rPr>
        <w:t xml:space="preserve"> </w:t>
      </w:r>
      <w:r w:rsidRPr="00416218">
        <w:rPr>
          <w:i/>
        </w:rPr>
        <w:t>v. Philadelphia Electric Co.</w:t>
      </w:r>
      <w:r w:rsidRPr="00416218">
        <w:t>, 60 Pa.</w:t>
      </w:r>
      <w:r>
        <w:t xml:space="preserve"> </w:t>
      </w:r>
      <w:r w:rsidRPr="00416218">
        <w:t>P</w:t>
      </w:r>
      <w:r>
        <w:t>.</w:t>
      </w:r>
      <w:r w:rsidRPr="00416218">
        <w:t>U</w:t>
      </w:r>
      <w:r>
        <w:t>.</w:t>
      </w:r>
      <w:r w:rsidRPr="00416218">
        <w:t>C</w:t>
      </w:r>
      <w:r>
        <w:t>.</w:t>
      </w:r>
      <w:r w:rsidRPr="00416218">
        <w:t xml:space="preserve"> 1 (1985</w:t>
      </w:r>
      <w:r>
        <w:t>)</w:t>
      </w:r>
      <w:r w:rsidRPr="00416218">
        <w:t>.</w:t>
      </w:r>
      <w:proofErr w:type="gramEnd"/>
    </w:p>
    <w:p w:rsidR="00E863DB" w:rsidRDefault="00E863DB" w:rsidP="00E64828">
      <w:pPr>
        <w:keepNext/>
      </w:pPr>
    </w:p>
    <w:p w:rsidR="00E863DB" w:rsidRDefault="00E863DB" w:rsidP="00E863DB">
      <w:r>
        <w:t>The following discussion is intended to be a summary of the terms of the Settlement</w:t>
      </w:r>
      <w:r w:rsidR="00E86524">
        <w:t>s</w:t>
      </w:r>
      <w:r w:rsidR="00D92474">
        <w:t xml:space="preserve"> and</w:t>
      </w:r>
      <w:r w:rsidR="00B641AB">
        <w:t>,</w:t>
      </w:r>
      <w:r w:rsidR="00D92474">
        <w:t xml:space="preserve"> </w:t>
      </w:r>
      <w:r w:rsidR="00B641AB">
        <w:t xml:space="preserve">accordingly, </w:t>
      </w:r>
      <w:r w:rsidR="00D92474">
        <w:t xml:space="preserve">not every detail </w:t>
      </w:r>
      <w:r>
        <w:t>has been reflected.  Consequently, th</w:t>
      </w:r>
      <w:r w:rsidR="002D6A25">
        <w:t xml:space="preserve">e omission of any details of the Settlements </w:t>
      </w:r>
      <w:r>
        <w:t>should not be interpreted as amending the provisions of the Settlement</w:t>
      </w:r>
      <w:r w:rsidR="00D364F6">
        <w:t>s</w:t>
      </w:r>
      <w:r>
        <w:t>.</w:t>
      </w:r>
    </w:p>
    <w:p w:rsidR="00E863DB" w:rsidRDefault="00E863DB" w:rsidP="00E863DB"/>
    <w:p w:rsidR="00E863DB" w:rsidRDefault="00031FC9" w:rsidP="00220CA6">
      <w:pPr>
        <w:pStyle w:val="Heading3"/>
      </w:pPr>
      <w:r w:rsidRPr="00A3778D">
        <w:t>Water</w:t>
      </w:r>
      <w:r>
        <w:t xml:space="preserve"> </w:t>
      </w:r>
      <w:r w:rsidRPr="00220CA6">
        <w:t>Service</w:t>
      </w:r>
    </w:p>
    <w:p w:rsidR="006C286C" w:rsidRPr="006C286C" w:rsidRDefault="006C286C" w:rsidP="00220CA6">
      <w:pPr>
        <w:keepNext/>
        <w:spacing w:line="240" w:lineRule="auto"/>
      </w:pPr>
    </w:p>
    <w:p w:rsidR="00031FC9" w:rsidRDefault="006C286C" w:rsidP="00220CA6">
      <w:pPr>
        <w:pStyle w:val="Heading4"/>
      </w:pPr>
      <w:r>
        <w:t>Operating Revenue and Rates</w:t>
      </w:r>
    </w:p>
    <w:p w:rsidR="006C286C" w:rsidRPr="006C286C" w:rsidRDefault="006C286C" w:rsidP="00220CA6">
      <w:pPr>
        <w:keepNext/>
        <w:spacing w:line="240" w:lineRule="auto"/>
      </w:pPr>
    </w:p>
    <w:p w:rsidR="00031FC9" w:rsidRDefault="005F33A1" w:rsidP="00220CA6">
      <w:pPr>
        <w:keepNext/>
      </w:pPr>
      <w:r>
        <w:t>Under the terms o</w:t>
      </w:r>
      <w:r w:rsidR="00D16A72">
        <w:t>f</w:t>
      </w:r>
      <w:r>
        <w:t xml:space="preserve"> the proposed Water Settlement, </w:t>
      </w:r>
      <w:r w:rsidR="00031FC9">
        <w:t xml:space="preserve">TESI </w:t>
      </w:r>
      <w:r>
        <w:t xml:space="preserve">would be </w:t>
      </w:r>
      <w:r w:rsidR="00031FC9">
        <w:t>authorized to file tariff supplements containing the rates set forth in Appendix A</w:t>
      </w:r>
      <w:r w:rsidR="00B641AB">
        <w:t>,</w:t>
      </w:r>
      <w:r w:rsidR="00031FC9">
        <w:t xml:space="preserve"> which are designed to produce additional operating revenues </w:t>
      </w:r>
      <w:r w:rsidR="00D364F6">
        <w:t>of approximately</w:t>
      </w:r>
      <w:r w:rsidR="00031FC9">
        <w:t xml:space="preserve"> of $244,917 (</w:t>
      </w:r>
      <w:r w:rsidR="00712EE9">
        <w:t xml:space="preserve">Water </w:t>
      </w:r>
      <w:r w:rsidR="00774574">
        <w:t>S</w:t>
      </w:r>
      <w:r w:rsidR="00031FC9">
        <w:t xml:space="preserve">ettlement </w:t>
      </w:r>
      <w:r w:rsidR="00774574">
        <w:t>r</w:t>
      </w:r>
      <w:r w:rsidR="00031FC9">
        <w:t xml:space="preserve">ates).  The </w:t>
      </w:r>
      <w:r w:rsidR="00712EE9">
        <w:t xml:space="preserve">Water </w:t>
      </w:r>
      <w:r w:rsidR="00031FC9">
        <w:t xml:space="preserve">Settlement </w:t>
      </w:r>
      <w:r w:rsidR="00920499">
        <w:t>r</w:t>
      </w:r>
      <w:r w:rsidR="00031FC9">
        <w:t>ates are in substitution of the originally proposed rates in Supplement No. 4</w:t>
      </w:r>
      <w:r w:rsidR="00770D0E">
        <w:t xml:space="preserve">, </w:t>
      </w:r>
      <w:r w:rsidR="00031FC9">
        <w:t>to Tariff Water – Pa. P.U.C. No. 4</w:t>
      </w:r>
      <w:r w:rsidR="00770D0E">
        <w:t>,</w:t>
      </w:r>
      <w:r w:rsidR="00031FC9">
        <w:t xml:space="preserve"> which were </w:t>
      </w:r>
      <w:r w:rsidR="00031FC9">
        <w:lastRenderedPageBreak/>
        <w:t xml:space="preserve">designed to produce $376,183 in increased annual operating revenues.  The </w:t>
      </w:r>
      <w:r w:rsidR="00774574">
        <w:t>W</w:t>
      </w:r>
      <w:r w:rsidR="00712EE9">
        <w:t xml:space="preserve">ater </w:t>
      </w:r>
      <w:r w:rsidR="00774574">
        <w:t>S</w:t>
      </w:r>
      <w:r w:rsidR="00031FC9">
        <w:t xml:space="preserve">ettlement </w:t>
      </w:r>
      <w:r w:rsidR="00774574">
        <w:t>r</w:t>
      </w:r>
      <w:r w:rsidR="00031FC9">
        <w:t xml:space="preserve">ates are to become effective for service furnished upon the day after the Commission enters an Order approving the </w:t>
      </w:r>
      <w:r w:rsidR="00D16A72">
        <w:t>Settlement</w:t>
      </w:r>
      <w:r w:rsidR="00031FC9">
        <w:t>.</w:t>
      </w:r>
      <w:r w:rsidR="005D02A6">
        <w:t xml:space="preserve"> </w:t>
      </w:r>
      <w:proofErr w:type="gramStart"/>
      <w:r w:rsidR="005D02A6">
        <w:t xml:space="preserve">Water Settlement </w:t>
      </w:r>
      <w:r w:rsidR="00532CD6">
        <w:rPr>
          <w:rFonts w:cs="Times New Roman"/>
        </w:rPr>
        <w:t>¶</w:t>
      </w:r>
      <w:r w:rsidR="00532CD6">
        <w:t xml:space="preserve"> 14(a) at 5.</w:t>
      </w:r>
      <w:proofErr w:type="gramEnd"/>
    </w:p>
    <w:p w:rsidR="00031FC9" w:rsidRDefault="00031FC9" w:rsidP="006C286C"/>
    <w:p w:rsidR="00031FC9" w:rsidRDefault="0090158F" w:rsidP="006C286C">
      <w:r>
        <w:t>As reflected in Appendix A, t</w:t>
      </w:r>
      <w:r w:rsidR="00031FC9">
        <w:t xml:space="preserve">he </w:t>
      </w:r>
      <w:r w:rsidR="00774574">
        <w:t>W</w:t>
      </w:r>
      <w:r w:rsidR="00712EE9">
        <w:t xml:space="preserve">ater </w:t>
      </w:r>
      <w:r w:rsidR="00774574">
        <w:t>S</w:t>
      </w:r>
      <w:r w:rsidR="00031FC9">
        <w:t xml:space="preserve">ettlement </w:t>
      </w:r>
      <w:r w:rsidR="00774574">
        <w:t>r</w:t>
      </w:r>
      <w:r w:rsidR="00031FC9">
        <w:t xml:space="preserve">ates include the following allocation of the increase in annual operating revenues among the rate classes:  </w:t>
      </w:r>
    </w:p>
    <w:p w:rsidR="00E86524" w:rsidRDefault="00E86524" w:rsidP="006C286C"/>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2057"/>
        <w:gridCol w:w="2160"/>
      </w:tblGrid>
      <w:tr w:rsidR="00846157" w:rsidTr="001B5FBE">
        <w:tc>
          <w:tcPr>
            <w:tcW w:w="2070" w:type="dxa"/>
          </w:tcPr>
          <w:p w:rsidR="00846157" w:rsidRDefault="00846157" w:rsidP="00712EE9">
            <w:pPr>
              <w:keepNext/>
              <w:spacing w:after="120"/>
              <w:ind w:firstLine="0"/>
            </w:pPr>
          </w:p>
        </w:tc>
        <w:tc>
          <w:tcPr>
            <w:tcW w:w="0" w:type="auto"/>
          </w:tcPr>
          <w:p w:rsidR="00846157" w:rsidRPr="00712EE9" w:rsidRDefault="00846157" w:rsidP="00712EE9">
            <w:pPr>
              <w:keepNext/>
              <w:spacing w:after="120"/>
              <w:ind w:firstLine="0"/>
              <w:rPr>
                <w:u w:val="single"/>
              </w:rPr>
            </w:pPr>
            <w:r w:rsidRPr="00712EE9">
              <w:rPr>
                <w:u w:val="single"/>
              </w:rPr>
              <w:t>Revenue Increase</w:t>
            </w:r>
          </w:p>
        </w:tc>
        <w:tc>
          <w:tcPr>
            <w:tcW w:w="2160" w:type="dxa"/>
          </w:tcPr>
          <w:p w:rsidR="00846157" w:rsidRPr="00712EE9" w:rsidRDefault="00846157" w:rsidP="001B5FBE">
            <w:pPr>
              <w:keepNext/>
              <w:keepLines/>
              <w:spacing w:after="120"/>
              <w:ind w:firstLine="0"/>
              <w:rPr>
                <w:u w:val="single"/>
              </w:rPr>
            </w:pPr>
            <w:r w:rsidRPr="00712EE9">
              <w:rPr>
                <w:u w:val="single"/>
              </w:rPr>
              <w:t>Percent Increase</w:t>
            </w:r>
          </w:p>
        </w:tc>
      </w:tr>
      <w:tr w:rsidR="00846157" w:rsidTr="001B5FBE">
        <w:tc>
          <w:tcPr>
            <w:tcW w:w="2070" w:type="dxa"/>
          </w:tcPr>
          <w:p w:rsidR="00846157" w:rsidRDefault="00846157" w:rsidP="00712EE9">
            <w:pPr>
              <w:keepNext/>
              <w:spacing w:after="120"/>
              <w:ind w:firstLine="0"/>
            </w:pPr>
            <w:r>
              <w:t>Residential</w:t>
            </w:r>
          </w:p>
        </w:tc>
        <w:tc>
          <w:tcPr>
            <w:tcW w:w="0" w:type="auto"/>
          </w:tcPr>
          <w:p w:rsidR="00846157" w:rsidRDefault="00846157" w:rsidP="00712EE9">
            <w:pPr>
              <w:keepNext/>
              <w:spacing w:after="120"/>
              <w:ind w:right="432" w:firstLine="0"/>
              <w:jc w:val="right"/>
            </w:pPr>
            <w:r>
              <w:t>$225,924</w:t>
            </w:r>
          </w:p>
        </w:tc>
        <w:tc>
          <w:tcPr>
            <w:tcW w:w="2160" w:type="dxa"/>
          </w:tcPr>
          <w:p w:rsidR="00846157" w:rsidRDefault="001B5FBE" w:rsidP="00712EE9">
            <w:pPr>
              <w:keepNext/>
              <w:keepLines/>
              <w:spacing w:after="120"/>
              <w:ind w:right="432" w:firstLine="0"/>
              <w:jc w:val="right"/>
            </w:pPr>
            <w:r>
              <w:t>58.4%</w:t>
            </w:r>
          </w:p>
        </w:tc>
      </w:tr>
      <w:tr w:rsidR="00846157" w:rsidTr="001B5FBE">
        <w:tc>
          <w:tcPr>
            <w:tcW w:w="2070" w:type="dxa"/>
          </w:tcPr>
          <w:p w:rsidR="00846157" w:rsidRDefault="00846157" w:rsidP="00712EE9">
            <w:pPr>
              <w:keepNext/>
              <w:spacing w:after="120"/>
              <w:ind w:firstLine="0"/>
            </w:pPr>
            <w:r>
              <w:t>Commercial</w:t>
            </w:r>
          </w:p>
        </w:tc>
        <w:tc>
          <w:tcPr>
            <w:tcW w:w="0" w:type="auto"/>
          </w:tcPr>
          <w:p w:rsidR="00846157" w:rsidRDefault="00846157" w:rsidP="00712EE9">
            <w:pPr>
              <w:keepNext/>
              <w:spacing w:after="120"/>
              <w:ind w:right="432" w:firstLine="0"/>
              <w:jc w:val="right"/>
            </w:pPr>
            <w:r>
              <w:t>$7,589</w:t>
            </w:r>
          </w:p>
        </w:tc>
        <w:tc>
          <w:tcPr>
            <w:tcW w:w="2160" w:type="dxa"/>
          </w:tcPr>
          <w:p w:rsidR="00846157" w:rsidRDefault="001B5FBE" w:rsidP="001B5FBE">
            <w:pPr>
              <w:keepNext/>
              <w:keepLines/>
              <w:spacing w:after="120"/>
              <w:ind w:right="432" w:firstLine="0"/>
              <w:jc w:val="right"/>
            </w:pPr>
            <w:r>
              <w:t>11.9%</w:t>
            </w:r>
          </w:p>
        </w:tc>
      </w:tr>
      <w:tr w:rsidR="00846157" w:rsidTr="00712EE9">
        <w:tc>
          <w:tcPr>
            <w:tcW w:w="2070" w:type="dxa"/>
          </w:tcPr>
          <w:p w:rsidR="00846157" w:rsidRDefault="00846157" w:rsidP="00712EE9">
            <w:pPr>
              <w:keepNext/>
              <w:spacing w:after="120"/>
              <w:ind w:firstLine="0"/>
            </w:pPr>
            <w:r>
              <w:t>Availability</w:t>
            </w:r>
          </w:p>
        </w:tc>
        <w:tc>
          <w:tcPr>
            <w:tcW w:w="0" w:type="auto"/>
          </w:tcPr>
          <w:p w:rsidR="00846157" w:rsidRDefault="00846157" w:rsidP="00712EE9">
            <w:pPr>
              <w:keepNext/>
              <w:spacing w:after="120"/>
              <w:ind w:right="432" w:firstLine="0"/>
              <w:jc w:val="right"/>
            </w:pPr>
            <w:r>
              <w:t>0</w:t>
            </w:r>
          </w:p>
        </w:tc>
        <w:tc>
          <w:tcPr>
            <w:tcW w:w="2160" w:type="dxa"/>
          </w:tcPr>
          <w:p w:rsidR="00846157" w:rsidRDefault="001B5FBE" w:rsidP="001B5FBE">
            <w:pPr>
              <w:keepNext/>
              <w:keepLines/>
              <w:spacing w:after="120"/>
              <w:ind w:right="432" w:firstLine="0"/>
              <w:jc w:val="right"/>
            </w:pPr>
            <w:r>
              <w:t>0.0%</w:t>
            </w:r>
          </w:p>
        </w:tc>
      </w:tr>
      <w:tr w:rsidR="00846157" w:rsidTr="00712EE9">
        <w:tc>
          <w:tcPr>
            <w:tcW w:w="2070" w:type="dxa"/>
            <w:tcBorders>
              <w:bottom w:val="single" w:sz="4" w:space="0" w:color="auto"/>
            </w:tcBorders>
          </w:tcPr>
          <w:p w:rsidR="00846157" w:rsidRDefault="00846157" w:rsidP="00712EE9">
            <w:pPr>
              <w:keepNext/>
              <w:spacing w:after="120"/>
              <w:ind w:firstLine="0"/>
            </w:pPr>
            <w:r>
              <w:t>Miscellaneous</w:t>
            </w:r>
          </w:p>
        </w:tc>
        <w:tc>
          <w:tcPr>
            <w:tcW w:w="0" w:type="auto"/>
            <w:tcBorders>
              <w:bottom w:val="single" w:sz="4" w:space="0" w:color="auto"/>
            </w:tcBorders>
          </w:tcPr>
          <w:p w:rsidR="00846157" w:rsidRDefault="00846157" w:rsidP="00712EE9">
            <w:pPr>
              <w:keepNext/>
              <w:spacing w:after="120"/>
              <w:ind w:right="432" w:firstLine="0"/>
              <w:jc w:val="right"/>
            </w:pPr>
            <w:r>
              <w:t>$11,404</w:t>
            </w:r>
          </w:p>
        </w:tc>
        <w:tc>
          <w:tcPr>
            <w:tcW w:w="2160" w:type="dxa"/>
            <w:tcBorders>
              <w:bottom w:val="single" w:sz="4" w:space="0" w:color="auto"/>
            </w:tcBorders>
          </w:tcPr>
          <w:p w:rsidR="00846157" w:rsidRDefault="001B5FBE" w:rsidP="001B5FBE">
            <w:pPr>
              <w:keepNext/>
              <w:keepLines/>
              <w:spacing w:after="120"/>
              <w:ind w:right="432" w:firstLine="0"/>
              <w:jc w:val="right"/>
            </w:pPr>
            <w:r>
              <w:t>40.0%</w:t>
            </w:r>
          </w:p>
        </w:tc>
      </w:tr>
      <w:tr w:rsidR="00846157" w:rsidTr="00712EE9">
        <w:tc>
          <w:tcPr>
            <w:tcW w:w="2070" w:type="dxa"/>
            <w:tcBorders>
              <w:top w:val="single" w:sz="4" w:space="0" w:color="auto"/>
            </w:tcBorders>
          </w:tcPr>
          <w:p w:rsidR="00846157" w:rsidRPr="00846157" w:rsidRDefault="00846157" w:rsidP="00712EE9">
            <w:pPr>
              <w:keepNext/>
              <w:spacing w:after="120"/>
              <w:ind w:firstLine="0"/>
              <w:jc w:val="right"/>
              <w:rPr>
                <w:b/>
              </w:rPr>
            </w:pPr>
            <w:r w:rsidRPr="00846157">
              <w:rPr>
                <w:b/>
              </w:rPr>
              <w:t>Total Company</w:t>
            </w:r>
          </w:p>
        </w:tc>
        <w:tc>
          <w:tcPr>
            <w:tcW w:w="0" w:type="auto"/>
            <w:tcBorders>
              <w:top w:val="single" w:sz="4" w:space="0" w:color="auto"/>
            </w:tcBorders>
          </w:tcPr>
          <w:p w:rsidR="00846157" w:rsidRDefault="00846157" w:rsidP="00712EE9">
            <w:pPr>
              <w:keepNext/>
              <w:spacing w:after="120"/>
              <w:ind w:right="432" w:firstLine="0"/>
              <w:jc w:val="right"/>
            </w:pPr>
            <w:r>
              <w:t>$244,917</w:t>
            </w:r>
          </w:p>
        </w:tc>
        <w:tc>
          <w:tcPr>
            <w:tcW w:w="2160" w:type="dxa"/>
            <w:tcBorders>
              <w:top w:val="single" w:sz="4" w:space="0" w:color="auto"/>
            </w:tcBorders>
          </w:tcPr>
          <w:p w:rsidR="00846157" w:rsidRDefault="001B5FBE" w:rsidP="001B5FBE">
            <w:pPr>
              <w:keepNext/>
              <w:keepLines/>
              <w:spacing w:after="120"/>
              <w:ind w:right="432" w:firstLine="0"/>
              <w:jc w:val="right"/>
            </w:pPr>
            <w:r>
              <w:t>40.5%</w:t>
            </w:r>
          </w:p>
        </w:tc>
      </w:tr>
    </w:tbl>
    <w:p w:rsidR="00E86524" w:rsidRDefault="00E86524" w:rsidP="006C286C"/>
    <w:p w:rsidR="00031FC9" w:rsidRDefault="00031FC9" w:rsidP="006C286C">
      <w:pPr>
        <w:rPr>
          <w:b/>
        </w:rPr>
      </w:pPr>
    </w:p>
    <w:p w:rsidR="00031FC9" w:rsidRDefault="005D156C" w:rsidP="006C286C">
      <w:r>
        <w:t>The Water Settlement will result in the following monthly rates</w:t>
      </w:r>
      <w:r w:rsidR="00776F51">
        <w:t xml:space="preserve"> for metered sales</w:t>
      </w:r>
      <w:r>
        <w:t xml:space="preserve">: </w:t>
      </w:r>
    </w:p>
    <w:p w:rsidR="00A566E6" w:rsidRPr="00A566E6" w:rsidRDefault="00A566E6" w:rsidP="006C286C">
      <w:pPr>
        <w:rPr>
          <w:u w:val="single"/>
        </w:rPr>
      </w:pPr>
      <w:r w:rsidRPr="00A566E6">
        <w:rPr>
          <w:u w:val="single"/>
        </w:rPr>
        <w:t xml:space="preserve">Customer Charge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1800"/>
        <w:gridCol w:w="1800"/>
        <w:gridCol w:w="1800"/>
      </w:tblGrid>
      <w:tr w:rsidR="00C27FF5" w:rsidTr="00D04AF3">
        <w:trPr>
          <w:jc w:val="center"/>
        </w:trPr>
        <w:tc>
          <w:tcPr>
            <w:tcW w:w="1800" w:type="dxa"/>
          </w:tcPr>
          <w:p w:rsidR="00C27FF5" w:rsidRDefault="00B8705C" w:rsidP="00B8705C">
            <w:pPr>
              <w:ind w:left="288" w:firstLine="0"/>
              <w:jc w:val="center"/>
              <w:rPr>
                <w:b/>
              </w:rPr>
            </w:pPr>
            <w:r>
              <w:t xml:space="preserve">Water </w:t>
            </w:r>
            <w:r w:rsidRPr="00B8705C">
              <w:rPr>
                <w:u w:val="single"/>
              </w:rPr>
              <w:t>Meter Size</w:t>
            </w:r>
          </w:p>
        </w:tc>
        <w:tc>
          <w:tcPr>
            <w:tcW w:w="1800" w:type="dxa"/>
            <w:vAlign w:val="center"/>
          </w:tcPr>
          <w:p w:rsidR="00C27FF5" w:rsidRPr="00D04AF3" w:rsidRDefault="00870C2E" w:rsidP="00237E22">
            <w:pPr>
              <w:ind w:firstLine="0"/>
              <w:jc w:val="center"/>
              <w:rPr>
                <w:u w:val="single"/>
              </w:rPr>
            </w:pPr>
            <w:r w:rsidRPr="00D04AF3">
              <w:rPr>
                <w:u w:val="single"/>
              </w:rPr>
              <w:t>Present</w:t>
            </w:r>
          </w:p>
        </w:tc>
        <w:tc>
          <w:tcPr>
            <w:tcW w:w="1800" w:type="dxa"/>
            <w:vAlign w:val="center"/>
          </w:tcPr>
          <w:p w:rsidR="00C27FF5" w:rsidRPr="00D04AF3" w:rsidRDefault="00870C2E" w:rsidP="00237E22">
            <w:pPr>
              <w:ind w:firstLine="0"/>
              <w:jc w:val="center"/>
              <w:rPr>
                <w:u w:val="single"/>
              </w:rPr>
            </w:pPr>
            <w:r w:rsidRPr="00D04AF3">
              <w:rPr>
                <w:u w:val="single"/>
              </w:rPr>
              <w:t>Se</w:t>
            </w:r>
            <w:r w:rsidR="00237E22" w:rsidRPr="00D04AF3">
              <w:rPr>
                <w:u w:val="single"/>
              </w:rPr>
              <w:t>ttlement</w:t>
            </w:r>
          </w:p>
        </w:tc>
        <w:tc>
          <w:tcPr>
            <w:tcW w:w="1800" w:type="dxa"/>
            <w:vAlign w:val="center"/>
          </w:tcPr>
          <w:p w:rsidR="00C27FF5" w:rsidRPr="00D04AF3" w:rsidRDefault="00237E22" w:rsidP="00237E22">
            <w:pPr>
              <w:ind w:firstLine="0"/>
              <w:jc w:val="center"/>
              <w:rPr>
                <w:u w:val="single"/>
              </w:rPr>
            </w:pPr>
            <w:r w:rsidRPr="00D04AF3">
              <w:t xml:space="preserve">Percent </w:t>
            </w:r>
            <w:r w:rsidRPr="00D04AF3">
              <w:rPr>
                <w:u w:val="single"/>
              </w:rPr>
              <w:t>Increase</w:t>
            </w:r>
          </w:p>
        </w:tc>
      </w:tr>
      <w:tr w:rsidR="00776F51" w:rsidTr="00D04AF3">
        <w:trPr>
          <w:jc w:val="center"/>
        </w:trPr>
        <w:tc>
          <w:tcPr>
            <w:tcW w:w="1800" w:type="dxa"/>
          </w:tcPr>
          <w:p w:rsidR="00776F51" w:rsidRDefault="00776F51" w:rsidP="00237E22">
            <w:pPr>
              <w:spacing w:before="60"/>
              <w:ind w:firstLine="0"/>
              <w:jc w:val="right"/>
            </w:pPr>
            <w:r>
              <w:t>5/8” x  3/4”</w:t>
            </w:r>
          </w:p>
        </w:tc>
        <w:tc>
          <w:tcPr>
            <w:tcW w:w="1800" w:type="dxa"/>
          </w:tcPr>
          <w:p w:rsidR="00776F51" w:rsidRDefault="00C27FF5" w:rsidP="00237E22">
            <w:pPr>
              <w:spacing w:before="60"/>
              <w:ind w:right="288" w:firstLine="0"/>
              <w:jc w:val="right"/>
            </w:pPr>
            <w:r>
              <w:t>$ 10.67</w:t>
            </w:r>
          </w:p>
        </w:tc>
        <w:tc>
          <w:tcPr>
            <w:tcW w:w="1800" w:type="dxa"/>
          </w:tcPr>
          <w:p w:rsidR="00776F51" w:rsidRDefault="00870C2E" w:rsidP="00237E22">
            <w:pPr>
              <w:spacing w:before="60"/>
              <w:ind w:right="288" w:firstLine="0"/>
              <w:jc w:val="right"/>
            </w:pPr>
            <w:r>
              <w:t>$ 12.84</w:t>
            </w:r>
          </w:p>
        </w:tc>
        <w:tc>
          <w:tcPr>
            <w:tcW w:w="1800" w:type="dxa"/>
          </w:tcPr>
          <w:p w:rsidR="00776F51" w:rsidRDefault="00870C2E" w:rsidP="00237E22">
            <w:pPr>
              <w:spacing w:before="60"/>
              <w:ind w:right="288" w:firstLine="0"/>
              <w:jc w:val="right"/>
            </w:pPr>
            <w:r>
              <w:t>20.3%</w:t>
            </w:r>
          </w:p>
        </w:tc>
      </w:tr>
      <w:tr w:rsidR="00870C2E" w:rsidTr="00D04AF3">
        <w:trPr>
          <w:jc w:val="center"/>
        </w:trPr>
        <w:tc>
          <w:tcPr>
            <w:tcW w:w="1800" w:type="dxa"/>
          </w:tcPr>
          <w:p w:rsidR="00870C2E" w:rsidRDefault="00870C2E" w:rsidP="00237E22">
            <w:pPr>
              <w:spacing w:before="60"/>
              <w:ind w:right="288" w:firstLine="0"/>
              <w:jc w:val="right"/>
            </w:pPr>
            <w:r>
              <w:t>1”</w:t>
            </w:r>
          </w:p>
        </w:tc>
        <w:tc>
          <w:tcPr>
            <w:tcW w:w="1800" w:type="dxa"/>
          </w:tcPr>
          <w:p w:rsidR="00870C2E" w:rsidRDefault="00870C2E" w:rsidP="00D16A72">
            <w:pPr>
              <w:spacing w:before="60"/>
              <w:ind w:right="288" w:firstLine="0"/>
              <w:jc w:val="right"/>
            </w:pPr>
            <w:r>
              <w:t>$ 19.9</w:t>
            </w:r>
            <w:r w:rsidR="00D16A72">
              <w:t>8</w:t>
            </w:r>
          </w:p>
        </w:tc>
        <w:tc>
          <w:tcPr>
            <w:tcW w:w="1800" w:type="dxa"/>
          </w:tcPr>
          <w:p w:rsidR="00870C2E" w:rsidRDefault="00870C2E" w:rsidP="00237E22">
            <w:pPr>
              <w:spacing w:before="60"/>
              <w:ind w:right="288" w:firstLine="0"/>
              <w:jc w:val="right"/>
            </w:pPr>
            <w:r>
              <w:t>$ 23.87</w:t>
            </w:r>
          </w:p>
        </w:tc>
        <w:tc>
          <w:tcPr>
            <w:tcW w:w="1800" w:type="dxa"/>
          </w:tcPr>
          <w:p w:rsidR="00870C2E" w:rsidRDefault="00870C2E" w:rsidP="00237E22">
            <w:pPr>
              <w:spacing w:before="60"/>
              <w:ind w:right="288" w:firstLine="0"/>
              <w:jc w:val="right"/>
            </w:pPr>
            <w:r w:rsidRPr="00D64350">
              <w:t>20.3%</w:t>
            </w:r>
          </w:p>
        </w:tc>
      </w:tr>
      <w:tr w:rsidR="00870C2E" w:rsidTr="00D04AF3">
        <w:trPr>
          <w:jc w:val="center"/>
        </w:trPr>
        <w:tc>
          <w:tcPr>
            <w:tcW w:w="1800" w:type="dxa"/>
          </w:tcPr>
          <w:p w:rsidR="00870C2E" w:rsidRDefault="00870C2E" w:rsidP="00237E22">
            <w:pPr>
              <w:spacing w:before="60"/>
              <w:ind w:right="288" w:firstLine="0"/>
              <w:jc w:val="right"/>
            </w:pPr>
            <w:r>
              <w:t>1 ½”</w:t>
            </w:r>
          </w:p>
        </w:tc>
        <w:tc>
          <w:tcPr>
            <w:tcW w:w="1800" w:type="dxa"/>
          </w:tcPr>
          <w:p w:rsidR="00870C2E" w:rsidRDefault="00870C2E" w:rsidP="00237E22">
            <w:pPr>
              <w:spacing w:before="60"/>
              <w:ind w:right="288" w:firstLine="0"/>
              <w:jc w:val="right"/>
            </w:pPr>
            <w:r>
              <w:t>$ 29.41</w:t>
            </w:r>
          </w:p>
        </w:tc>
        <w:tc>
          <w:tcPr>
            <w:tcW w:w="1800" w:type="dxa"/>
          </w:tcPr>
          <w:p w:rsidR="00870C2E" w:rsidRDefault="00870C2E" w:rsidP="00237E22">
            <w:pPr>
              <w:spacing w:before="60"/>
              <w:ind w:right="288" w:firstLine="0"/>
              <w:jc w:val="right"/>
            </w:pPr>
            <w:r>
              <w:t>$ 35.39</w:t>
            </w:r>
          </w:p>
        </w:tc>
        <w:tc>
          <w:tcPr>
            <w:tcW w:w="1800" w:type="dxa"/>
          </w:tcPr>
          <w:p w:rsidR="00870C2E" w:rsidRDefault="00870C2E" w:rsidP="00237E22">
            <w:pPr>
              <w:spacing w:before="60"/>
              <w:ind w:right="288" w:firstLine="0"/>
              <w:jc w:val="right"/>
            </w:pPr>
            <w:r w:rsidRPr="00D64350">
              <w:t>20.3%</w:t>
            </w:r>
          </w:p>
        </w:tc>
      </w:tr>
      <w:tr w:rsidR="00870C2E" w:rsidTr="00D04AF3">
        <w:trPr>
          <w:jc w:val="center"/>
        </w:trPr>
        <w:tc>
          <w:tcPr>
            <w:tcW w:w="1800" w:type="dxa"/>
          </w:tcPr>
          <w:p w:rsidR="00870C2E" w:rsidRDefault="00870C2E" w:rsidP="00237E22">
            <w:pPr>
              <w:spacing w:before="60"/>
              <w:ind w:right="288" w:firstLine="0"/>
              <w:jc w:val="right"/>
            </w:pPr>
            <w:r>
              <w:t>2”</w:t>
            </w:r>
          </w:p>
        </w:tc>
        <w:tc>
          <w:tcPr>
            <w:tcW w:w="1800" w:type="dxa"/>
          </w:tcPr>
          <w:p w:rsidR="00870C2E" w:rsidRDefault="00870C2E" w:rsidP="00237E22">
            <w:pPr>
              <w:spacing w:before="60"/>
              <w:ind w:right="288" w:firstLine="0"/>
              <w:jc w:val="right"/>
            </w:pPr>
            <w:r>
              <w:t>$ 39.47</w:t>
            </w:r>
          </w:p>
        </w:tc>
        <w:tc>
          <w:tcPr>
            <w:tcW w:w="1800" w:type="dxa"/>
          </w:tcPr>
          <w:p w:rsidR="00870C2E" w:rsidRDefault="00870C2E" w:rsidP="00237E22">
            <w:pPr>
              <w:spacing w:before="60"/>
              <w:ind w:right="288" w:firstLine="0"/>
              <w:jc w:val="right"/>
            </w:pPr>
            <w:r>
              <w:t>$47.50</w:t>
            </w:r>
          </w:p>
        </w:tc>
        <w:tc>
          <w:tcPr>
            <w:tcW w:w="1800" w:type="dxa"/>
          </w:tcPr>
          <w:p w:rsidR="00870C2E" w:rsidRDefault="00870C2E" w:rsidP="00237E22">
            <w:pPr>
              <w:spacing w:before="60"/>
              <w:ind w:right="288" w:firstLine="0"/>
              <w:jc w:val="right"/>
            </w:pPr>
            <w:r w:rsidRPr="00D64350">
              <w:t>20.3%</w:t>
            </w:r>
          </w:p>
        </w:tc>
      </w:tr>
      <w:tr w:rsidR="00870C2E" w:rsidTr="00D04AF3">
        <w:trPr>
          <w:jc w:val="center"/>
        </w:trPr>
        <w:tc>
          <w:tcPr>
            <w:tcW w:w="1800" w:type="dxa"/>
          </w:tcPr>
          <w:p w:rsidR="00870C2E" w:rsidRDefault="00870C2E" w:rsidP="00237E22">
            <w:pPr>
              <w:spacing w:before="60"/>
              <w:ind w:right="288" w:firstLine="0"/>
              <w:jc w:val="right"/>
            </w:pPr>
            <w:r>
              <w:t>3”</w:t>
            </w:r>
          </w:p>
        </w:tc>
        <w:tc>
          <w:tcPr>
            <w:tcW w:w="1800" w:type="dxa"/>
          </w:tcPr>
          <w:p w:rsidR="00870C2E" w:rsidRDefault="00870C2E" w:rsidP="00237E22">
            <w:pPr>
              <w:spacing w:before="60"/>
              <w:ind w:right="288" w:firstLine="0"/>
              <w:jc w:val="right"/>
            </w:pPr>
            <w:r>
              <w:t>$</w:t>
            </w:r>
            <w:r w:rsidR="00546A08">
              <w:t xml:space="preserve"> </w:t>
            </w:r>
            <w:r>
              <w:t>65.79</w:t>
            </w:r>
          </w:p>
        </w:tc>
        <w:tc>
          <w:tcPr>
            <w:tcW w:w="1800" w:type="dxa"/>
          </w:tcPr>
          <w:p w:rsidR="00870C2E" w:rsidRDefault="00870C2E" w:rsidP="00237E22">
            <w:pPr>
              <w:spacing w:before="60"/>
              <w:ind w:right="288" w:firstLine="0"/>
              <w:jc w:val="right"/>
            </w:pPr>
            <w:r>
              <w:t>$ 79.17</w:t>
            </w:r>
          </w:p>
        </w:tc>
        <w:tc>
          <w:tcPr>
            <w:tcW w:w="1800" w:type="dxa"/>
          </w:tcPr>
          <w:p w:rsidR="00870C2E" w:rsidRDefault="00870C2E" w:rsidP="00237E22">
            <w:pPr>
              <w:spacing w:before="60"/>
              <w:ind w:right="288" w:firstLine="0"/>
              <w:jc w:val="right"/>
            </w:pPr>
            <w:r w:rsidRPr="00D64350">
              <w:t>20.3%</w:t>
            </w:r>
          </w:p>
        </w:tc>
      </w:tr>
      <w:tr w:rsidR="00870C2E" w:rsidTr="00D04AF3">
        <w:trPr>
          <w:jc w:val="center"/>
        </w:trPr>
        <w:tc>
          <w:tcPr>
            <w:tcW w:w="1800" w:type="dxa"/>
          </w:tcPr>
          <w:p w:rsidR="00870C2E" w:rsidRDefault="00870C2E" w:rsidP="00237E22">
            <w:pPr>
              <w:spacing w:before="60"/>
              <w:ind w:right="288" w:firstLine="0"/>
              <w:jc w:val="right"/>
            </w:pPr>
            <w:r>
              <w:t>4”</w:t>
            </w:r>
          </w:p>
        </w:tc>
        <w:tc>
          <w:tcPr>
            <w:tcW w:w="1800" w:type="dxa"/>
          </w:tcPr>
          <w:p w:rsidR="00870C2E" w:rsidRDefault="00870C2E" w:rsidP="00237E22">
            <w:pPr>
              <w:spacing w:before="60"/>
              <w:ind w:right="288" w:firstLine="0"/>
              <w:jc w:val="right"/>
            </w:pPr>
            <w:r>
              <w:t>$ 161.94</w:t>
            </w:r>
          </w:p>
        </w:tc>
        <w:tc>
          <w:tcPr>
            <w:tcW w:w="1800" w:type="dxa"/>
          </w:tcPr>
          <w:p w:rsidR="00870C2E" w:rsidRDefault="00870C2E" w:rsidP="00237E22">
            <w:pPr>
              <w:spacing w:before="60"/>
              <w:ind w:right="288" w:firstLine="0"/>
              <w:jc w:val="right"/>
            </w:pPr>
            <w:r>
              <w:t>$ 194.87</w:t>
            </w:r>
          </w:p>
        </w:tc>
        <w:tc>
          <w:tcPr>
            <w:tcW w:w="1800" w:type="dxa"/>
          </w:tcPr>
          <w:p w:rsidR="00870C2E" w:rsidRDefault="00870C2E" w:rsidP="00237E22">
            <w:pPr>
              <w:spacing w:before="60"/>
              <w:ind w:right="288" w:firstLine="0"/>
              <w:jc w:val="right"/>
            </w:pPr>
            <w:r w:rsidRPr="00D64350">
              <w:t>20.3%</w:t>
            </w:r>
          </w:p>
        </w:tc>
      </w:tr>
      <w:tr w:rsidR="00870C2E" w:rsidTr="00D04AF3">
        <w:trPr>
          <w:jc w:val="center"/>
        </w:trPr>
        <w:tc>
          <w:tcPr>
            <w:tcW w:w="1800" w:type="dxa"/>
          </w:tcPr>
          <w:p w:rsidR="00870C2E" w:rsidRDefault="00A566E6" w:rsidP="00237E22">
            <w:pPr>
              <w:spacing w:before="60"/>
              <w:ind w:right="288" w:firstLine="0"/>
              <w:jc w:val="right"/>
            </w:pPr>
            <w:r>
              <w:t>6</w:t>
            </w:r>
            <w:r w:rsidR="00870C2E">
              <w:t>”</w:t>
            </w:r>
          </w:p>
        </w:tc>
        <w:tc>
          <w:tcPr>
            <w:tcW w:w="1800" w:type="dxa"/>
          </w:tcPr>
          <w:p w:rsidR="00870C2E" w:rsidRDefault="00870C2E" w:rsidP="00237E22">
            <w:pPr>
              <w:spacing w:before="60"/>
              <w:ind w:right="288" w:firstLine="0"/>
              <w:jc w:val="right"/>
            </w:pPr>
            <w:r>
              <w:t>$ 324.88</w:t>
            </w:r>
          </w:p>
        </w:tc>
        <w:tc>
          <w:tcPr>
            <w:tcW w:w="1800" w:type="dxa"/>
          </w:tcPr>
          <w:p w:rsidR="00870C2E" w:rsidRDefault="00870C2E" w:rsidP="00237E22">
            <w:pPr>
              <w:spacing w:before="60"/>
              <w:ind w:right="288" w:firstLine="0"/>
              <w:jc w:val="right"/>
            </w:pPr>
            <w:r>
              <w:t>$390.95</w:t>
            </w:r>
          </w:p>
        </w:tc>
        <w:tc>
          <w:tcPr>
            <w:tcW w:w="1800" w:type="dxa"/>
          </w:tcPr>
          <w:p w:rsidR="00870C2E" w:rsidRDefault="00870C2E" w:rsidP="00237E22">
            <w:pPr>
              <w:spacing w:before="60"/>
              <w:ind w:right="288" w:firstLine="0"/>
              <w:jc w:val="right"/>
            </w:pPr>
            <w:r w:rsidRPr="00D64350">
              <w:t>20.3%</w:t>
            </w:r>
          </w:p>
        </w:tc>
      </w:tr>
    </w:tbl>
    <w:p w:rsidR="00776F51" w:rsidRDefault="00776F51" w:rsidP="006C286C"/>
    <w:p w:rsidR="00031FC9" w:rsidRPr="00A566E6" w:rsidRDefault="00A566E6" w:rsidP="00770D0E">
      <w:pPr>
        <w:keepNext/>
        <w:ind w:left="1440" w:firstLine="0"/>
        <w:rPr>
          <w:b/>
          <w:u w:val="single"/>
        </w:rPr>
      </w:pPr>
      <w:r w:rsidRPr="00A566E6">
        <w:rPr>
          <w:u w:val="single"/>
        </w:rPr>
        <w:lastRenderedPageBreak/>
        <w:t xml:space="preserve">Commodity </w:t>
      </w:r>
      <w:proofErr w:type="gramStart"/>
      <w:r w:rsidRPr="00A566E6">
        <w:rPr>
          <w:u w:val="single"/>
        </w:rPr>
        <w:t xml:space="preserve">Charge </w:t>
      </w:r>
      <w:r w:rsidR="00D24C95">
        <w:rPr>
          <w:u w:val="single"/>
        </w:rPr>
        <w:t xml:space="preserve"> (</w:t>
      </w:r>
      <w:proofErr w:type="gramEnd"/>
      <w:r w:rsidR="00D24C95">
        <w:rPr>
          <w:u w:val="single"/>
        </w:rPr>
        <w:t>per thousand gallons (</w:t>
      </w:r>
      <w:proofErr w:type="spellStart"/>
      <w:r w:rsidR="00D24C95">
        <w:rPr>
          <w:u w:val="single"/>
        </w:rPr>
        <w:t>tg</w:t>
      </w:r>
      <w:proofErr w:type="spellEnd"/>
      <w:r w:rsidR="00D24C95">
        <w:rPr>
          <w:u w:val="single"/>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1800"/>
        <w:gridCol w:w="1800"/>
        <w:gridCol w:w="1800"/>
      </w:tblGrid>
      <w:tr w:rsidR="00A73CC5" w:rsidRPr="00D04AF3" w:rsidTr="00575475">
        <w:trPr>
          <w:jc w:val="center"/>
        </w:trPr>
        <w:tc>
          <w:tcPr>
            <w:tcW w:w="1800" w:type="dxa"/>
          </w:tcPr>
          <w:p w:rsidR="00A73CC5" w:rsidRDefault="00A73CC5" w:rsidP="00770D0E">
            <w:pPr>
              <w:keepNext/>
              <w:spacing w:before="60"/>
              <w:ind w:firstLine="0"/>
              <w:jc w:val="right"/>
            </w:pPr>
          </w:p>
        </w:tc>
        <w:tc>
          <w:tcPr>
            <w:tcW w:w="1800" w:type="dxa"/>
            <w:vAlign w:val="center"/>
          </w:tcPr>
          <w:p w:rsidR="00A73CC5" w:rsidRPr="00D04AF3" w:rsidRDefault="00A73CC5" w:rsidP="00770D0E">
            <w:pPr>
              <w:keepNext/>
              <w:ind w:firstLine="0"/>
              <w:jc w:val="center"/>
              <w:rPr>
                <w:u w:val="single"/>
              </w:rPr>
            </w:pPr>
            <w:r w:rsidRPr="00D04AF3">
              <w:rPr>
                <w:u w:val="single"/>
              </w:rPr>
              <w:t>Present</w:t>
            </w:r>
          </w:p>
        </w:tc>
        <w:tc>
          <w:tcPr>
            <w:tcW w:w="1800" w:type="dxa"/>
            <w:vAlign w:val="center"/>
          </w:tcPr>
          <w:p w:rsidR="00A73CC5" w:rsidRPr="00D04AF3" w:rsidRDefault="00A73CC5" w:rsidP="00770D0E">
            <w:pPr>
              <w:keepNext/>
              <w:ind w:firstLine="0"/>
              <w:jc w:val="center"/>
              <w:rPr>
                <w:u w:val="single"/>
              </w:rPr>
            </w:pPr>
            <w:r w:rsidRPr="00D04AF3">
              <w:rPr>
                <w:u w:val="single"/>
              </w:rPr>
              <w:t>Settlement</w:t>
            </w:r>
          </w:p>
        </w:tc>
        <w:tc>
          <w:tcPr>
            <w:tcW w:w="1800" w:type="dxa"/>
          </w:tcPr>
          <w:p w:rsidR="00A73CC5" w:rsidRDefault="00A73CC5" w:rsidP="00770D0E">
            <w:pPr>
              <w:keepNext/>
              <w:spacing w:before="60"/>
              <w:ind w:right="288" w:firstLine="0"/>
              <w:jc w:val="right"/>
            </w:pPr>
          </w:p>
        </w:tc>
      </w:tr>
      <w:tr w:rsidR="00A73CC5" w:rsidRPr="00D04AF3" w:rsidTr="00774574">
        <w:trPr>
          <w:jc w:val="center"/>
        </w:trPr>
        <w:tc>
          <w:tcPr>
            <w:tcW w:w="1800" w:type="dxa"/>
          </w:tcPr>
          <w:p w:rsidR="00A73CC5" w:rsidRDefault="00A73CC5" w:rsidP="00770D0E">
            <w:pPr>
              <w:keepNext/>
              <w:spacing w:before="60"/>
              <w:ind w:firstLine="0"/>
              <w:jc w:val="right"/>
            </w:pPr>
            <w:r>
              <w:t xml:space="preserve">0 – 2.5 </w:t>
            </w:r>
            <w:proofErr w:type="spellStart"/>
            <w:r>
              <w:t>tg</w:t>
            </w:r>
            <w:proofErr w:type="spellEnd"/>
          </w:p>
        </w:tc>
        <w:tc>
          <w:tcPr>
            <w:tcW w:w="1800" w:type="dxa"/>
          </w:tcPr>
          <w:p w:rsidR="00A73CC5" w:rsidRDefault="00A73CC5" w:rsidP="00770D0E">
            <w:pPr>
              <w:keepNext/>
              <w:spacing w:before="60"/>
              <w:ind w:right="288" w:firstLine="0"/>
              <w:jc w:val="right"/>
            </w:pPr>
            <w:r>
              <w:t>$0</w:t>
            </w:r>
          </w:p>
        </w:tc>
        <w:tc>
          <w:tcPr>
            <w:tcW w:w="1800" w:type="dxa"/>
          </w:tcPr>
          <w:p w:rsidR="00A73CC5" w:rsidRDefault="00A73CC5" w:rsidP="00770D0E">
            <w:pPr>
              <w:keepNext/>
              <w:spacing w:before="60"/>
              <w:ind w:right="288" w:firstLine="0"/>
              <w:jc w:val="right"/>
            </w:pPr>
            <w:r>
              <w:t>$ 3.52</w:t>
            </w:r>
          </w:p>
        </w:tc>
        <w:tc>
          <w:tcPr>
            <w:tcW w:w="1800" w:type="dxa"/>
          </w:tcPr>
          <w:p w:rsidR="00A73CC5" w:rsidRDefault="00A73CC5" w:rsidP="00770D0E">
            <w:pPr>
              <w:keepNext/>
              <w:spacing w:before="60"/>
              <w:ind w:right="288" w:firstLine="0"/>
              <w:jc w:val="right"/>
            </w:pPr>
          </w:p>
        </w:tc>
      </w:tr>
      <w:tr w:rsidR="00A73CC5" w:rsidTr="00774574">
        <w:trPr>
          <w:jc w:val="center"/>
        </w:trPr>
        <w:tc>
          <w:tcPr>
            <w:tcW w:w="1800" w:type="dxa"/>
          </w:tcPr>
          <w:p w:rsidR="00A73CC5" w:rsidRDefault="00A73CC5" w:rsidP="00770D0E">
            <w:pPr>
              <w:keepNext/>
              <w:spacing w:before="60"/>
              <w:ind w:firstLine="0"/>
              <w:jc w:val="right"/>
            </w:pPr>
            <w:r>
              <w:t xml:space="preserve">Over 2.5 </w:t>
            </w:r>
            <w:proofErr w:type="spellStart"/>
            <w:r>
              <w:t>tg</w:t>
            </w:r>
            <w:proofErr w:type="spellEnd"/>
          </w:p>
        </w:tc>
        <w:tc>
          <w:tcPr>
            <w:tcW w:w="1800" w:type="dxa"/>
          </w:tcPr>
          <w:p w:rsidR="00A73CC5" w:rsidRDefault="00A73CC5" w:rsidP="00770D0E">
            <w:pPr>
              <w:keepNext/>
              <w:spacing w:before="60"/>
              <w:ind w:right="288" w:firstLine="0"/>
              <w:jc w:val="right"/>
            </w:pPr>
            <w:r>
              <w:t>$ 3.63</w:t>
            </w:r>
          </w:p>
        </w:tc>
        <w:tc>
          <w:tcPr>
            <w:tcW w:w="1800" w:type="dxa"/>
          </w:tcPr>
          <w:p w:rsidR="00A73CC5" w:rsidRDefault="00A73CC5" w:rsidP="00770D0E">
            <w:pPr>
              <w:keepNext/>
              <w:spacing w:before="60"/>
              <w:ind w:right="288" w:firstLine="0"/>
              <w:jc w:val="right"/>
            </w:pPr>
            <w:r>
              <w:t>$ 3.52</w:t>
            </w:r>
          </w:p>
        </w:tc>
        <w:tc>
          <w:tcPr>
            <w:tcW w:w="1800" w:type="dxa"/>
          </w:tcPr>
          <w:p w:rsidR="00A73CC5" w:rsidRDefault="00A73CC5" w:rsidP="00770D0E">
            <w:pPr>
              <w:keepNext/>
              <w:spacing w:before="60"/>
              <w:ind w:right="288" w:firstLine="0"/>
              <w:jc w:val="right"/>
            </w:pPr>
          </w:p>
        </w:tc>
      </w:tr>
      <w:tr w:rsidR="00A73CC5" w:rsidTr="00774574">
        <w:trPr>
          <w:gridAfter w:val="1"/>
          <w:wAfter w:w="1800" w:type="dxa"/>
          <w:jc w:val="center"/>
        </w:trPr>
        <w:tc>
          <w:tcPr>
            <w:tcW w:w="1800" w:type="dxa"/>
          </w:tcPr>
          <w:p w:rsidR="00A73CC5" w:rsidRDefault="00A73CC5" w:rsidP="00774574">
            <w:pPr>
              <w:spacing w:before="60"/>
              <w:ind w:right="288" w:firstLine="0"/>
              <w:jc w:val="right"/>
            </w:pPr>
          </w:p>
        </w:tc>
        <w:tc>
          <w:tcPr>
            <w:tcW w:w="1800" w:type="dxa"/>
          </w:tcPr>
          <w:p w:rsidR="00A73CC5" w:rsidRDefault="00A73CC5" w:rsidP="00774574">
            <w:pPr>
              <w:spacing w:before="60"/>
              <w:ind w:right="288" w:firstLine="0"/>
              <w:jc w:val="right"/>
            </w:pPr>
          </w:p>
        </w:tc>
        <w:tc>
          <w:tcPr>
            <w:tcW w:w="1800" w:type="dxa"/>
          </w:tcPr>
          <w:p w:rsidR="00A73CC5" w:rsidRDefault="00A73CC5" w:rsidP="00774574">
            <w:pPr>
              <w:spacing w:before="60"/>
              <w:ind w:right="288" w:firstLine="0"/>
              <w:jc w:val="right"/>
            </w:pPr>
          </w:p>
        </w:tc>
      </w:tr>
    </w:tbl>
    <w:p w:rsidR="00031FC9" w:rsidRDefault="00CD07D4" w:rsidP="006C286C">
      <w:r>
        <w:t>T</w:t>
      </w:r>
      <w:r w:rsidR="00031FC9">
        <w:t>he monthly rate per tract for availability customers remains at the same level as current rates, or $3.04 per month</w:t>
      </w:r>
      <w:r w:rsidR="00355E91">
        <w:t>,</w:t>
      </w:r>
      <w:r w:rsidR="00031FC9">
        <w:t xml:space="preserve"> per tract.   </w:t>
      </w:r>
    </w:p>
    <w:p w:rsidR="00575475" w:rsidRDefault="00575475" w:rsidP="006C286C"/>
    <w:p w:rsidR="00E519EE" w:rsidRDefault="00575475" w:rsidP="00AE19ED">
      <w:pPr>
        <w:pStyle w:val="Heading4"/>
      </w:pPr>
      <w:r>
        <w:t>Water Allowance</w:t>
      </w:r>
    </w:p>
    <w:p w:rsidR="00575475" w:rsidRPr="00575475" w:rsidRDefault="00575475" w:rsidP="00575475">
      <w:pPr>
        <w:keepNext/>
        <w:spacing w:line="240" w:lineRule="auto"/>
      </w:pPr>
    </w:p>
    <w:p w:rsidR="00F72F22" w:rsidRDefault="003F2D0D" w:rsidP="00575475">
      <w:pPr>
        <w:keepNext/>
      </w:pPr>
      <w:r>
        <w:t xml:space="preserve">In </w:t>
      </w:r>
      <w:r w:rsidR="00770D0E">
        <w:t>TESI’s</w:t>
      </w:r>
      <w:r>
        <w:t xml:space="preserve"> last rate investigation, the OTS recommended that the water allowance be eliminated so the customer charge would only reflect non-water related costs.  </w:t>
      </w:r>
      <w:r w:rsidR="00575475">
        <w:t>In that investigation, t</w:t>
      </w:r>
      <w:r>
        <w:t xml:space="preserve">he OCA supported the </w:t>
      </w:r>
      <w:r w:rsidR="000A4E81">
        <w:t>OTS’ recommendation</w:t>
      </w:r>
      <w:r w:rsidR="00770D0E">
        <w:t>,</w:t>
      </w:r>
      <w:r w:rsidR="000A4E81">
        <w:t xml:space="preserve"> based on the proposition that the elimination of water </w:t>
      </w:r>
      <w:r>
        <w:t>allowance</w:t>
      </w:r>
      <w:r w:rsidR="000A4E81">
        <w:t xml:space="preserve">s promotes conservation.  </w:t>
      </w:r>
      <w:r w:rsidR="00575475">
        <w:t xml:space="preserve">In our disposition of TESI’s last rate request, we directed TESI to eliminate its allowance for the first 2,500 </w:t>
      </w:r>
      <w:r w:rsidR="00770D0E">
        <w:t xml:space="preserve">gallons </w:t>
      </w:r>
      <w:r w:rsidR="00575475">
        <w:t xml:space="preserve">of metered water consumption in the water and wastewater tariffs filed in its next base rate case.  </w:t>
      </w:r>
      <w:r w:rsidR="00F65940" w:rsidRPr="00416218">
        <w:rPr>
          <w:i/>
        </w:rPr>
        <w:t>Pa. PUC</w:t>
      </w:r>
      <w:r w:rsidR="00770D0E">
        <w:t xml:space="preserve"> v. </w:t>
      </w:r>
      <w:r w:rsidR="00F65940" w:rsidRPr="00F65940">
        <w:rPr>
          <w:i/>
        </w:rPr>
        <w:t>Total Environmental Solutions, Inc. – Treasure Lake Water Divisio</w:t>
      </w:r>
      <w:r w:rsidR="00F65940">
        <w:rPr>
          <w:i/>
        </w:rPr>
        <w:t xml:space="preserve">n, </w:t>
      </w:r>
      <w:r w:rsidR="00F61579">
        <w:t xml:space="preserve">Docket No. R-00072493 </w:t>
      </w:r>
      <w:r w:rsidR="00CC4FB0">
        <w:t xml:space="preserve">and </w:t>
      </w:r>
      <w:r w:rsidR="00CC4FB0" w:rsidRPr="00416218">
        <w:rPr>
          <w:i/>
        </w:rPr>
        <w:t>Pa. PUC</w:t>
      </w:r>
      <w:r w:rsidR="00CC4FB0">
        <w:t xml:space="preserve"> v. </w:t>
      </w:r>
      <w:r w:rsidR="00CC4FB0" w:rsidRPr="00F65940">
        <w:rPr>
          <w:i/>
        </w:rPr>
        <w:t>Total Environmental Solutions, Inc. – Treasure Lake W</w:t>
      </w:r>
      <w:r w:rsidR="00CC4FB0">
        <w:rPr>
          <w:i/>
        </w:rPr>
        <w:t>aste</w:t>
      </w:r>
      <w:r w:rsidR="00F517D5">
        <w:rPr>
          <w:i/>
        </w:rPr>
        <w:t>w</w:t>
      </w:r>
      <w:r w:rsidR="00CC4FB0" w:rsidRPr="00F65940">
        <w:rPr>
          <w:i/>
        </w:rPr>
        <w:t>ater Divisio</w:t>
      </w:r>
      <w:r w:rsidR="00CC4FB0">
        <w:rPr>
          <w:i/>
        </w:rPr>
        <w:t>n</w:t>
      </w:r>
      <w:r w:rsidR="00CC4FB0">
        <w:t>, Docket No. R-00072495</w:t>
      </w:r>
      <w:r w:rsidR="00F517D5">
        <w:t xml:space="preserve">, </w:t>
      </w:r>
      <w:r w:rsidR="00F61579">
        <w:t>(O</w:t>
      </w:r>
      <w:r w:rsidR="00E519EE">
        <w:t xml:space="preserve">pinion and Order </w:t>
      </w:r>
      <w:r w:rsidR="00536C15">
        <w:t>entered July 30, 2008</w:t>
      </w:r>
      <w:r w:rsidR="00F61579">
        <w:t>)</w:t>
      </w:r>
      <w:r w:rsidR="00E519EE">
        <w:t xml:space="preserve"> </w:t>
      </w:r>
      <w:r w:rsidR="005A7017">
        <w:t>(</w:t>
      </w:r>
      <w:r w:rsidR="005A7017" w:rsidRPr="005A7017">
        <w:rPr>
          <w:i/>
        </w:rPr>
        <w:t>2008 Rate Order</w:t>
      </w:r>
      <w:r w:rsidR="005A7017">
        <w:t xml:space="preserve">) </w:t>
      </w:r>
      <w:r w:rsidR="00536C15">
        <w:t>at 11</w:t>
      </w:r>
      <w:r w:rsidR="00A73CC5">
        <w:t>1-113</w:t>
      </w:r>
      <w:r w:rsidR="00536C15">
        <w:t xml:space="preserve">. </w:t>
      </w:r>
      <w:r w:rsidR="00920499">
        <w:t xml:space="preserve"> </w:t>
      </w:r>
      <w:r w:rsidR="00F72F22">
        <w:t xml:space="preserve">As indicated, </w:t>
      </w:r>
      <w:r w:rsidR="00F72F22" w:rsidRPr="005A7017">
        <w:rPr>
          <w:i/>
        </w:rPr>
        <w:t>supra</w:t>
      </w:r>
      <w:r w:rsidR="00F72F22">
        <w:t xml:space="preserve">, </w:t>
      </w:r>
      <w:r w:rsidR="005A7017">
        <w:t xml:space="preserve">the commodity charge under the Water Settlement rates will be </w:t>
      </w:r>
      <w:r w:rsidR="00EA3BD6">
        <w:t xml:space="preserve">levied </w:t>
      </w:r>
      <w:r w:rsidR="005A7017">
        <w:t xml:space="preserve">for all consumption in compliance with our </w:t>
      </w:r>
      <w:r w:rsidR="005A7017" w:rsidRPr="00DE0F53">
        <w:rPr>
          <w:i/>
        </w:rPr>
        <w:t>2008 Rate Order</w:t>
      </w:r>
      <w:r w:rsidR="005A7017">
        <w:t xml:space="preserve">. </w:t>
      </w:r>
      <w:r w:rsidR="00EA3BD6">
        <w:t xml:space="preserve"> We also note </w:t>
      </w:r>
      <w:r w:rsidR="00895C9D">
        <w:t xml:space="preserve">that </w:t>
      </w:r>
      <w:r w:rsidR="004236F5">
        <w:t xml:space="preserve">the commodity charge for all consumption will be reduced from </w:t>
      </w:r>
      <w:r w:rsidR="007D561F">
        <w:t xml:space="preserve">the current rate of </w:t>
      </w:r>
      <w:r w:rsidR="004236F5">
        <w:t>$3.63 to $3.52</w:t>
      </w:r>
      <w:r w:rsidR="00F517D5">
        <w:t xml:space="preserve">, </w:t>
      </w:r>
      <w:r w:rsidR="004236F5">
        <w:t xml:space="preserve">per thousand gallons. </w:t>
      </w:r>
    </w:p>
    <w:p w:rsidR="00DE0F53" w:rsidRDefault="00DE0F53" w:rsidP="00575475">
      <w:pPr>
        <w:keepNext/>
      </w:pPr>
    </w:p>
    <w:p w:rsidR="00DE0F53" w:rsidRDefault="00DE0F53" w:rsidP="00AE19ED">
      <w:pPr>
        <w:pStyle w:val="Heading4"/>
      </w:pPr>
      <w:r w:rsidRPr="00DE0F53">
        <w:t>Availability Service</w:t>
      </w:r>
    </w:p>
    <w:p w:rsidR="00DE0F53" w:rsidRDefault="00DE0F53" w:rsidP="00CF0FFB">
      <w:pPr>
        <w:keepNext/>
        <w:spacing w:line="240" w:lineRule="auto"/>
      </w:pPr>
    </w:p>
    <w:p w:rsidR="005F56AD" w:rsidRDefault="00DE0F53" w:rsidP="00CF0FFB">
      <w:pPr>
        <w:keepNext/>
      </w:pPr>
      <w:r>
        <w:t>TESI</w:t>
      </w:r>
      <w:r w:rsidRPr="00E61E8E">
        <w:t xml:space="preserve"> </w:t>
      </w:r>
      <w:r>
        <w:t xml:space="preserve">initially </w:t>
      </w:r>
      <w:r w:rsidRPr="00E61E8E">
        <w:t xml:space="preserve">proposed to decrease the </w:t>
      </w:r>
      <w:r>
        <w:t xml:space="preserve">availability or ready to serve </w:t>
      </w:r>
      <w:r w:rsidRPr="00E61E8E">
        <w:t xml:space="preserve">charge </w:t>
      </w:r>
      <w:r>
        <w:t>by 6</w:t>
      </w:r>
      <w:r w:rsidR="00FD0CA1">
        <w:t>2</w:t>
      </w:r>
      <w:r>
        <w:t>%</w:t>
      </w:r>
      <w:r w:rsidR="00F517D5">
        <w:t>,</w:t>
      </w:r>
      <w:r>
        <w:t xml:space="preserve"> from $3.04 per month to </w:t>
      </w:r>
      <w:r w:rsidRPr="00E61E8E">
        <w:t>$1.17</w:t>
      </w:r>
      <w:r w:rsidR="002D6A25">
        <w:t xml:space="preserve"> per month</w:t>
      </w:r>
      <w:r>
        <w:t xml:space="preserve">.  </w:t>
      </w:r>
      <w:r w:rsidR="001F17F2">
        <w:t xml:space="preserve">In its direct testimony, the OTS explained that the availability charge is a flat rate that is used to spread the costs of </w:t>
      </w:r>
      <w:r w:rsidR="001F17F2">
        <w:lastRenderedPageBreak/>
        <w:t xml:space="preserve">developing the utility system over the lots it was intended to serve, regardless of whether service is being rendered.  </w:t>
      </w:r>
      <w:r w:rsidR="008E3D6D">
        <w:t xml:space="preserve">The </w:t>
      </w:r>
      <w:r w:rsidR="001F17F2" w:rsidRPr="00E61E8E">
        <w:t xml:space="preserve">OTS </w:t>
      </w:r>
      <w:r w:rsidR="008E3D6D">
        <w:t xml:space="preserve">also submitted that </w:t>
      </w:r>
      <w:r w:rsidR="001F17F2" w:rsidRPr="00E61E8E">
        <w:t>the rationale for th</w:t>
      </w:r>
      <w:r w:rsidR="001F17F2">
        <w:t xml:space="preserve">e availability charge includes </w:t>
      </w:r>
      <w:r w:rsidR="001F17F2" w:rsidRPr="00E61E8E">
        <w:t xml:space="preserve">the following:  (1) utility systems are designed and constructed to serve developed and undeveloped lots within a given area;  (2) the nature of a system’s construction cannot readily be increased or decreased for customer fluctuation; (3) the cost incurred by the utility represents the potential service to all potential customers; (4) the availability of utility service enhances the value of the property; (5) the availability of utility service is an integral part of any future development of the property; </w:t>
      </w:r>
      <w:r w:rsidR="00F517D5">
        <w:t xml:space="preserve">and </w:t>
      </w:r>
      <w:r w:rsidR="001F17F2" w:rsidRPr="00E61E8E">
        <w:t xml:space="preserve">(6) it is unfair and improper to charge only those customers actually receiving service for the cost to serve the whole development.  </w:t>
      </w:r>
      <w:r w:rsidR="008E3D6D">
        <w:t xml:space="preserve">The OTS opposed the reduction in the availability charge because TESI’s cost allocation study failed to include $91,015 of bad debt expense associated with </w:t>
      </w:r>
      <w:r w:rsidR="005F56AD">
        <w:t xml:space="preserve">availability customers and </w:t>
      </w:r>
      <w:r w:rsidR="00A71D5B">
        <w:t xml:space="preserve">because </w:t>
      </w:r>
      <w:r w:rsidR="005F56AD">
        <w:t xml:space="preserve">TESI incorrectly calculated the share of the investment that the availability charge should cover.  </w:t>
      </w:r>
      <w:r w:rsidR="00B9579F">
        <w:t>OTS St</w:t>
      </w:r>
      <w:r w:rsidR="00FB1D5F">
        <w:t>.</w:t>
      </w:r>
      <w:r w:rsidR="00B9579F">
        <w:t xml:space="preserve"> No. 2 </w:t>
      </w:r>
      <w:r w:rsidR="001D746A">
        <w:t xml:space="preserve">at 13-17.  </w:t>
      </w:r>
      <w:r w:rsidR="005F56AD">
        <w:t>Under the Water Settlement, the availability rate will remain at $3.04 per month.</w:t>
      </w:r>
      <w:r w:rsidR="001D746A">
        <w:t xml:space="preserve">  </w:t>
      </w:r>
      <w:proofErr w:type="gramStart"/>
      <w:r w:rsidR="001D746A">
        <w:t xml:space="preserve">Water Settlement </w:t>
      </w:r>
      <w:r w:rsidR="00546A08">
        <w:rPr>
          <w:rFonts w:cs="Times New Roman"/>
        </w:rPr>
        <w:t>¶</w:t>
      </w:r>
      <w:r w:rsidR="00532CD6">
        <w:rPr>
          <w:rFonts w:cs="Times New Roman"/>
        </w:rPr>
        <w:t xml:space="preserve"> </w:t>
      </w:r>
      <w:r w:rsidR="00546A08">
        <w:t xml:space="preserve">14(a) </w:t>
      </w:r>
      <w:r w:rsidR="001D746A">
        <w:t>at 6 and Appendix A.</w:t>
      </w:r>
      <w:proofErr w:type="gramEnd"/>
      <w:r w:rsidR="001D746A">
        <w:t xml:space="preserve"> </w:t>
      </w:r>
    </w:p>
    <w:p w:rsidR="005F56AD" w:rsidRDefault="005F56AD" w:rsidP="00DE0F53"/>
    <w:p w:rsidR="00DE0F53" w:rsidRDefault="003C65AC" w:rsidP="00DE0F53">
      <w:r>
        <w:t xml:space="preserve">We concur that the monthly availability rate should remain at $3.04.  As indicated by OTS’ analysis, </w:t>
      </w:r>
      <w:r w:rsidR="00B9579F">
        <w:t xml:space="preserve">keeping the rates at their current level mitigates the misallocation of costs from availability customers to those customers </w:t>
      </w:r>
      <w:r w:rsidR="004B1BB5">
        <w:t xml:space="preserve">currently </w:t>
      </w:r>
      <w:r w:rsidR="00B9579F">
        <w:t xml:space="preserve">receiving water service.  </w:t>
      </w:r>
      <w:r>
        <w:t xml:space="preserve">  </w:t>
      </w:r>
      <w:r w:rsidR="008E3D6D">
        <w:t xml:space="preserve"> </w:t>
      </w:r>
    </w:p>
    <w:p w:rsidR="00F72F22" w:rsidRDefault="00F72F22" w:rsidP="00575475">
      <w:pPr>
        <w:keepNext/>
      </w:pPr>
    </w:p>
    <w:p w:rsidR="00C53127" w:rsidRPr="00FD0CA1" w:rsidRDefault="00C53127" w:rsidP="00AE19ED">
      <w:pPr>
        <w:pStyle w:val="Heading4"/>
      </w:pPr>
      <w:r w:rsidRPr="00FD0CA1">
        <w:t xml:space="preserve">Overall Rate Structure and </w:t>
      </w:r>
      <w:r w:rsidR="00E152D4" w:rsidRPr="00FD0CA1">
        <w:t>D</w:t>
      </w:r>
      <w:r w:rsidRPr="00FD0CA1">
        <w:t>esign</w:t>
      </w:r>
    </w:p>
    <w:p w:rsidR="00E152D4" w:rsidRPr="00E152D4" w:rsidRDefault="0055418D" w:rsidP="0055418D">
      <w:pPr>
        <w:tabs>
          <w:tab w:val="left" w:pos="2405"/>
        </w:tabs>
        <w:spacing w:line="240" w:lineRule="auto"/>
      </w:pPr>
      <w:r>
        <w:tab/>
      </w:r>
    </w:p>
    <w:p w:rsidR="00C53127" w:rsidRDefault="00E152D4" w:rsidP="00C53127">
      <w:r>
        <w:t xml:space="preserve">As reflected in the comparison of current and proposed </w:t>
      </w:r>
      <w:r w:rsidR="007D317E">
        <w:t xml:space="preserve">Water </w:t>
      </w:r>
      <w:r>
        <w:t xml:space="preserve">Settlement rates, </w:t>
      </w:r>
      <w:r w:rsidRPr="00E152D4">
        <w:rPr>
          <w:i/>
        </w:rPr>
        <w:t>supra</w:t>
      </w:r>
      <w:r>
        <w:t xml:space="preserve">, the </w:t>
      </w:r>
      <w:r w:rsidR="007D317E">
        <w:t xml:space="preserve">Water </w:t>
      </w:r>
      <w:r>
        <w:t xml:space="preserve">Settlement rates would result in </w:t>
      </w:r>
      <w:r w:rsidR="00A74A35">
        <w:t>un</w:t>
      </w:r>
      <w:r>
        <w:t xml:space="preserve">iform rate </w:t>
      </w:r>
      <w:r w:rsidR="00DB078F">
        <w:t>percentage increase in the customer charge</w:t>
      </w:r>
      <w:r w:rsidR="00FD0CA1">
        <w:t>s</w:t>
      </w:r>
      <w:r w:rsidR="00DB078F">
        <w:t xml:space="preserve"> for all </w:t>
      </w:r>
      <w:r w:rsidR="004D40FF">
        <w:t>service levels</w:t>
      </w:r>
      <w:r w:rsidR="00A71D5B">
        <w:t>,</w:t>
      </w:r>
      <w:r w:rsidR="004D40FF">
        <w:t xml:space="preserve"> and the commodity charge </w:t>
      </w:r>
      <w:r w:rsidR="00FD0CA1">
        <w:t xml:space="preserve">would be </w:t>
      </w:r>
      <w:r w:rsidR="004D40FF">
        <w:t>the same for all consumption levels.  With the elimination of the water allowance and preservation of current availability charge</w:t>
      </w:r>
      <w:r w:rsidR="00A71D5B">
        <w:t>, discussed</w:t>
      </w:r>
      <w:r w:rsidR="00897CDA">
        <w:t xml:space="preserve"> </w:t>
      </w:r>
      <w:r w:rsidR="00897CDA" w:rsidRPr="00897CDA">
        <w:rPr>
          <w:i/>
        </w:rPr>
        <w:t>supra</w:t>
      </w:r>
      <w:r w:rsidR="00897CDA">
        <w:t xml:space="preserve">, the Water Settlement mitigates potential misallocation of costs that would have resulted from TESI’s initial </w:t>
      </w:r>
      <w:r w:rsidR="00897CDA">
        <w:lastRenderedPageBreak/>
        <w:t xml:space="preserve">proposed rates.  </w:t>
      </w:r>
      <w:r w:rsidR="00DB078F">
        <w:t xml:space="preserve"> </w:t>
      </w:r>
      <w:r w:rsidR="004840D0">
        <w:t>Therefore, we concur with the OTS that the rate structure and rate design contained in the Water Settlement is in the public interest</w:t>
      </w:r>
      <w:r w:rsidR="00E25B2E">
        <w:t xml:space="preserve"> </w:t>
      </w:r>
      <w:r w:rsidR="00A71D5B">
        <w:t xml:space="preserve">because </w:t>
      </w:r>
      <w:r w:rsidR="00E25B2E">
        <w:t xml:space="preserve">the allocation of the proposed increase to TESI’s customer classes is just, reasonable and non-discriminatory.   </w:t>
      </w:r>
      <w:proofErr w:type="gramStart"/>
      <w:r w:rsidR="00E25B2E">
        <w:t>OTS Statement in Support at 4.</w:t>
      </w:r>
      <w:proofErr w:type="gramEnd"/>
    </w:p>
    <w:p w:rsidR="00E25B2E" w:rsidRPr="00C53127" w:rsidRDefault="00E25B2E" w:rsidP="00C53127"/>
    <w:p w:rsidR="00AF075E" w:rsidRPr="00AF075E" w:rsidRDefault="00AF075E" w:rsidP="00AE19ED">
      <w:pPr>
        <w:pStyle w:val="Heading4"/>
      </w:pPr>
      <w:r w:rsidRPr="00AF075E">
        <w:t>Overall Revenue Increase</w:t>
      </w:r>
    </w:p>
    <w:p w:rsidR="00E83832" w:rsidRDefault="00E83832" w:rsidP="005431FA">
      <w:pPr>
        <w:keepNext/>
        <w:spacing w:line="240" w:lineRule="auto"/>
      </w:pPr>
    </w:p>
    <w:p w:rsidR="00E83832" w:rsidRDefault="00AF075E" w:rsidP="005431FA">
      <w:pPr>
        <w:keepNext/>
      </w:pPr>
      <w:r>
        <w:t xml:space="preserve">As indicated </w:t>
      </w:r>
      <w:r w:rsidRPr="00AF075E">
        <w:rPr>
          <w:i/>
        </w:rPr>
        <w:t>supra</w:t>
      </w:r>
      <w:r>
        <w:t xml:space="preserve">, the Water Settlement rates will result in an annual increase of </w:t>
      </w:r>
      <w:r w:rsidR="00900D28">
        <w:t xml:space="preserve">$244,917, which is approximately 65% of the revenue increase initially sought by TESI.   </w:t>
      </w:r>
      <w:r w:rsidR="00E83832">
        <w:t>The OCA stated that</w:t>
      </w:r>
      <w:r w:rsidR="00A71D5B">
        <w:t>,</w:t>
      </w:r>
      <w:r w:rsidR="00E83832">
        <w:t xml:space="preserve"> based on its analysis of the Company’s filing, the Water Settlement Rates would be in the range of likely outcomes </w:t>
      </w:r>
      <w:r w:rsidR="00355E91">
        <w:t xml:space="preserve">in the event that both cases were fully litigated.  </w:t>
      </w:r>
      <w:proofErr w:type="gramStart"/>
      <w:r w:rsidR="00355E91">
        <w:t xml:space="preserve">OCA </w:t>
      </w:r>
      <w:r w:rsidR="00A86672">
        <w:t>S</w:t>
      </w:r>
      <w:r w:rsidR="00355E91">
        <w:t>tatement in Support at 2.</w:t>
      </w:r>
      <w:proofErr w:type="gramEnd"/>
      <w:r w:rsidR="00355E91">
        <w:t xml:space="preserve">  The OTS </w:t>
      </w:r>
      <w:r w:rsidR="00774574">
        <w:t xml:space="preserve">concluded that the </w:t>
      </w:r>
      <w:r w:rsidR="004B5F36">
        <w:t xml:space="preserve">increase resulting from the </w:t>
      </w:r>
      <w:r w:rsidR="00774574">
        <w:t xml:space="preserve">Water Settlement </w:t>
      </w:r>
      <w:r w:rsidR="004B5F36">
        <w:t>r</w:t>
      </w:r>
      <w:r w:rsidR="00774574">
        <w:t xml:space="preserve">ates </w:t>
      </w:r>
      <w:r w:rsidR="004B5F36">
        <w:t>is in the public interest because ratepayers will continue to receive safe and reliable service at reasonable rates whil</w:t>
      </w:r>
      <w:r w:rsidR="0074058A">
        <w:t>e</w:t>
      </w:r>
      <w:r w:rsidR="004B5F36">
        <w:t xml:space="preserve"> allowing </w:t>
      </w:r>
      <w:r w:rsidR="0074058A">
        <w:t>sufficient</w:t>
      </w:r>
      <w:r w:rsidR="004B5F36">
        <w:t xml:space="preserve"> </w:t>
      </w:r>
      <w:r w:rsidR="0074058A">
        <w:t xml:space="preserve">additional revenues to meet the Company’s operating expenses and provide a reasonable rate of return.  </w:t>
      </w:r>
      <w:proofErr w:type="gramStart"/>
      <w:r w:rsidR="0074058A">
        <w:t>OTS Statement in Support at 4.</w:t>
      </w:r>
      <w:proofErr w:type="gramEnd"/>
      <w:r w:rsidR="00900D28">
        <w:t xml:space="preserve">  We have reviewed the analysis presented on the record of this proceeding and </w:t>
      </w:r>
      <w:r w:rsidR="003C46BE">
        <w:t xml:space="preserve">concur </w:t>
      </w:r>
      <w:r w:rsidR="00A71D5B">
        <w:t xml:space="preserve">that </w:t>
      </w:r>
      <w:r w:rsidR="00547993">
        <w:t xml:space="preserve">the proposed revenue levels are just and reasonable.  </w:t>
      </w:r>
    </w:p>
    <w:p w:rsidR="000522D7" w:rsidRDefault="000522D7" w:rsidP="006C286C"/>
    <w:p w:rsidR="00E83832" w:rsidRDefault="00413903" w:rsidP="00413903">
      <w:pPr>
        <w:pStyle w:val="Heading4"/>
      </w:pPr>
      <w:r>
        <w:t>One</w:t>
      </w:r>
      <w:r w:rsidR="00C750CE">
        <w:t>-</w:t>
      </w:r>
      <w:r>
        <w:t>Year Stay</w:t>
      </w:r>
      <w:r w:rsidR="00A74A35">
        <w:t>-</w:t>
      </w:r>
      <w:r>
        <w:t xml:space="preserve">Out </w:t>
      </w:r>
    </w:p>
    <w:p w:rsidR="0090158F" w:rsidRDefault="0090158F" w:rsidP="00C750CE">
      <w:pPr>
        <w:spacing w:line="240" w:lineRule="auto"/>
      </w:pPr>
    </w:p>
    <w:p w:rsidR="006F3572" w:rsidRDefault="00FB31F0" w:rsidP="0090158F">
      <w:r>
        <w:t xml:space="preserve">Under the terms of the Water Settlement, TESI is not permitted to file another request to raise its </w:t>
      </w:r>
      <w:r w:rsidR="00A74A35">
        <w:t xml:space="preserve">water </w:t>
      </w:r>
      <w:r>
        <w:t xml:space="preserve">base rates for one year following the Commission’s approval of the Settlement. </w:t>
      </w:r>
      <w:r w:rsidR="00C44DBE">
        <w:t xml:space="preserve"> TESI may</w:t>
      </w:r>
      <w:r w:rsidR="00594E7F">
        <w:t>,</w:t>
      </w:r>
      <w:r w:rsidR="00C44DBE">
        <w:t xml:space="preserve"> </w:t>
      </w:r>
      <w:r w:rsidR="00594E7F">
        <w:t xml:space="preserve">however, </w:t>
      </w:r>
      <w:r w:rsidR="00C44DBE">
        <w:t>seek extraordinary rate relief during the one-year stay</w:t>
      </w:r>
      <w:r w:rsidR="00A74A35">
        <w:t>-</w:t>
      </w:r>
      <w:r w:rsidR="00C44DBE">
        <w:t xml:space="preserve">out if it meets the requirements for extraordinary relief </w:t>
      </w:r>
      <w:r w:rsidR="00594E7F">
        <w:t>at</w:t>
      </w:r>
      <w:r w:rsidR="00C44DBE">
        <w:t xml:space="preserve"> 66 Pa. C.S. </w:t>
      </w:r>
      <w:r w:rsidR="00C44DBE">
        <w:rPr>
          <w:rFonts w:cs="Times New Roman"/>
        </w:rPr>
        <w:t>§</w:t>
      </w:r>
      <w:r w:rsidR="00C44DBE">
        <w:t xml:space="preserve"> 1308(e), or if TESI is subject to significant increases in federal taxes or </w:t>
      </w:r>
      <w:r w:rsidR="00C750CE">
        <w:t xml:space="preserve">costs resulting from changes in law or regulation that would not allow it to earn a fair rate of return.  </w:t>
      </w:r>
      <w:proofErr w:type="gramStart"/>
      <w:r w:rsidR="00C750CE">
        <w:t xml:space="preserve">Water Settlement </w:t>
      </w:r>
      <w:r w:rsidR="008D445B">
        <w:rPr>
          <w:rFonts w:cs="Times New Roman"/>
        </w:rPr>
        <w:t>¶</w:t>
      </w:r>
      <w:r w:rsidR="008D445B">
        <w:t xml:space="preserve"> 14(b) </w:t>
      </w:r>
      <w:r w:rsidR="00C750CE">
        <w:t>at 6-7.</w:t>
      </w:r>
      <w:proofErr w:type="gramEnd"/>
      <w:r w:rsidR="00C750CE">
        <w:t xml:space="preserve"> </w:t>
      </w:r>
    </w:p>
    <w:p w:rsidR="00A74A35" w:rsidRDefault="00A74A35" w:rsidP="0090158F"/>
    <w:p w:rsidR="00C70842" w:rsidRDefault="006F3572" w:rsidP="0090158F">
      <w:r>
        <w:lastRenderedPageBreak/>
        <w:t xml:space="preserve">In support of this provision, </w:t>
      </w:r>
      <w:r w:rsidR="00D7653F">
        <w:t xml:space="preserve">TESI </w:t>
      </w:r>
      <w:r>
        <w:t>noted that the one-year stay</w:t>
      </w:r>
      <w:r w:rsidR="00A74A35">
        <w:t>-</w:t>
      </w:r>
      <w:r>
        <w:t>out will provide ratepayers with the minimum guarantee of no base rate increases for a period of almost two years</w:t>
      </w:r>
      <w:r w:rsidR="00594E7F">
        <w:t>,</w:t>
      </w:r>
      <w:r>
        <w:t xml:space="preserve"> if a subsequent rate </w:t>
      </w:r>
      <w:r w:rsidR="0065650E">
        <w:t xml:space="preserve">request is filed after one year and the Commission’s investigation </w:t>
      </w:r>
      <w:r w:rsidR="00594E7F">
        <w:t>were to</w:t>
      </w:r>
      <w:r w:rsidR="0065650E">
        <w:t xml:space="preserve"> run the full statutory term. </w:t>
      </w:r>
      <w:proofErr w:type="gramStart"/>
      <w:r w:rsidR="00D7653F">
        <w:t xml:space="preserve">TESI </w:t>
      </w:r>
      <w:r w:rsidR="0065650E">
        <w:t>Statement of Support at 4.</w:t>
      </w:r>
      <w:proofErr w:type="gramEnd"/>
      <w:r w:rsidR="0065650E">
        <w:t xml:space="preserve">  </w:t>
      </w:r>
      <w:r w:rsidR="00C750CE">
        <w:t xml:space="preserve"> </w:t>
      </w:r>
      <w:r w:rsidR="00594E7F">
        <w:t>We conclude that, i</w:t>
      </w:r>
      <w:r w:rsidR="0082157B">
        <w:t xml:space="preserve">n recognition of the </w:t>
      </w:r>
      <w:r w:rsidR="00594E7F">
        <w:t>F</w:t>
      </w:r>
      <w:r w:rsidR="0082157B">
        <w:t xml:space="preserve">ormal </w:t>
      </w:r>
      <w:r w:rsidR="00594E7F">
        <w:t>C</w:t>
      </w:r>
      <w:r w:rsidR="0082157B">
        <w:t xml:space="preserve">omplaints </w:t>
      </w:r>
      <w:r w:rsidR="0064587B">
        <w:t xml:space="preserve">which have been filed, </w:t>
      </w:r>
      <w:r w:rsidR="0082157B">
        <w:t xml:space="preserve">and </w:t>
      </w:r>
      <w:r w:rsidR="00594E7F">
        <w:t xml:space="preserve">the </w:t>
      </w:r>
      <w:r w:rsidR="0082157B">
        <w:t xml:space="preserve">testimony of </w:t>
      </w:r>
      <w:r w:rsidR="00941BB1">
        <w:t>TESI’s</w:t>
      </w:r>
      <w:r w:rsidR="0082157B">
        <w:t xml:space="preserve"> ratepayers, this provision will provide important stability and </w:t>
      </w:r>
      <w:r w:rsidR="00AB3251">
        <w:t xml:space="preserve">predictability to water service expenses </w:t>
      </w:r>
      <w:r w:rsidR="00C70842">
        <w:t xml:space="preserve">incurred by TESI’s customers </w:t>
      </w:r>
      <w:r w:rsidR="00AB3251">
        <w:t xml:space="preserve">in these difficult economic times. </w:t>
      </w:r>
    </w:p>
    <w:p w:rsidR="00195D62" w:rsidRDefault="00195D62" w:rsidP="0090158F"/>
    <w:p w:rsidR="00C70842" w:rsidRDefault="00C70842" w:rsidP="007B4093">
      <w:pPr>
        <w:pStyle w:val="Heading4"/>
      </w:pPr>
      <w:r>
        <w:t>Water Quality and Leak Reduction</w:t>
      </w:r>
    </w:p>
    <w:p w:rsidR="00C70842" w:rsidRDefault="00C70842" w:rsidP="00532CD6">
      <w:pPr>
        <w:keepNext/>
        <w:spacing w:line="240" w:lineRule="auto"/>
      </w:pPr>
    </w:p>
    <w:p w:rsidR="00962FBA" w:rsidRDefault="005E6FD1" w:rsidP="00195D62">
      <w:r>
        <w:t xml:space="preserve">The </w:t>
      </w:r>
      <w:r w:rsidR="0064587B">
        <w:t>F</w:t>
      </w:r>
      <w:r>
        <w:t xml:space="preserve">ormal </w:t>
      </w:r>
      <w:r w:rsidR="0064587B">
        <w:t>C</w:t>
      </w:r>
      <w:r>
        <w:t xml:space="preserve">omplaints </w:t>
      </w:r>
      <w:r w:rsidR="0064587B">
        <w:t xml:space="preserve">which were filed </w:t>
      </w:r>
      <w:r>
        <w:t xml:space="preserve">and </w:t>
      </w:r>
      <w:r w:rsidR="0064587B">
        <w:t xml:space="preserve">the </w:t>
      </w:r>
      <w:r>
        <w:t xml:space="preserve">testimony of </w:t>
      </w:r>
      <w:r w:rsidR="00941BB1">
        <w:t xml:space="preserve">TESI’s </w:t>
      </w:r>
      <w:r>
        <w:t xml:space="preserve">ratepayers in this proceeding indicate that water quality is still a serious concern.  </w:t>
      </w:r>
      <w:r w:rsidR="007B4093">
        <w:t xml:space="preserve">In addition, TESI’s </w:t>
      </w:r>
      <w:proofErr w:type="gramStart"/>
      <w:r w:rsidR="007B4093">
        <w:t xml:space="preserve">response to OTS interrogatories </w:t>
      </w:r>
      <w:r w:rsidR="005F241C">
        <w:t>reflect</w:t>
      </w:r>
      <w:proofErr w:type="gramEnd"/>
      <w:r w:rsidR="005F241C">
        <w:t xml:space="preserve"> that TESI’s average percentage of unaccounted–for water over calendar years 2007, 2008 and 2009</w:t>
      </w:r>
      <w:r w:rsidR="00FB1D5F">
        <w:t xml:space="preserve"> was 32.9%.  OTS St. No. 2 at 5.  </w:t>
      </w:r>
      <w:r w:rsidR="00CD4144">
        <w:t xml:space="preserve">This rate of unaccounted-for water is significantly higher than the 20% </w:t>
      </w:r>
      <w:r w:rsidR="006F68D3">
        <w:t xml:space="preserve">the Commission has determined to be excessive in our statement of policy at 52 Pa Code </w:t>
      </w:r>
      <w:r w:rsidR="0064587B">
        <w:br/>
      </w:r>
      <w:r w:rsidR="006F68D3">
        <w:rPr>
          <w:rFonts w:cs="Times New Roman"/>
        </w:rPr>
        <w:t>§</w:t>
      </w:r>
      <w:r w:rsidR="006F68D3">
        <w:t xml:space="preserve"> 65.20(4). </w:t>
      </w:r>
      <w:r w:rsidR="00831AE5">
        <w:t xml:space="preserve"> Consequently, u</w:t>
      </w:r>
      <w:r w:rsidR="00962FBA">
        <w:t xml:space="preserve">nder the terms of the </w:t>
      </w:r>
      <w:r w:rsidR="00EA1BA1">
        <w:rPr>
          <w:szCs w:val="24"/>
        </w:rPr>
        <w:t>Settlement Addendum</w:t>
      </w:r>
      <w:r w:rsidR="00962FBA">
        <w:t xml:space="preserve">, TESI has agreed to </w:t>
      </w:r>
      <w:r w:rsidR="00FF4309">
        <w:t xml:space="preserve">perform </w:t>
      </w:r>
      <w:r w:rsidR="00962FBA">
        <w:t xml:space="preserve">the following </w:t>
      </w:r>
      <w:r w:rsidR="00FF4309">
        <w:t>five activities:</w:t>
      </w:r>
    </w:p>
    <w:p w:rsidR="00831AE5" w:rsidRDefault="00831AE5" w:rsidP="00831AE5">
      <w:pPr>
        <w:keepNext/>
        <w:spacing w:line="240" w:lineRule="auto"/>
      </w:pPr>
    </w:p>
    <w:p w:rsidR="002F3A94" w:rsidRPr="00F70E0E" w:rsidRDefault="002F3A94" w:rsidP="00BA4526">
      <w:pPr>
        <w:pStyle w:val="PlainText"/>
        <w:numPr>
          <w:ilvl w:val="0"/>
          <w:numId w:val="8"/>
        </w:numPr>
        <w:spacing w:after="120" w:line="240" w:lineRule="auto"/>
        <w:ind w:left="2160" w:right="1440"/>
        <w:rPr>
          <w:szCs w:val="26"/>
        </w:rPr>
      </w:pPr>
      <w:r w:rsidRPr="00F70E0E">
        <w:rPr>
          <w:szCs w:val="26"/>
        </w:rPr>
        <w:t xml:space="preserve">To submit to the OCA, </w:t>
      </w:r>
      <w:r w:rsidR="00564026" w:rsidRPr="00F70E0E">
        <w:rPr>
          <w:szCs w:val="26"/>
        </w:rPr>
        <w:t xml:space="preserve">the </w:t>
      </w:r>
      <w:r w:rsidRPr="00F70E0E">
        <w:rPr>
          <w:szCs w:val="26"/>
        </w:rPr>
        <w:t xml:space="preserve">OTS and the Commission’s Bureau of Fixed Utility Services </w:t>
      </w:r>
      <w:r w:rsidR="00564026" w:rsidRPr="00F70E0E">
        <w:rPr>
          <w:szCs w:val="26"/>
        </w:rPr>
        <w:t xml:space="preserve">(FUS) </w:t>
      </w:r>
      <w:r w:rsidRPr="00F70E0E">
        <w:rPr>
          <w:szCs w:val="26"/>
        </w:rPr>
        <w:t>iron and manganese test results batched and sent on a quarterly basis.</w:t>
      </w:r>
    </w:p>
    <w:p w:rsidR="002F3A94" w:rsidRPr="00F70E0E" w:rsidRDefault="002F3A94" w:rsidP="00BA4526">
      <w:pPr>
        <w:pStyle w:val="PlainText"/>
        <w:numPr>
          <w:ilvl w:val="0"/>
          <w:numId w:val="8"/>
        </w:numPr>
        <w:spacing w:after="120" w:line="240" w:lineRule="auto"/>
        <w:ind w:left="2160" w:right="1440"/>
        <w:rPr>
          <w:szCs w:val="26"/>
        </w:rPr>
      </w:pPr>
      <w:r w:rsidRPr="00F70E0E">
        <w:rPr>
          <w:szCs w:val="26"/>
        </w:rPr>
        <w:t xml:space="preserve">To submit to the OCA, </w:t>
      </w:r>
      <w:r w:rsidR="00552968" w:rsidRPr="00F70E0E">
        <w:rPr>
          <w:szCs w:val="26"/>
        </w:rPr>
        <w:t xml:space="preserve">the </w:t>
      </w:r>
      <w:r w:rsidRPr="00F70E0E">
        <w:rPr>
          <w:szCs w:val="26"/>
        </w:rPr>
        <w:t xml:space="preserve">OTS and </w:t>
      </w:r>
      <w:r w:rsidR="00564026" w:rsidRPr="00F70E0E">
        <w:rPr>
          <w:szCs w:val="26"/>
        </w:rPr>
        <w:t>the FUS</w:t>
      </w:r>
      <w:r w:rsidRPr="00F70E0E">
        <w:rPr>
          <w:szCs w:val="26"/>
        </w:rPr>
        <w:t xml:space="preserve"> chlorine residual test results at entry points on a quarterly basis.</w:t>
      </w:r>
    </w:p>
    <w:p w:rsidR="002F3A94" w:rsidRPr="00F70E0E" w:rsidRDefault="002F3A94" w:rsidP="00BA4526">
      <w:pPr>
        <w:pStyle w:val="PlainText"/>
        <w:numPr>
          <w:ilvl w:val="0"/>
          <w:numId w:val="8"/>
        </w:numPr>
        <w:spacing w:after="120" w:line="240" w:lineRule="auto"/>
        <w:ind w:left="2160" w:right="1440"/>
        <w:rPr>
          <w:szCs w:val="26"/>
        </w:rPr>
      </w:pPr>
      <w:r w:rsidRPr="00F70E0E">
        <w:rPr>
          <w:szCs w:val="26"/>
        </w:rPr>
        <w:t xml:space="preserve">To keep a customer complaint log, separate and apart from formal or informal Complaints filed with the Commission, and send that log to the OCA, </w:t>
      </w:r>
      <w:r w:rsidR="00564026" w:rsidRPr="00F70E0E">
        <w:rPr>
          <w:szCs w:val="26"/>
        </w:rPr>
        <w:t xml:space="preserve">the </w:t>
      </w:r>
      <w:r w:rsidRPr="00F70E0E">
        <w:rPr>
          <w:szCs w:val="26"/>
        </w:rPr>
        <w:t xml:space="preserve">OTS and the </w:t>
      </w:r>
      <w:r w:rsidR="00564026" w:rsidRPr="00F70E0E">
        <w:rPr>
          <w:szCs w:val="26"/>
        </w:rPr>
        <w:t xml:space="preserve">FUS </w:t>
      </w:r>
      <w:r w:rsidRPr="00F70E0E">
        <w:rPr>
          <w:szCs w:val="26"/>
        </w:rPr>
        <w:t>on a quarterly basis.</w:t>
      </w:r>
    </w:p>
    <w:p w:rsidR="002F3A94" w:rsidRPr="00F70E0E" w:rsidRDefault="002F3A94" w:rsidP="00BA4526">
      <w:pPr>
        <w:pStyle w:val="PlainText"/>
        <w:numPr>
          <w:ilvl w:val="0"/>
          <w:numId w:val="8"/>
        </w:numPr>
        <w:spacing w:after="120" w:line="240" w:lineRule="auto"/>
        <w:ind w:left="2160" w:right="1440"/>
        <w:rPr>
          <w:szCs w:val="26"/>
        </w:rPr>
      </w:pPr>
      <w:r w:rsidRPr="00F70E0E">
        <w:rPr>
          <w:szCs w:val="26"/>
        </w:rPr>
        <w:t>To conduct main flushing twice a year on a seasonal basis.</w:t>
      </w:r>
    </w:p>
    <w:p w:rsidR="002F3A94" w:rsidRPr="00F70E0E" w:rsidRDefault="002F3A94" w:rsidP="00BA4526">
      <w:pPr>
        <w:pStyle w:val="PlainText"/>
        <w:numPr>
          <w:ilvl w:val="0"/>
          <w:numId w:val="8"/>
        </w:numPr>
        <w:spacing w:after="120" w:line="240" w:lineRule="auto"/>
        <w:ind w:left="2160" w:right="1440"/>
        <w:rPr>
          <w:szCs w:val="26"/>
        </w:rPr>
      </w:pPr>
      <w:r w:rsidRPr="00F70E0E">
        <w:rPr>
          <w:szCs w:val="26"/>
        </w:rPr>
        <w:lastRenderedPageBreak/>
        <w:t>To perform leak detection on a regular basis.</w:t>
      </w:r>
    </w:p>
    <w:p w:rsidR="00FF4309" w:rsidRDefault="00FF4309" w:rsidP="001E7B75">
      <w:pPr>
        <w:keepNext/>
        <w:spacing w:line="240" w:lineRule="auto"/>
      </w:pPr>
    </w:p>
    <w:p w:rsidR="001E7B75" w:rsidRDefault="001E7B75" w:rsidP="001E7B75">
      <w:pPr>
        <w:ind w:firstLine="0"/>
        <w:rPr>
          <w:szCs w:val="24"/>
        </w:rPr>
      </w:pPr>
      <w:proofErr w:type="gramStart"/>
      <w:r>
        <w:rPr>
          <w:szCs w:val="24"/>
        </w:rPr>
        <w:t xml:space="preserve">Settlement </w:t>
      </w:r>
      <w:r w:rsidR="00EA1BA1">
        <w:rPr>
          <w:szCs w:val="24"/>
        </w:rPr>
        <w:t xml:space="preserve">Addendum </w:t>
      </w:r>
      <w:r w:rsidR="00546A08">
        <w:rPr>
          <w:rFonts w:cs="Times New Roman"/>
          <w:szCs w:val="24"/>
        </w:rPr>
        <w:t>¶</w:t>
      </w:r>
      <w:r w:rsidR="00546A08">
        <w:rPr>
          <w:szCs w:val="24"/>
        </w:rPr>
        <w:t xml:space="preserve"> 3(c) </w:t>
      </w:r>
      <w:r>
        <w:rPr>
          <w:szCs w:val="24"/>
        </w:rPr>
        <w:t xml:space="preserve">at </w:t>
      </w:r>
      <w:r w:rsidR="00EA1BA1">
        <w:rPr>
          <w:szCs w:val="24"/>
        </w:rPr>
        <w:t>2.</w:t>
      </w:r>
      <w:proofErr w:type="gramEnd"/>
    </w:p>
    <w:p w:rsidR="00941BB1" w:rsidRDefault="00941BB1" w:rsidP="000D7C1A">
      <w:pPr>
        <w:rPr>
          <w:szCs w:val="24"/>
        </w:rPr>
      </w:pPr>
    </w:p>
    <w:p w:rsidR="001E7B75" w:rsidRDefault="00E36C31" w:rsidP="000D7C1A">
      <w:pPr>
        <w:rPr>
          <w:szCs w:val="24"/>
        </w:rPr>
      </w:pPr>
      <w:r>
        <w:rPr>
          <w:szCs w:val="24"/>
        </w:rPr>
        <w:t>We note that t</w:t>
      </w:r>
      <w:r w:rsidR="00941BB1">
        <w:rPr>
          <w:szCs w:val="24"/>
        </w:rPr>
        <w:t xml:space="preserve">he quarterly reports </w:t>
      </w:r>
      <w:r w:rsidR="001211B5">
        <w:rPr>
          <w:szCs w:val="24"/>
        </w:rPr>
        <w:t xml:space="preserve">required by the Water Settlement will enable FUS, the OCA and the OTS to monitor water quality improvements on TESI’s distribution system.  If improvements to water quality are not realized, the Parties </w:t>
      </w:r>
      <w:r w:rsidR="000B7BF2">
        <w:rPr>
          <w:szCs w:val="24"/>
        </w:rPr>
        <w:t xml:space="preserve">will </w:t>
      </w:r>
      <w:r>
        <w:rPr>
          <w:szCs w:val="24"/>
        </w:rPr>
        <w:t xml:space="preserve">then </w:t>
      </w:r>
      <w:r w:rsidR="000B7BF2">
        <w:rPr>
          <w:szCs w:val="24"/>
        </w:rPr>
        <w:t xml:space="preserve">have the information to pursue appropriate remedies. </w:t>
      </w:r>
      <w:r w:rsidR="001211B5">
        <w:rPr>
          <w:szCs w:val="24"/>
        </w:rPr>
        <w:t xml:space="preserve"> </w:t>
      </w:r>
      <w:r w:rsidR="00564026">
        <w:rPr>
          <w:szCs w:val="24"/>
        </w:rPr>
        <w:t xml:space="preserve">As discussed, </w:t>
      </w:r>
      <w:r w:rsidR="00564026" w:rsidRPr="00564026">
        <w:rPr>
          <w:i/>
          <w:szCs w:val="24"/>
        </w:rPr>
        <w:t>infra,</w:t>
      </w:r>
      <w:r w:rsidR="00564026">
        <w:rPr>
          <w:szCs w:val="24"/>
        </w:rPr>
        <w:t xml:space="preserve"> the ALJ has recommended additional </w:t>
      </w:r>
      <w:r w:rsidR="004E5758">
        <w:rPr>
          <w:szCs w:val="24"/>
        </w:rPr>
        <w:t xml:space="preserve">requirements </w:t>
      </w:r>
      <w:r>
        <w:rPr>
          <w:szCs w:val="24"/>
        </w:rPr>
        <w:t xml:space="preserve">and </w:t>
      </w:r>
      <w:r w:rsidR="004E5758">
        <w:rPr>
          <w:szCs w:val="24"/>
        </w:rPr>
        <w:t xml:space="preserve">related </w:t>
      </w:r>
      <w:r w:rsidR="00564026">
        <w:rPr>
          <w:szCs w:val="24"/>
        </w:rPr>
        <w:t xml:space="preserve">provisions to address </w:t>
      </w:r>
      <w:r>
        <w:rPr>
          <w:szCs w:val="24"/>
        </w:rPr>
        <w:t>the issue of</w:t>
      </w:r>
      <w:r w:rsidR="008208FB">
        <w:rPr>
          <w:szCs w:val="24"/>
        </w:rPr>
        <w:t xml:space="preserve"> </w:t>
      </w:r>
      <w:r w:rsidR="00564026">
        <w:rPr>
          <w:szCs w:val="24"/>
        </w:rPr>
        <w:t>unaccounted-for water</w:t>
      </w:r>
      <w:r w:rsidR="00242C95">
        <w:rPr>
          <w:szCs w:val="24"/>
        </w:rPr>
        <w:t xml:space="preserve"> and</w:t>
      </w:r>
      <w:r>
        <w:rPr>
          <w:szCs w:val="24"/>
        </w:rPr>
        <w:t xml:space="preserve"> </w:t>
      </w:r>
      <w:r w:rsidR="00564026">
        <w:rPr>
          <w:szCs w:val="24"/>
        </w:rPr>
        <w:t xml:space="preserve">TESI has filed Exceptions to the ALJ’s recommendations.  </w:t>
      </w:r>
      <w:r w:rsidR="008208FB">
        <w:rPr>
          <w:szCs w:val="24"/>
        </w:rPr>
        <w:t xml:space="preserve">We will address the provisions of the Settlement Addendum and the ALJ’s recommendations in </w:t>
      </w:r>
      <w:r w:rsidR="00B96D4C">
        <w:rPr>
          <w:szCs w:val="24"/>
        </w:rPr>
        <w:t>conjunction</w:t>
      </w:r>
      <w:r w:rsidR="008208FB">
        <w:rPr>
          <w:szCs w:val="24"/>
        </w:rPr>
        <w:t xml:space="preserve"> with our consideration and disposition of </w:t>
      </w:r>
      <w:r w:rsidR="00B96D4C">
        <w:rPr>
          <w:szCs w:val="24"/>
        </w:rPr>
        <w:t xml:space="preserve">TESI’s </w:t>
      </w:r>
      <w:r w:rsidR="008208FB">
        <w:rPr>
          <w:szCs w:val="24"/>
        </w:rPr>
        <w:t xml:space="preserve">Exceptions, </w:t>
      </w:r>
      <w:r w:rsidR="00B96D4C" w:rsidRPr="00B96D4C">
        <w:rPr>
          <w:i/>
          <w:szCs w:val="24"/>
        </w:rPr>
        <w:t>infra</w:t>
      </w:r>
      <w:r w:rsidR="008208FB">
        <w:rPr>
          <w:szCs w:val="24"/>
        </w:rPr>
        <w:t>.</w:t>
      </w:r>
    </w:p>
    <w:p w:rsidR="001E7B75" w:rsidRDefault="001E7B75" w:rsidP="000D7C1A">
      <w:pPr>
        <w:rPr>
          <w:szCs w:val="24"/>
        </w:rPr>
      </w:pPr>
    </w:p>
    <w:p w:rsidR="00B96D4C" w:rsidRDefault="002A1786" w:rsidP="00956EAA">
      <w:pPr>
        <w:pStyle w:val="Heading3"/>
      </w:pPr>
      <w:r>
        <w:t>Waste</w:t>
      </w:r>
      <w:r w:rsidR="003571BD">
        <w:t>w</w:t>
      </w:r>
      <w:r w:rsidR="00B96D4C">
        <w:t>ater Service</w:t>
      </w:r>
    </w:p>
    <w:p w:rsidR="00B96D4C" w:rsidRPr="006C286C" w:rsidRDefault="00B96D4C" w:rsidP="00956EAA">
      <w:pPr>
        <w:keepNext/>
        <w:spacing w:line="240" w:lineRule="auto"/>
      </w:pPr>
    </w:p>
    <w:p w:rsidR="00B96D4C" w:rsidRDefault="00B96D4C" w:rsidP="00AE19ED">
      <w:pPr>
        <w:pStyle w:val="Heading4"/>
        <w:numPr>
          <w:ilvl w:val="0"/>
          <w:numId w:val="27"/>
        </w:numPr>
      </w:pPr>
      <w:r w:rsidRPr="00622F1B">
        <w:t>Operating Revenue and Rates</w:t>
      </w:r>
    </w:p>
    <w:p w:rsidR="003571BD" w:rsidRDefault="003571BD" w:rsidP="003571BD">
      <w:pPr>
        <w:spacing w:line="240" w:lineRule="auto"/>
      </w:pPr>
    </w:p>
    <w:p w:rsidR="003571BD" w:rsidRDefault="003571BD" w:rsidP="003571BD">
      <w:r>
        <w:t>Under the terms or the proposed Wastewater Settlement, TESI would be authorized to file tariff supplements containing the rates set forth in Appendix A</w:t>
      </w:r>
      <w:r w:rsidR="00242C95">
        <w:t>,</w:t>
      </w:r>
      <w:r>
        <w:t xml:space="preserve"> which are designed to produce additional operating revenues of approximately of $</w:t>
      </w:r>
      <w:r w:rsidR="00753B18">
        <w:t>105,059</w:t>
      </w:r>
      <w:r>
        <w:t xml:space="preserve"> (W</w:t>
      </w:r>
      <w:r w:rsidR="00195D62">
        <w:t>astew</w:t>
      </w:r>
      <w:r>
        <w:t>ater Settlement rates).  The W</w:t>
      </w:r>
      <w:r w:rsidR="00195D62">
        <w:t>astew</w:t>
      </w:r>
      <w:r>
        <w:t>ater Settlement rates are in substitution of the originally proposed rates in Supplement No. 6 to Tariff Wastewater – Pa. P.U.C. No. 4 which were designed to produce $268,150 in increased annual operating revenues.  The W</w:t>
      </w:r>
      <w:r w:rsidR="00B1315B">
        <w:t>astew</w:t>
      </w:r>
      <w:r>
        <w:t xml:space="preserve">ater Settlement rates are to become effective for service furnished upon the day after the Commission enters an Order approving the </w:t>
      </w:r>
      <w:r w:rsidR="000872ED">
        <w:t>Settlement</w:t>
      </w:r>
      <w:r>
        <w:t>.</w:t>
      </w:r>
      <w:r w:rsidR="00753B18">
        <w:t xml:space="preserve">  </w:t>
      </w:r>
      <w:proofErr w:type="gramStart"/>
      <w:r w:rsidR="00753B18">
        <w:t xml:space="preserve">Wastewater Settlement </w:t>
      </w:r>
      <w:r w:rsidR="00B1315B">
        <w:br/>
      </w:r>
      <w:r w:rsidR="008D445B">
        <w:rPr>
          <w:rFonts w:cs="Times New Roman"/>
        </w:rPr>
        <w:t>¶</w:t>
      </w:r>
      <w:r w:rsidR="002D2DED">
        <w:rPr>
          <w:rFonts w:cs="Times New Roman"/>
        </w:rPr>
        <w:t xml:space="preserve"> </w:t>
      </w:r>
      <w:r w:rsidR="008D445B">
        <w:t xml:space="preserve">14(a) </w:t>
      </w:r>
      <w:r w:rsidR="00753B18">
        <w:t>at 5.</w:t>
      </w:r>
      <w:proofErr w:type="gramEnd"/>
      <w:r w:rsidR="00753B18">
        <w:t xml:space="preserve"> </w:t>
      </w:r>
    </w:p>
    <w:p w:rsidR="003571BD" w:rsidRPr="003571BD" w:rsidRDefault="003571BD" w:rsidP="003571BD"/>
    <w:p w:rsidR="00956EAA" w:rsidRDefault="00956EAA" w:rsidP="00956EAA">
      <w:pPr>
        <w:keepNext/>
      </w:pPr>
      <w:r>
        <w:lastRenderedPageBreak/>
        <w:t xml:space="preserve">As reflected in </w:t>
      </w:r>
      <w:r w:rsidR="003C27C5">
        <w:t xml:space="preserve">Paragraph 14(a) to the </w:t>
      </w:r>
      <w:r>
        <w:t>W</w:t>
      </w:r>
      <w:r w:rsidR="00D41479">
        <w:t>astew</w:t>
      </w:r>
      <w:r>
        <w:t xml:space="preserve">ater Settlement rates include the following allocation of the increase in annual operating revenues among the rate classes:  </w:t>
      </w:r>
    </w:p>
    <w:p w:rsidR="002D2DED" w:rsidRDefault="002D2DED" w:rsidP="00956EAA">
      <w:pPr>
        <w:keepNext/>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2107"/>
        <w:gridCol w:w="2123"/>
      </w:tblGrid>
      <w:tr w:rsidR="00956EAA" w:rsidTr="000C76AD">
        <w:tc>
          <w:tcPr>
            <w:tcW w:w="2070" w:type="dxa"/>
          </w:tcPr>
          <w:p w:rsidR="00956EAA" w:rsidRDefault="00956EAA" w:rsidP="00564B48">
            <w:pPr>
              <w:keepNext/>
              <w:spacing w:after="120"/>
              <w:ind w:firstLine="0"/>
            </w:pPr>
          </w:p>
        </w:tc>
        <w:tc>
          <w:tcPr>
            <w:tcW w:w="2107" w:type="dxa"/>
          </w:tcPr>
          <w:p w:rsidR="00956EAA" w:rsidRPr="00712EE9" w:rsidRDefault="00956EAA" w:rsidP="000C76AD">
            <w:pPr>
              <w:keepNext/>
              <w:spacing w:after="120"/>
              <w:ind w:firstLine="0"/>
              <w:jc w:val="center"/>
              <w:rPr>
                <w:u w:val="single"/>
              </w:rPr>
            </w:pPr>
            <w:r w:rsidRPr="000C76AD">
              <w:t xml:space="preserve">Revenue </w:t>
            </w:r>
            <w:r w:rsidRPr="00712EE9">
              <w:rPr>
                <w:u w:val="single"/>
              </w:rPr>
              <w:t>Increase</w:t>
            </w:r>
            <w:r w:rsidR="000C76AD">
              <w:rPr>
                <w:u w:val="single"/>
              </w:rPr>
              <w:t>/Decrease</w:t>
            </w:r>
          </w:p>
        </w:tc>
        <w:tc>
          <w:tcPr>
            <w:tcW w:w="2123" w:type="dxa"/>
          </w:tcPr>
          <w:p w:rsidR="00956EAA" w:rsidRPr="00712EE9" w:rsidRDefault="00956EAA" w:rsidP="000C76AD">
            <w:pPr>
              <w:keepNext/>
              <w:keepLines/>
              <w:spacing w:after="120"/>
              <w:ind w:firstLine="0"/>
              <w:jc w:val="center"/>
              <w:rPr>
                <w:u w:val="single"/>
              </w:rPr>
            </w:pPr>
            <w:r w:rsidRPr="000C76AD">
              <w:t xml:space="preserve">Percent </w:t>
            </w:r>
            <w:r w:rsidRPr="00712EE9">
              <w:rPr>
                <w:u w:val="single"/>
              </w:rPr>
              <w:t>Increase</w:t>
            </w:r>
            <w:r w:rsidR="000C76AD">
              <w:rPr>
                <w:u w:val="single"/>
              </w:rPr>
              <w:t>/Decrease</w:t>
            </w:r>
          </w:p>
        </w:tc>
      </w:tr>
      <w:tr w:rsidR="00956EAA" w:rsidRPr="00564B48" w:rsidTr="000C76AD">
        <w:tc>
          <w:tcPr>
            <w:tcW w:w="2070" w:type="dxa"/>
          </w:tcPr>
          <w:p w:rsidR="00956EAA" w:rsidRPr="00564B48" w:rsidRDefault="00956EAA" w:rsidP="00564B48">
            <w:pPr>
              <w:keepNext/>
              <w:spacing w:after="120"/>
              <w:ind w:firstLine="0"/>
            </w:pPr>
            <w:r w:rsidRPr="00564B48">
              <w:t>Residential</w:t>
            </w:r>
          </w:p>
        </w:tc>
        <w:tc>
          <w:tcPr>
            <w:tcW w:w="2107" w:type="dxa"/>
          </w:tcPr>
          <w:p w:rsidR="00956EAA" w:rsidRPr="00564B48" w:rsidRDefault="007A3218" w:rsidP="007A3218">
            <w:pPr>
              <w:keepNext/>
              <w:spacing w:after="120"/>
              <w:ind w:right="432" w:firstLine="0"/>
              <w:jc w:val="right"/>
            </w:pPr>
            <w:r w:rsidRPr="00564B48">
              <w:t>$ 116,902</w:t>
            </w:r>
          </w:p>
        </w:tc>
        <w:tc>
          <w:tcPr>
            <w:tcW w:w="2123" w:type="dxa"/>
          </w:tcPr>
          <w:p w:rsidR="00956EAA" w:rsidRPr="00564B48" w:rsidRDefault="007A3218" w:rsidP="00564B48">
            <w:pPr>
              <w:keepNext/>
              <w:keepLines/>
              <w:spacing w:after="120"/>
              <w:ind w:right="432" w:firstLine="0"/>
              <w:jc w:val="right"/>
            </w:pPr>
            <w:r w:rsidRPr="00564B48">
              <w:t>16.6</w:t>
            </w:r>
            <w:r w:rsidR="00956EAA" w:rsidRPr="00564B48">
              <w:t>%</w:t>
            </w:r>
          </w:p>
        </w:tc>
      </w:tr>
      <w:tr w:rsidR="00956EAA" w:rsidRPr="00564B48" w:rsidTr="000C76AD">
        <w:tc>
          <w:tcPr>
            <w:tcW w:w="2070" w:type="dxa"/>
          </w:tcPr>
          <w:p w:rsidR="00956EAA" w:rsidRPr="00564B48" w:rsidRDefault="00956EAA" w:rsidP="00564B48">
            <w:pPr>
              <w:keepNext/>
              <w:spacing w:after="120"/>
              <w:ind w:firstLine="0"/>
            </w:pPr>
            <w:r w:rsidRPr="00564B48">
              <w:t>Commercial</w:t>
            </w:r>
          </w:p>
        </w:tc>
        <w:tc>
          <w:tcPr>
            <w:tcW w:w="2107" w:type="dxa"/>
          </w:tcPr>
          <w:p w:rsidR="00956EAA" w:rsidRPr="00564B48" w:rsidRDefault="00956EAA" w:rsidP="00183A28">
            <w:pPr>
              <w:keepNext/>
              <w:spacing w:after="120"/>
              <w:ind w:right="432" w:firstLine="0"/>
              <w:jc w:val="right"/>
            </w:pPr>
            <w:r w:rsidRPr="00564B48">
              <w:t>$</w:t>
            </w:r>
            <w:r w:rsidR="00183A28">
              <w:t>-</w:t>
            </w:r>
            <w:r w:rsidR="007A3218" w:rsidRPr="00564B48">
              <w:t>14,987</w:t>
            </w:r>
          </w:p>
        </w:tc>
        <w:tc>
          <w:tcPr>
            <w:tcW w:w="2123" w:type="dxa"/>
          </w:tcPr>
          <w:p w:rsidR="00956EAA" w:rsidRPr="00564B48" w:rsidRDefault="000872ED" w:rsidP="00564B48">
            <w:pPr>
              <w:keepNext/>
              <w:keepLines/>
              <w:spacing w:after="120"/>
              <w:ind w:right="432" w:firstLine="0"/>
              <w:jc w:val="right"/>
            </w:pPr>
            <w:r>
              <w:t xml:space="preserve"> - </w:t>
            </w:r>
            <w:r w:rsidR="00956EAA" w:rsidRPr="00564B48">
              <w:t>1</w:t>
            </w:r>
            <w:r w:rsidR="00564B48" w:rsidRPr="00564B48">
              <w:t>5</w:t>
            </w:r>
            <w:r w:rsidR="00956EAA" w:rsidRPr="00564B48">
              <w:t>.</w:t>
            </w:r>
            <w:r w:rsidR="00564B48" w:rsidRPr="00564B48">
              <w:t>0</w:t>
            </w:r>
            <w:r w:rsidR="00956EAA" w:rsidRPr="00564B48">
              <w:t>%</w:t>
            </w:r>
          </w:p>
        </w:tc>
      </w:tr>
      <w:tr w:rsidR="00956EAA" w:rsidRPr="00564B48" w:rsidTr="000C76AD">
        <w:tc>
          <w:tcPr>
            <w:tcW w:w="2070" w:type="dxa"/>
          </w:tcPr>
          <w:p w:rsidR="00956EAA" w:rsidRPr="00564B48" w:rsidRDefault="00956EAA" w:rsidP="00564B48">
            <w:pPr>
              <w:keepNext/>
              <w:spacing w:after="120"/>
              <w:ind w:firstLine="0"/>
            </w:pPr>
            <w:r w:rsidRPr="00564B48">
              <w:t>Availability</w:t>
            </w:r>
          </w:p>
        </w:tc>
        <w:tc>
          <w:tcPr>
            <w:tcW w:w="2107" w:type="dxa"/>
          </w:tcPr>
          <w:p w:rsidR="00956EAA" w:rsidRPr="00564B48" w:rsidRDefault="00956EAA" w:rsidP="00564B48">
            <w:pPr>
              <w:keepNext/>
              <w:spacing w:after="120"/>
              <w:ind w:right="432" w:firstLine="0"/>
              <w:jc w:val="right"/>
            </w:pPr>
            <w:r w:rsidRPr="00564B48">
              <w:t>0</w:t>
            </w:r>
          </w:p>
        </w:tc>
        <w:tc>
          <w:tcPr>
            <w:tcW w:w="2123" w:type="dxa"/>
          </w:tcPr>
          <w:p w:rsidR="00956EAA" w:rsidRPr="00564B48" w:rsidRDefault="00956EAA" w:rsidP="00564B48">
            <w:pPr>
              <w:keepNext/>
              <w:keepLines/>
              <w:spacing w:after="120"/>
              <w:ind w:right="432" w:firstLine="0"/>
              <w:jc w:val="right"/>
            </w:pPr>
            <w:r w:rsidRPr="00564B48">
              <w:t>0.0%</w:t>
            </w:r>
          </w:p>
        </w:tc>
      </w:tr>
      <w:tr w:rsidR="007A3218" w:rsidRPr="00564B48" w:rsidTr="000C76AD">
        <w:tc>
          <w:tcPr>
            <w:tcW w:w="2070" w:type="dxa"/>
          </w:tcPr>
          <w:p w:rsidR="007A3218" w:rsidRPr="00564B48" w:rsidRDefault="007A3218" w:rsidP="007A3218">
            <w:pPr>
              <w:keepNext/>
              <w:spacing w:after="120"/>
              <w:ind w:firstLine="0"/>
            </w:pPr>
            <w:r w:rsidRPr="00564B48">
              <w:t>Flat Rate</w:t>
            </w:r>
          </w:p>
        </w:tc>
        <w:tc>
          <w:tcPr>
            <w:tcW w:w="2107" w:type="dxa"/>
          </w:tcPr>
          <w:p w:rsidR="007A3218" w:rsidRPr="00564B48" w:rsidRDefault="007A3218" w:rsidP="00183A28">
            <w:pPr>
              <w:keepNext/>
              <w:spacing w:after="120"/>
              <w:ind w:right="432" w:firstLine="0"/>
              <w:jc w:val="right"/>
            </w:pPr>
            <w:r w:rsidRPr="00564B48">
              <w:t>$</w:t>
            </w:r>
            <w:r w:rsidR="00183A28">
              <w:t>-</w:t>
            </w:r>
            <w:r w:rsidRPr="00564B48">
              <w:t>1,073</w:t>
            </w:r>
          </w:p>
        </w:tc>
        <w:tc>
          <w:tcPr>
            <w:tcW w:w="2123" w:type="dxa"/>
          </w:tcPr>
          <w:p w:rsidR="007A3218" w:rsidRPr="00564B48" w:rsidRDefault="007A3218" w:rsidP="00564B48">
            <w:pPr>
              <w:keepNext/>
              <w:keepLines/>
              <w:spacing w:after="120"/>
              <w:ind w:right="432" w:firstLine="0"/>
              <w:jc w:val="right"/>
            </w:pPr>
            <w:r w:rsidRPr="00564B48">
              <w:t>-6.1%</w:t>
            </w:r>
          </w:p>
        </w:tc>
      </w:tr>
      <w:tr w:rsidR="00956EAA" w:rsidRPr="00564B48" w:rsidTr="000C76AD">
        <w:tc>
          <w:tcPr>
            <w:tcW w:w="2070" w:type="dxa"/>
            <w:tcBorders>
              <w:bottom w:val="single" w:sz="4" w:space="0" w:color="auto"/>
            </w:tcBorders>
          </w:tcPr>
          <w:p w:rsidR="00956EAA" w:rsidRPr="00564B48" w:rsidRDefault="00956EAA" w:rsidP="00564B48">
            <w:pPr>
              <w:keepNext/>
              <w:spacing w:after="120"/>
              <w:ind w:firstLine="0"/>
            </w:pPr>
            <w:r w:rsidRPr="00564B48">
              <w:t>Miscellaneous</w:t>
            </w:r>
          </w:p>
        </w:tc>
        <w:tc>
          <w:tcPr>
            <w:tcW w:w="2107" w:type="dxa"/>
            <w:tcBorders>
              <w:bottom w:val="single" w:sz="4" w:space="0" w:color="auto"/>
            </w:tcBorders>
          </w:tcPr>
          <w:p w:rsidR="00956EAA" w:rsidRPr="00564B48" w:rsidRDefault="00956EAA" w:rsidP="007A3218">
            <w:pPr>
              <w:keepNext/>
              <w:spacing w:after="120"/>
              <w:ind w:right="432" w:firstLine="0"/>
              <w:jc w:val="right"/>
            </w:pPr>
            <w:r w:rsidRPr="00564B48">
              <w:t>$</w:t>
            </w:r>
            <w:r w:rsidR="007A3218" w:rsidRPr="00564B48">
              <w:t xml:space="preserve"> 4,146</w:t>
            </w:r>
          </w:p>
        </w:tc>
        <w:tc>
          <w:tcPr>
            <w:tcW w:w="2123" w:type="dxa"/>
            <w:tcBorders>
              <w:bottom w:val="single" w:sz="4" w:space="0" w:color="auto"/>
            </w:tcBorders>
          </w:tcPr>
          <w:p w:rsidR="00956EAA" w:rsidRPr="00564B48" w:rsidRDefault="007A3218" w:rsidP="007A3218">
            <w:pPr>
              <w:keepNext/>
              <w:keepLines/>
              <w:spacing w:after="120"/>
              <w:ind w:right="432" w:firstLine="0"/>
              <w:jc w:val="right"/>
            </w:pPr>
            <w:r w:rsidRPr="00564B48">
              <w:t>1</w:t>
            </w:r>
            <w:r w:rsidR="00956EAA" w:rsidRPr="00564B48">
              <w:t>0.0%</w:t>
            </w:r>
          </w:p>
        </w:tc>
      </w:tr>
      <w:tr w:rsidR="00956EAA" w:rsidRPr="00564B48" w:rsidTr="000C76AD">
        <w:tc>
          <w:tcPr>
            <w:tcW w:w="2070" w:type="dxa"/>
            <w:tcBorders>
              <w:top w:val="single" w:sz="4" w:space="0" w:color="auto"/>
            </w:tcBorders>
          </w:tcPr>
          <w:p w:rsidR="00956EAA" w:rsidRPr="00564B48" w:rsidRDefault="00956EAA" w:rsidP="00183A28">
            <w:pPr>
              <w:keepNext/>
              <w:spacing w:before="60" w:after="120"/>
              <w:ind w:firstLine="0"/>
            </w:pPr>
            <w:r w:rsidRPr="00564B48">
              <w:t>Total Company</w:t>
            </w:r>
          </w:p>
        </w:tc>
        <w:tc>
          <w:tcPr>
            <w:tcW w:w="2107" w:type="dxa"/>
            <w:tcBorders>
              <w:top w:val="single" w:sz="4" w:space="0" w:color="auto"/>
            </w:tcBorders>
          </w:tcPr>
          <w:p w:rsidR="00956EAA" w:rsidRPr="00564B48" w:rsidRDefault="00956EAA" w:rsidP="0003202C">
            <w:pPr>
              <w:keepNext/>
              <w:spacing w:before="60" w:after="120"/>
              <w:ind w:right="360" w:firstLine="0"/>
              <w:jc w:val="right"/>
            </w:pPr>
            <w:r w:rsidRPr="00564B48">
              <w:t>$</w:t>
            </w:r>
            <w:r w:rsidR="007A3218" w:rsidRPr="00564B48">
              <w:t xml:space="preserve"> 105,059</w:t>
            </w:r>
            <w:r w:rsidR="003C27C5">
              <w:rPr>
                <w:rStyle w:val="FootnoteReference"/>
              </w:rPr>
              <w:footnoteReference w:id="2"/>
            </w:r>
          </w:p>
        </w:tc>
        <w:tc>
          <w:tcPr>
            <w:tcW w:w="2123" w:type="dxa"/>
            <w:tcBorders>
              <w:top w:val="single" w:sz="4" w:space="0" w:color="auto"/>
            </w:tcBorders>
          </w:tcPr>
          <w:p w:rsidR="00956EAA" w:rsidRPr="00564B48" w:rsidRDefault="007A3218" w:rsidP="000C76AD">
            <w:pPr>
              <w:keepNext/>
              <w:keepLines/>
              <w:spacing w:before="60" w:after="120"/>
              <w:ind w:right="432" w:firstLine="0"/>
              <w:jc w:val="right"/>
            </w:pPr>
            <w:r w:rsidRPr="00564B48">
              <w:t>10.0</w:t>
            </w:r>
            <w:r w:rsidR="00956EAA" w:rsidRPr="00564B48">
              <w:t>%</w:t>
            </w:r>
          </w:p>
        </w:tc>
      </w:tr>
    </w:tbl>
    <w:p w:rsidR="00956EAA" w:rsidRPr="00D41479" w:rsidRDefault="00956EAA" w:rsidP="000C76AD">
      <w:pPr>
        <w:spacing w:before="60"/>
      </w:pPr>
    </w:p>
    <w:p w:rsidR="00956EAA" w:rsidRDefault="008D445B" w:rsidP="008D445B">
      <w:pPr>
        <w:keepNext/>
        <w:tabs>
          <w:tab w:val="right" w:pos="9360"/>
        </w:tabs>
      </w:pPr>
      <w:r>
        <w:t>T</w:t>
      </w:r>
      <w:r w:rsidR="00956EAA" w:rsidRPr="00D41479">
        <w:t>he W</w:t>
      </w:r>
      <w:r w:rsidR="00D41479" w:rsidRPr="00D41479">
        <w:t>astew</w:t>
      </w:r>
      <w:r w:rsidR="00956EAA" w:rsidRPr="00D41479">
        <w:t>ater Settlement will result in the following monthly rates</w:t>
      </w:r>
      <w:r w:rsidR="00BB27C1" w:rsidRPr="00D41479">
        <w:t>:</w:t>
      </w:r>
      <w:r>
        <w:tab/>
      </w:r>
    </w:p>
    <w:p w:rsidR="002D2DED" w:rsidRPr="00D41479" w:rsidRDefault="002D2DED" w:rsidP="002D2DED">
      <w:pPr>
        <w:keepNext/>
        <w:tabs>
          <w:tab w:val="right" w:pos="9360"/>
        </w:tabs>
        <w:spacing w:line="240" w:lineRule="auto"/>
      </w:pPr>
    </w:p>
    <w:p w:rsidR="00956EAA" w:rsidRPr="00D41479" w:rsidRDefault="00956EAA" w:rsidP="005D02A6">
      <w:pPr>
        <w:keepNext/>
        <w:rPr>
          <w:u w:val="single"/>
        </w:rPr>
      </w:pPr>
      <w:r w:rsidRPr="00D41479">
        <w:rPr>
          <w:u w:val="single"/>
        </w:rPr>
        <w:t xml:space="preserve">Customer Charge </w:t>
      </w: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35"/>
        <w:gridCol w:w="90"/>
        <w:gridCol w:w="1665"/>
        <w:gridCol w:w="1800"/>
        <w:gridCol w:w="1800"/>
      </w:tblGrid>
      <w:tr w:rsidR="00956EAA" w:rsidRPr="00D41479" w:rsidTr="00895C9D">
        <w:trPr>
          <w:jc w:val="center"/>
        </w:trPr>
        <w:tc>
          <w:tcPr>
            <w:tcW w:w="2025" w:type="dxa"/>
            <w:gridSpan w:val="2"/>
          </w:tcPr>
          <w:p w:rsidR="00956EAA" w:rsidRPr="00D41479" w:rsidRDefault="00B8705C" w:rsidP="005D02A6">
            <w:pPr>
              <w:keepNext/>
              <w:ind w:left="288" w:firstLine="0"/>
              <w:jc w:val="center"/>
            </w:pPr>
            <w:r>
              <w:t xml:space="preserve">Water Meter </w:t>
            </w:r>
            <w:r w:rsidRPr="00B8705C">
              <w:rPr>
                <w:u w:val="single"/>
              </w:rPr>
              <w:t>Size</w:t>
            </w:r>
          </w:p>
        </w:tc>
        <w:tc>
          <w:tcPr>
            <w:tcW w:w="1665" w:type="dxa"/>
            <w:tcBorders>
              <w:left w:val="nil"/>
            </w:tcBorders>
            <w:vAlign w:val="center"/>
          </w:tcPr>
          <w:p w:rsidR="00956EAA" w:rsidRPr="00D41479" w:rsidRDefault="00956EAA" w:rsidP="005D02A6">
            <w:pPr>
              <w:keepNext/>
              <w:ind w:firstLine="0"/>
              <w:jc w:val="center"/>
              <w:rPr>
                <w:u w:val="single"/>
              </w:rPr>
            </w:pPr>
            <w:r w:rsidRPr="00D41479">
              <w:rPr>
                <w:u w:val="single"/>
              </w:rPr>
              <w:t>Present</w:t>
            </w:r>
          </w:p>
        </w:tc>
        <w:tc>
          <w:tcPr>
            <w:tcW w:w="1800" w:type="dxa"/>
            <w:vAlign w:val="center"/>
          </w:tcPr>
          <w:p w:rsidR="00956EAA" w:rsidRPr="00D41479" w:rsidRDefault="00956EAA" w:rsidP="005D02A6">
            <w:pPr>
              <w:keepNext/>
              <w:ind w:firstLine="0"/>
              <w:jc w:val="center"/>
              <w:rPr>
                <w:u w:val="single"/>
              </w:rPr>
            </w:pPr>
            <w:r w:rsidRPr="00D41479">
              <w:rPr>
                <w:u w:val="single"/>
              </w:rPr>
              <w:t>Settlement</w:t>
            </w:r>
          </w:p>
        </w:tc>
        <w:tc>
          <w:tcPr>
            <w:tcW w:w="1800" w:type="dxa"/>
            <w:vAlign w:val="center"/>
          </w:tcPr>
          <w:p w:rsidR="00956EAA" w:rsidRPr="00D41479" w:rsidRDefault="00956EAA" w:rsidP="005D02A6">
            <w:pPr>
              <w:keepNext/>
              <w:ind w:firstLine="0"/>
              <w:jc w:val="center"/>
              <w:rPr>
                <w:u w:val="single"/>
              </w:rPr>
            </w:pPr>
            <w:r w:rsidRPr="00D41479">
              <w:t xml:space="preserve">Percent </w:t>
            </w:r>
            <w:r w:rsidRPr="00D41479">
              <w:rPr>
                <w:u w:val="single"/>
              </w:rPr>
              <w:t>Increase</w:t>
            </w:r>
          </w:p>
        </w:tc>
      </w:tr>
      <w:tr w:rsidR="00956EAA" w:rsidRPr="00D41479" w:rsidTr="00B8705C">
        <w:trPr>
          <w:jc w:val="center"/>
        </w:trPr>
        <w:tc>
          <w:tcPr>
            <w:tcW w:w="1935" w:type="dxa"/>
          </w:tcPr>
          <w:p w:rsidR="00956EAA" w:rsidRPr="00D41479" w:rsidRDefault="00956EAA" w:rsidP="00546A08">
            <w:pPr>
              <w:keepNext/>
              <w:spacing w:before="60"/>
              <w:ind w:right="288" w:firstLine="0"/>
              <w:jc w:val="right"/>
            </w:pPr>
            <w:r w:rsidRPr="00D41479">
              <w:t>5/8”</w:t>
            </w:r>
          </w:p>
        </w:tc>
        <w:tc>
          <w:tcPr>
            <w:tcW w:w="1755" w:type="dxa"/>
            <w:gridSpan w:val="2"/>
          </w:tcPr>
          <w:p w:rsidR="00956EAA" w:rsidRPr="00D41479" w:rsidRDefault="00956EAA" w:rsidP="005D02A6">
            <w:pPr>
              <w:keepNext/>
              <w:spacing w:before="60"/>
              <w:ind w:right="288" w:firstLine="0"/>
              <w:jc w:val="right"/>
            </w:pPr>
            <w:r w:rsidRPr="00D41479">
              <w:t xml:space="preserve">$ </w:t>
            </w:r>
            <w:r w:rsidR="00755D7B" w:rsidRPr="00D41479">
              <w:t>19.40</w:t>
            </w:r>
          </w:p>
        </w:tc>
        <w:tc>
          <w:tcPr>
            <w:tcW w:w="1800" w:type="dxa"/>
          </w:tcPr>
          <w:p w:rsidR="00956EAA" w:rsidRPr="00D41479" w:rsidRDefault="00956EAA" w:rsidP="005D02A6">
            <w:pPr>
              <w:keepNext/>
              <w:spacing w:before="60"/>
              <w:ind w:right="288" w:firstLine="0"/>
              <w:jc w:val="right"/>
            </w:pPr>
            <w:r w:rsidRPr="00D41479">
              <w:t xml:space="preserve">$ </w:t>
            </w:r>
            <w:r w:rsidR="00755D7B" w:rsidRPr="00D41479">
              <w:t>20.61</w:t>
            </w:r>
          </w:p>
        </w:tc>
        <w:tc>
          <w:tcPr>
            <w:tcW w:w="1800" w:type="dxa"/>
          </w:tcPr>
          <w:p w:rsidR="00956EAA" w:rsidRPr="00D41479" w:rsidRDefault="00755D7B" w:rsidP="005D02A6">
            <w:pPr>
              <w:keepNext/>
              <w:spacing w:before="60"/>
              <w:ind w:right="288" w:firstLine="0"/>
              <w:jc w:val="right"/>
            </w:pPr>
            <w:r w:rsidRPr="00D41479">
              <w:t>6.2</w:t>
            </w:r>
            <w:r w:rsidR="00956EAA" w:rsidRPr="00D41479">
              <w:t>%</w:t>
            </w:r>
          </w:p>
        </w:tc>
      </w:tr>
      <w:tr w:rsidR="00564B48" w:rsidRPr="00D41479" w:rsidTr="00B8705C">
        <w:trPr>
          <w:jc w:val="center"/>
        </w:trPr>
        <w:tc>
          <w:tcPr>
            <w:tcW w:w="1935" w:type="dxa"/>
          </w:tcPr>
          <w:p w:rsidR="00564B48" w:rsidRPr="00D41479" w:rsidRDefault="00564B48" w:rsidP="005D02A6">
            <w:pPr>
              <w:keepNext/>
              <w:spacing w:before="60"/>
              <w:ind w:firstLine="0"/>
              <w:jc w:val="right"/>
            </w:pPr>
            <w:r w:rsidRPr="00D41479">
              <w:t>5/8” w/PC</w:t>
            </w:r>
            <w:r w:rsidR="009010FE">
              <w:rPr>
                <w:rStyle w:val="FootnoteReference"/>
              </w:rPr>
              <w:footnoteReference w:id="3"/>
            </w:r>
          </w:p>
        </w:tc>
        <w:tc>
          <w:tcPr>
            <w:tcW w:w="1755" w:type="dxa"/>
            <w:gridSpan w:val="2"/>
          </w:tcPr>
          <w:p w:rsidR="00564B48" w:rsidRPr="00D41479" w:rsidRDefault="00755D7B" w:rsidP="005D02A6">
            <w:pPr>
              <w:keepNext/>
              <w:spacing w:before="60"/>
              <w:ind w:right="288" w:firstLine="0"/>
              <w:jc w:val="right"/>
            </w:pPr>
            <w:r w:rsidRPr="00D41479">
              <w:t>$ 18.40</w:t>
            </w:r>
          </w:p>
        </w:tc>
        <w:tc>
          <w:tcPr>
            <w:tcW w:w="1800" w:type="dxa"/>
          </w:tcPr>
          <w:p w:rsidR="00564B48" w:rsidRPr="00D41479" w:rsidRDefault="00755D7B" w:rsidP="005D02A6">
            <w:pPr>
              <w:keepNext/>
              <w:spacing w:before="60"/>
              <w:ind w:right="288" w:firstLine="0"/>
              <w:jc w:val="right"/>
            </w:pPr>
            <w:r w:rsidRPr="00D41479">
              <w:t>$ 19.61</w:t>
            </w:r>
          </w:p>
        </w:tc>
        <w:tc>
          <w:tcPr>
            <w:tcW w:w="1800" w:type="dxa"/>
          </w:tcPr>
          <w:p w:rsidR="00564B48" w:rsidRPr="00D41479" w:rsidRDefault="00755D7B" w:rsidP="005D02A6">
            <w:pPr>
              <w:keepNext/>
              <w:spacing w:before="60"/>
              <w:ind w:right="288" w:firstLine="0"/>
              <w:jc w:val="right"/>
            </w:pPr>
            <w:r w:rsidRPr="00D41479">
              <w:t>6.6%</w:t>
            </w:r>
          </w:p>
        </w:tc>
      </w:tr>
      <w:tr w:rsidR="00956EAA" w:rsidRPr="00D41479" w:rsidTr="00B8705C">
        <w:trPr>
          <w:jc w:val="center"/>
        </w:trPr>
        <w:tc>
          <w:tcPr>
            <w:tcW w:w="1935" w:type="dxa"/>
          </w:tcPr>
          <w:p w:rsidR="00956EAA" w:rsidRPr="00D41479" w:rsidRDefault="00956EAA" w:rsidP="00546A08">
            <w:pPr>
              <w:keepNext/>
              <w:spacing w:before="60"/>
              <w:ind w:right="288" w:firstLine="0"/>
              <w:jc w:val="right"/>
            </w:pPr>
            <w:r w:rsidRPr="00D41479">
              <w:t>1”</w:t>
            </w:r>
          </w:p>
        </w:tc>
        <w:tc>
          <w:tcPr>
            <w:tcW w:w="1755" w:type="dxa"/>
            <w:gridSpan w:val="2"/>
          </w:tcPr>
          <w:p w:rsidR="00956EAA" w:rsidRPr="00D41479" w:rsidRDefault="00956EAA" w:rsidP="005D02A6">
            <w:pPr>
              <w:keepNext/>
              <w:spacing w:before="60"/>
              <w:ind w:right="288" w:firstLine="0"/>
              <w:jc w:val="right"/>
            </w:pPr>
            <w:r w:rsidRPr="00D41479">
              <w:t xml:space="preserve">$ </w:t>
            </w:r>
            <w:r w:rsidR="00755D7B" w:rsidRPr="00D41479">
              <w:t>36.64</w:t>
            </w:r>
          </w:p>
        </w:tc>
        <w:tc>
          <w:tcPr>
            <w:tcW w:w="1800" w:type="dxa"/>
          </w:tcPr>
          <w:p w:rsidR="00956EAA" w:rsidRPr="00D41479" w:rsidRDefault="00956EAA" w:rsidP="005D02A6">
            <w:pPr>
              <w:keepNext/>
              <w:spacing w:before="60"/>
              <w:ind w:right="288" w:firstLine="0"/>
              <w:jc w:val="right"/>
            </w:pPr>
            <w:r w:rsidRPr="00D41479">
              <w:t xml:space="preserve">$ </w:t>
            </w:r>
            <w:r w:rsidR="00755D7B" w:rsidRPr="00D41479">
              <w:t>38.93</w:t>
            </w:r>
          </w:p>
        </w:tc>
        <w:tc>
          <w:tcPr>
            <w:tcW w:w="1800" w:type="dxa"/>
          </w:tcPr>
          <w:p w:rsidR="00956EAA" w:rsidRPr="00D41479" w:rsidRDefault="0048223A" w:rsidP="005D02A6">
            <w:pPr>
              <w:keepNext/>
              <w:spacing w:before="60"/>
              <w:ind w:right="288" w:firstLine="0"/>
              <w:jc w:val="right"/>
            </w:pPr>
            <w:r w:rsidRPr="00D41479">
              <w:t>6.3%</w:t>
            </w:r>
          </w:p>
        </w:tc>
      </w:tr>
      <w:tr w:rsidR="00956EAA" w:rsidRPr="00D41479" w:rsidTr="00B8705C">
        <w:trPr>
          <w:jc w:val="center"/>
        </w:trPr>
        <w:tc>
          <w:tcPr>
            <w:tcW w:w="1935" w:type="dxa"/>
          </w:tcPr>
          <w:p w:rsidR="00956EAA" w:rsidRPr="00D41479" w:rsidRDefault="00956EAA" w:rsidP="00546A08">
            <w:pPr>
              <w:keepNext/>
              <w:spacing w:before="60"/>
              <w:ind w:right="288" w:firstLine="0"/>
              <w:jc w:val="right"/>
            </w:pPr>
            <w:r w:rsidRPr="00D41479">
              <w:t>1 ½”</w:t>
            </w:r>
          </w:p>
        </w:tc>
        <w:tc>
          <w:tcPr>
            <w:tcW w:w="1755" w:type="dxa"/>
            <w:gridSpan w:val="2"/>
          </w:tcPr>
          <w:p w:rsidR="00956EAA" w:rsidRPr="00D41479" w:rsidRDefault="00956EAA" w:rsidP="005D02A6">
            <w:pPr>
              <w:keepNext/>
              <w:spacing w:before="60"/>
              <w:ind w:right="288" w:firstLine="0"/>
              <w:jc w:val="right"/>
            </w:pPr>
            <w:r w:rsidRPr="00D41479">
              <w:t xml:space="preserve">$ </w:t>
            </w:r>
            <w:r w:rsidR="00755D7B" w:rsidRPr="00D41479">
              <w:t>45.51</w:t>
            </w:r>
          </w:p>
        </w:tc>
        <w:tc>
          <w:tcPr>
            <w:tcW w:w="1800" w:type="dxa"/>
          </w:tcPr>
          <w:p w:rsidR="00956EAA" w:rsidRPr="00D41479" w:rsidRDefault="00956EAA" w:rsidP="005D02A6">
            <w:pPr>
              <w:keepNext/>
              <w:spacing w:before="60"/>
              <w:ind w:right="288" w:firstLine="0"/>
              <w:jc w:val="right"/>
            </w:pPr>
            <w:r w:rsidRPr="00D41479">
              <w:t xml:space="preserve">$ </w:t>
            </w:r>
            <w:r w:rsidR="00755D7B" w:rsidRPr="00D41479">
              <w:t>48.35</w:t>
            </w:r>
          </w:p>
        </w:tc>
        <w:tc>
          <w:tcPr>
            <w:tcW w:w="1800" w:type="dxa"/>
          </w:tcPr>
          <w:p w:rsidR="00956EAA" w:rsidRPr="00D41479" w:rsidRDefault="0048223A" w:rsidP="005D02A6">
            <w:pPr>
              <w:keepNext/>
              <w:spacing w:before="60"/>
              <w:ind w:right="288" w:firstLine="0"/>
              <w:jc w:val="right"/>
            </w:pPr>
            <w:r w:rsidRPr="00D41479">
              <w:t>6.2%</w:t>
            </w:r>
          </w:p>
        </w:tc>
      </w:tr>
      <w:tr w:rsidR="00956EAA" w:rsidRPr="00D41479" w:rsidTr="00B8705C">
        <w:trPr>
          <w:jc w:val="center"/>
        </w:trPr>
        <w:tc>
          <w:tcPr>
            <w:tcW w:w="1935" w:type="dxa"/>
          </w:tcPr>
          <w:p w:rsidR="00956EAA" w:rsidRPr="00D41479" w:rsidRDefault="00956EAA" w:rsidP="00546A08">
            <w:pPr>
              <w:keepNext/>
              <w:spacing w:before="60"/>
              <w:ind w:right="288" w:firstLine="0"/>
              <w:jc w:val="right"/>
            </w:pPr>
            <w:r w:rsidRPr="00D41479">
              <w:t>2”</w:t>
            </w:r>
          </w:p>
        </w:tc>
        <w:tc>
          <w:tcPr>
            <w:tcW w:w="1755" w:type="dxa"/>
            <w:gridSpan w:val="2"/>
          </w:tcPr>
          <w:p w:rsidR="00956EAA" w:rsidRPr="00D41479" w:rsidRDefault="00956EAA" w:rsidP="005D02A6">
            <w:pPr>
              <w:keepNext/>
              <w:spacing w:before="60"/>
              <w:ind w:right="288" w:firstLine="0"/>
              <w:jc w:val="right"/>
            </w:pPr>
            <w:r w:rsidRPr="00D41479">
              <w:t xml:space="preserve">$ </w:t>
            </w:r>
            <w:r w:rsidR="0048223A" w:rsidRPr="00D41479">
              <w:t>60.67</w:t>
            </w:r>
          </w:p>
        </w:tc>
        <w:tc>
          <w:tcPr>
            <w:tcW w:w="1800" w:type="dxa"/>
          </w:tcPr>
          <w:p w:rsidR="00956EAA" w:rsidRPr="00D41479" w:rsidRDefault="00956EAA" w:rsidP="005D02A6">
            <w:pPr>
              <w:keepNext/>
              <w:spacing w:before="60"/>
              <w:ind w:right="288" w:firstLine="0"/>
              <w:jc w:val="right"/>
            </w:pPr>
            <w:r w:rsidRPr="00D41479">
              <w:t>$</w:t>
            </w:r>
            <w:r w:rsidR="0048223A" w:rsidRPr="00D41479">
              <w:t xml:space="preserve"> 64.45</w:t>
            </w:r>
          </w:p>
        </w:tc>
        <w:tc>
          <w:tcPr>
            <w:tcW w:w="1800" w:type="dxa"/>
          </w:tcPr>
          <w:p w:rsidR="00956EAA" w:rsidRPr="00D41479" w:rsidRDefault="0048223A" w:rsidP="005D02A6">
            <w:pPr>
              <w:keepNext/>
              <w:spacing w:before="60"/>
              <w:ind w:right="288" w:firstLine="0"/>
              <w:jc w:val="right"/>
            </w:pPr>
            <w:r w:rsidRPr="00D41479">
              <w:t>6.2%</w:t>
            </w:r>
          </w:p>
        </w:tc>
      </w:tr>
      <w:tr w:rsidR="00956EAA" w:rsidRPr="00D41479" w:rsidTr="00B8705C">
        <w:trPr>
          <w:jc w:val="center"/>
        </w:trPr>
        <w:tc>
          <w:tcPr>
            <w:tcW w:w="1935" w:type="dxa"/>
          </w:tcPr>
          <w:p w:rsidR="00956EAA" w:rsidRPr="00D41479" w:rsidRDefault="00956EAA" w:rsidP="00546A08">
            <w:pPr>
              <w:keepNext/>
              <w:spacing w:before="60"/>
              <w:ind w:right="288" w:firstLine="0"/>
              <w:jc w:val="right"/>
            </w:pPr>
            <w:r w:rsidRPr="00D41479">
              <w:t>3”</w:t>
            </w:r>
          </w:p>
        </w:tc>
        <w:tc>
          <w:tcPr>
            <w:tcW w:w="1755" w:type="dxa"/>
            <w:gridSpan w:val="2"/>
          </w:tcPr>
          <w:p w:rsidR="00956EAA" w:rsidRPr="00D41479" w:rsidRDefault="00956EAA" w:rsidP="005D02A6">
            <w:pPr>
              <w:keepNext/>
              <w:spacing w:before="60"/>
              <w:ind w:right="288" w:firstLine="0"/>
              <w:jc w:val="right"/>
            </w:pPr>
            <w:r w:rsidRPr="00D41479">
              <w:t>$</w:t>
            </w:r>
            <w:r w:rsidR="0048223A" w:rsidRPr="00D41479">
              <w:t xml:space="preserve"> 126.40</w:t>
            </w:r>
          </w:p>
        </w:tc>
        <w:tc>
          <w:tcPr>
            <w:tcW w:w="1800" w:type="dxa"/>
          </w:tcPr>
          <w:p w:rsidR="00956EAA" w:rsidRPr="00D41479" w:rsidRDefault="00956EAA" w:rsidP="005D02A6">
            <w:pPr>
              <w:keepNext/>
              <w:spacing w:before="60"/>
              <w:ind w:right="288" w:firstLine="0"/>
              <w:jc w:val="right"/>
            </w:pPr>
            <w:r w:rsidRPr="00D41479">
              <w:t xml:space="preserve">$ </w:t>
            </w:r>
            <w:r w:rsidR="0048223A" w:rsidRPr="00D41479">
              <w:t>134.28</w:t>
            </w:r>
          </w:p>
        </w:tc>
        <w:tc>
          <w:tcPr>
            <w:tcW w:w="1800" w:type="dxa"/>
          </w:tcPr>
          <w:p w:rsidR="00956EAA" w:rsidRPr="00D41479" w:rsidRDefault="0048223A" w:rsidP="005D02A6">
            <w:pPr>
              <w:keepNext/>
              <w:spacing w:before="60"/>
              <w:ind w:right="288" w:firstLine="0"/>
              <w:jc w:val="right"/>
            </w:pPr>
            <w:r w:rsidRPr="00D41479">
              <w:t>6.2%</w:t>
            </w:r>
          </w:p>
        </w:tc>
      </w:tr>
      <w:tr w:rsidR="00956EAA" w:rsidRPr="00D41479" w:rsidTr="00B8705C">
        <w:trPr>
          <w:jc w:val="center"/>
        </w:trPr>
        <w:tc>
          <w:tcPr>
            <w:tcW w:w="1935" w:type="dxa"/>
          </w:tcPr>
          <w:p w:rsidR="00956EAA" w:rsidRPr="00D41479" w:rsidRDefault="00956EAA" w:rsidP="00546A08">
            <w:pPr>
              <w:keepNext/>
              <w:spacing w:before="60"/>
              <w:ind w:right="288" w:firstLine="0"/>
              <w:jc w:val="right"/>
            </w:pPr>
            <w:r w:rsidRPr="00D41479">
              <w:t>4”</w:t>
            </w:r>
          </w:p>
        </w:tc>
        <w:tc>
          <w:tcPr>
            <w:tcW w:w="1755" w:type="dxa"/>
            <w:gridSpan w:val="2"/>
          </w:tcPr>
          <w:p w:rsidR="00956EAA" w:rsidRPr="00D41479" w:rsidRDefault="00956EAA" w:rsidP="005D02A6">
            <w:pPr>
              <w:keepNext/>
              <w:spacing w:before="60"/>
              <w:ind w:right="288" w:firstLine="0"/>
              <w:jc w:val="right"/>
            </w:pPr>
            <w:r w:rsidRPr="00D41479">
              <w:t xml:space="preserve">$ </w:t>
            </w:r>
            <w:r w:rsidR="0048223A" w:rsidRPr="00D41479">
              <w:t>252.79</w:t>
            </w:r>
          </w:p>
        </w:tc>
        <w:tc>
          <w:tcPr>
            <w:tcW w:w="1800" w:type="dxa"/>
          </w:tcPr>
          <w:p w:rsidR="00956EAA" w:rsidRPr="00D41479" w:rsidRDefault="00956EAA" w:rsidP="005D02A6">
            <w:pPr>
              <w:keepNext/>
              <w:spacing w:before="60"/>
              <w:ind w:right="288" w:firstLine="0"/>
              <w:jc w:val="right"/>
            </w:pPr>
            <w:r w:rsidRPr="00D41479">
              <w:t xml:space="preserve">$ </w:t>
            </w:r>
            <w:r w:rsidR="0048223A" w:rsidRPr="00D41479">
              <w:t>268.56</w:t>
            </w:r>
          </w:p>
        </w:tc>
        <w:tc>
          <w:tcPr>
            <w:tcW w:w="1800" w:type="dxa"/>
          </w:tcPr>
          <w:p w:rsidR="00956EAA" w:rsidRPr="00D41479" w:rsidRDefault="0048223A" w:rsidP="005D02A6">
            <w:pPr>
              <w:keepNext/>
              <w:spacing w:before="60"/>
              <w:ind w:right="288" w:firstLine="0"/>
              <w:jc w:val="right"/>
            </w:pPr>
            <w:r w:rsidRPr="00D41479">
              <w:t>6.2%</w:t>
            </w:r>
          </w:p>
        </w:tc>
      </w:tr>
      <w:tr w:rsidR="00956EAA" w:rsidRPr="00D41479" w:rsidTr="00B8705C">
        <w:trPr>
          <w:jc w:val="center"/>
        </w:trPr>
        <w:tc>
          <w:tcPr>
            <w:tcW w:w="1935" w:type="dxa"/>
          </w:tcPr>
          <w:p w:rsidR="00956EAA" w:rsidRPr="00D41479" w:rsidRDefault="00956EAA" w:rsidP="00546A08">
            <w:pPr>
              <w:keepNext/>
              <w:spacing w:before="60"/>
              <w:ind w:right="288" w:firstLine="0"/>
              <w:jc w:val="right"/>
            </w:pPr>
            <w:r w:rsidRPr="00D41479">
              <w:t>6”</w:t>
            </w:r>
          </w:p>
        </w:tc>
        <w:tc>
          <w:tcPr>
            <w:tcW w:w="1755" w:type="dxa"/>
            <w:gridSpan w:val="2"/>
          </w:tcPr>
          <w:p w:rsidR="00956EAA" w:rsidRPr="00D41479" w:rsidRDefault="00956EAA" w:rsidP="005D02A6">
            <w:pPr>
              <w:keepNext/>
              <w:spacing w:before="60"/>
              <w:ind w:right="288" w:firstLine="0"/>
              <w:jc w:val="right"/>
            </w:pPr>
            <w:r w:rsidRPr="00D41479">
              <w:t xml:space="preserve">$ </w:t>
            </w:r>
            <w:r w:rsidR="0048223A" w:rsidRPr="00D41479">
              <w:t>505.57</w:t>
            </w:r>
          </w:p>
        </w:tc>
        <w:tc>
          <w:tcPr>
            <w:tcW w:w="1800" w:type="dxa"/>
          </w:tcPr>
          <w:p w:rsidR="00956EAA" w:rsidRPr="00D41479" w:rsidRDefault="0048223A" w:rsidP="005D02A6">
            <w:pPr>
              <w:keepNext/>
              <w:spacing w:before="60"/>
              <w:ind w:right="288" w:firstLine="0"/>
              <w:jc w:val="right"/>
            </w:pPr>
            <w:r w:rsidRPr="00D41479">
              <w:t>$ 537.10</w:t>
            </w:r>
          </w:p>
        </w:tc>
        <w:tc>
          <w:tcPr>
            <w:tcW w:w="1800" w:type="dxa"/>
          </w:tcPr>
          <w:p w:rsidR="00956EAA" w:rsidRPr="00D41479" w:rsidRDefault="0048223A" w:rsidP="005D02A6">
            <w:pPr>
              <w:keepNext/>
              <w:spacing w:before="60"/>
              <w:ind w:right="288" w:firstLine="0"/>
              <w:jc w:val="right"/>
            </w:pPr>
            <w:r w:rsidRPr="00D41479">
              <w:t>6.2%</w:t>
            </w:r>
          </w:p>
        </w:tc>
      </w:tr>
    </w:tbl>
    <w:p w:rsidR="00956EAA" w:rsidRPr="00D41479" w:rsidRDefault="00956EAA" w:rsidP="00956EAA"/>
    <w:p w:rsidR="00956EAA" w:rsidRPr="00D41479" w:rsidRDefault="00956EAA" w:rsidP="00B1315B">
      <w:pPr>
        <w:keepNext/>
        <w:ind w:left="1440" w:firstLine="0"/>
        <w:rPr>
          <w:u w:val="single"/>
        </w:rPr>
      </w:pPr>
      <w:r w:rsidRPr="00D41479">
        <w:rPr>
          <w:u w:val="single"/>
        </w:rPr>
        <w:lastRenderedPageBreak/>
        <w:t xml:space="preserve">Commodity </w:t>
      </w:r>
      <w:proofErr w:type="gramStart"/>
      <w:r w:rsidRPr="00D41479">
        <w:rPr>
          <w:u w:val="single"/>
        </w:rPr>
        <w:t>Charge  (</w:t>
      </w:r>
      <w:proofErr w:type="gramEnd"/>
      <w:r w:rsidRPr="00D41479">
        <w:rPr>
          <w:u w:val="single"/>
        </w:rPr>
        <w:t>per thousand gallons (</w:t>
      </w:r>
      <w:proofErr w:type="spellStart"/>
      <w:r w:rsidRPr="00D41479">
        <w:rPr>
          <w:u w:val="single"/>
        </w:rPr>
        <w:t>tg</w:t>
      </w:r>
      <w:proofErr w:type="spellEnd"/>
      <w:r w:rsidRPr="00D41479">
        <w:rPr>
          <w:u w:val="single"/>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1800"/>
        <w:gridCol w:w="1800"/>
        <w:gridCol w:w="1800"/>
      </w:tblGrid>
      <w:tr w:rsidR="00956EAA" w:rsidRPr="00D41479" w:rsidTr="00564B48">
        <w:trPr>
          <w:jc w:val="center"/>
        </w:trPr>
        <w:tc>
          <w:tcPr>
            <w:tcW w:w="1800" w:type="dxa"/>
          </w:tcPr>
          <w:p w:rsidR="00956EAA" w:rsidRPr="00D41479" w:rsidRDefault="00956EAA" w:rsidP="00B1315B">
            <w:pPr>
              <w:keepNext/>
              <w:spacing w:before="60"/>
              <w:ind w:firstLine="0"/>
              <w:jc w:val="right"/>
            </w:pPr>
          </w:p>
        </w:tc>
        <w:tc>
          <w:tcPr>
            <w:tcW w:w="1800" w:type="dxa"/>
            <w:vAlign w:val="center"/>
          </w:tcPr>
          <w:p w:rsidR="00956EAA" w:rsidRPr="00D41479" w:rsidRDefault="00956EAA" w:rsidP="00B1315B">
            <w:pPr>
              <w:keepNext/>
              <w:ind w:firstLine="0"/>
              <w:jc w:val="center"/>
              <w:rPr>
                <w:u w:val="single"/>
              </w:rPr>
            </w:pPr>
            <w:r w:rsidRPr="00D41479">
              <w:rPr>
                <w:u w:val="single"/>
              </w:rPr>
              <w:t>Present</w:t>
            </w:r>
          </w:p>
        </w:tc>
        <w:tc>
          <w:tcPr>
            <w:tcW w:w="1800" w:type="dxa"/>
            <w:vAlign w:val="center"/>
          </w:tcPr>
          <w:p w:rsidR="00956EAA" w:rsidRPr="00D41479" w:rsidRDefault="00956EAA" w:rsidP="00B1315B">
            <w:pPr>
              <w:keepNext/>
              <w:ind w:firstLine="0"/>
              <w:jc w:val="center"/>
              <w:rPr>
                <w:u w:val="single"/>
              </w:rPr>
            </w:pPr>
            <w:r w:rsidRPr="00D41479">
              <w:rPr>
                <w:u w:val="single"/>
              </w:rPr>
              <w:t>Settlement</w:t>
            </w:r>
          </w:p>
        </w:tc>
        <w:tc>
          <w:tcPr>
            <w:tcW w:w="1800" w:type="dxa"/>
          </w:tcPr>
          <w:p w:rsidR="00956EAA" w:rsidRPr="00D41479" w:rsidRDefault="00956EAA" w:rsidP="00B1315B">
            <w:pPr>
              <w:keepNext/>
              <w:spacing w:before="60"/>
              <w:ind w:right="288" w:firstLine="0"/>
              <w:jc w:val="right"/>
            </w:pPr>
          </w:p>
        </w:tc>
      </w:tr>
      <w:tr w:rsidR="00956EAA" w:rsidRPr="00D41479" w:rsidTr="00564B48">
        <w:trPr>
          <w:jc w:val="center"/>
        </w:trPr>
        <w:tc>
          <w:tcPr>
            <w:tcW w:w="1800" w:type="dxa"/>
          </w:tcPr>
          <w:p w:rsidR="00956EAA" w:rsidRPr="00D41479" w:rsidRDefault="00956EAA" w:rsidP="00B1315B">
            <w:pPr>
              <w:keepNext/>
              <w:spacing w:before="60"/>
              <w:ind w:firstLine="0"/>
              <w:jc w:val="right"/>
            </w:pPr>
            <w:r w:rsidRPr="00D41479">
              <w:t>0 – 2.</w:t>
            </w:r>
            <w:r w:rsidR="0048223A" w:rsidRPr="00D41479">
              <w:t>0</w:t>
            </w:r>
            <w:r w:rsidRPr="00D41479">
              <w:t xml:space="preserve"> </w:t>
            </w:r>
            <w:proofErr w:type="spellStart"/>
            <w:r w:rsidRPr="00D41479">
              <w:t>tg</w:t>
            </w:r>
            <w:proofErr w:type="spellEnd"/>
          </w:p>
        </w:tc>
        <w:tc>
          <w:tcPr>
            <w:tcW w:w="1800" w:type="dxa"/>
          </w:tcPr>
          <w:p w:rsidR="00956EAA" w:rsidRPr="00D41479" w:rsidRDefault="00956EAA" w:rsidP="00B1315B">
            <w:pPr>
              <w:keepNext/>
              <w:spacing w:before="60"/>
              <w:ind w:right="288" w:firstLine="0"/>
              <w:jc w:val="right"/>
            </w:pPr>
            <w:r w:rsidRPr="00D41479">
              <w:t>$0</w:t>
            </w:r>
          </w:p>
        </w:tc>
        <w:tc>
          <w:tcPr>
            <w:tcW w:w="1800" w:type="dxa"/>
          </w:tcPr>
          <w:p w:rsidR="00956EAA" w:rsidRPr="00D41479" w:rsidRDefault="00956EAA" w:rsidP="00B1315B">
            <w:pPr>
              <w:keepNext/>
              <w:spacing w:before="60"/>
              <w:ind w:right="288" w:firstLine="0"/>
              <w:jc w:val="right"/>
            </w:pPr>
            <w:r w:rsidRPr="00D41479">
              <w:t>$ 3.</w:t>
            </w:r>
            <w:r w:rsidR="00B76F2A" w:rsidRPr="00D41479">
              <w:t>75</w:t>
            </w:r>
          </w:p>
        </w:tc>
        <w:tc>
          <w:tcPr>
            <w:tcW w:w="1800" w:type="dxa"/>
          </w:tcPr>
          <w:p w:rsidR="00956EAA" w:rsidRPr="00D41479" w:rsidRDefault="00956EAA" w:rsidP="00B1315B">
            <w:pPr>
              <w:keepNext/>
              <w:spacing w:before="60"/>
              <w:ind w:right="288" w:firstLine="0"/>
              <w:jc w:val="right"/>
            </w:pPr>
          </w:p>
        </w:tc>
      </w:tr>
      <w:tr w:rsidR="00956EAA" w:rsidRPr="00D41479" w:rsidTr="00564B48">
        <w:trPr>
          <w:jc w:val="center"/>
        </w:trPr>
        <w:tc>
          <w:tcPr>
            <w:tcW w:w="1800" w:type="dxa"/>
          </w:tcPr>
          <w:p w:rsidR="00956EAA" w:rsidRPr="00D41479" w:rsidRDefault="00956EAA" w:rsidP="00B1315B">
            <w:pPr>
              <w:keepNext/>
              <w:spacing w:before="60"/>
              <w:ind w:firstLine="0"/>
              <w:jc w:val="right"/>
            </w:pPr>
            <w:r w:rsidRPr="00D41479">
              <w:t xml:space="preserve">Over 2.5 </w:t>
            </w:r>
            <w:proofErr w:type="spellStart"/>
            <w:r w:rsidRPr="00D41479">
              <w:t>tg</w:t>
            </w:r>
            <w:proofErr w:type="spellEnd"/>
          </w:p>
        </w:tc>
        <w:tc>
          <w:tcPr>
            <w:tcW w:w="1800" w:type="dxa"/>
          </w:tcPr>
          <w:p w:rsidR="00956EAA" w:rsidRPr="00D41479" w:rsidRDefault="00956EAA" w:rsidP="00B1315B">
            <w:pPr>
              <w:keepNext/>
              <w:spacing w:before="60"/>
              <w:ind w:right="288" w:firstLine="0"/>
              <w:jc w:val="right"/>
            </w:pPr>
            <w:r w:rsidRPr="00D41479">
              <w:t xml:space="preserve">$ </w:t>
            </w:r>
            <w:r w:rsidR="00B76F2A" w:rsidRPr="00D41479">
              <w:t>5.57</w:t>
            </w:r>
          </w:p>
        </w:tc>
        <w:tc>
          <w:tcPr>
            <w:tcW w:w="1800" w:type="dxa"/>
          </w:tcPr>
          <w:p w:rsidR="00956EAA" w:rsidRPr="00D41479" w:rsidRDefault="00956EAA" w:rsidP="00B1315B">
            <w:pPr>
              <w:keepNext/>
              <w:spacing w:before="60"/>
              <w:ind w:right="288" w:firstLine="0"/>
              <w:jc w:val="right"/>
            </w:pPr>
            <w:r w:rsidRPr="00D41479">
              <w:t>$ 3.</w:t>
            </w:r>
            <w:r w:rsidR="00B76F2A" w:rsidRPr="00D41479">
              <w:t>75</w:t>
            </w:r>
          </w:p>
        </w:tc>
        <w:tc>
          <w:tcPr>
            <w:tcW w:w="1800" w:type="dxa"/>
          </w:tcPr>
          <w:p w:rsidR="00956EAA" w:rsidRPr="00D41479" w:rsidRDefault="00956EAA" w:rsidP="00B1315B">
            <w:pPr>
              <w:keepNext/>
              <w:spacing w:before="60"/>
              <w:ind w:right="288" w:firstLine="0"/>
              <w:jc w:val="right"/>
            </w:pPr>
          </w:p>
        </w:tc>
      </w:tr>
      <w:tr w:rsidR="00956EAA" w:rsidRPr="00D41479" w:rsidTr="00564B48">
        <w:trPr>
          <w:gridAfter w:val="1"/>
          <w:wAfter w:w="1800" w:type="dxa"/>
          <w:jc w:val="center"/>
        </w:trPr>
        <w:tc>
          <w:tcPr>
            <w:tcW w:w="1800" w:type="dxa"/>
          </w:tcPr>
          <w:p w:rsidR="00956EAA" w:rsidRPr="00D41479" w:rsidRDefault="00956EAA" w:rsidP="00564B48">
            <w:pPr>
              <w:spacing w:before="60"/>
              <w:ind w:right="288" w:firstLine="0"/>
              <w:jc w:val="right"/>
            </w:pPr>
          </w:p>
        </w:tc>
        <w:tc>
          <w:tcPr>
            <w:tcW w:w="1800" w:type="dxa"/>
          </w:tcPr>
          <w:p w:rsidR="00956EAA" w:rsidRPr="00D41479" w:rsidRDefault="00956EAA" w:rsidP="00564B48">
            <w:pPr>
              <w:spacing w:before="60"/>
              <w:ind w:right="288" w:firstLine="0"/>
              <w:jc w:val="right"/>
            </w:pPr>
          </w:p>
        </w:tc>
        <w:tc>
          <w:tcPr>
            <w:tcW w:w="1800" w:type="dxa"/>
          </w:tcPr>
          <w:p w:rsidR="00956EAA" w:rsidRPr="00D41479" w:rsidRDefault="00956EAA" w:rsidP="00564B48">
            <w:pPr>
              <w:spacing w:before="60"/>
              <w:ind w:right="288" w:firstLine="0"/>
              <w:jc w:val="right"/>
            </w:pPr>
          </w:p>
          <w:p w:rsidR="00B76F2A" w:rsidRPr="00D41479" w:rsidRDefault="00B76F2A" w:rsidP="00564B48">
            <w:pPr>
              <w:spacing w:before="60"/>
              <w:ind w:right="288" w:firstLine="0"/>
              <w:jc w:val="right"/>
            </w:pPr>
          </w:p>
        </w:tc>
      </w:tr>
    </w:tbl>
    <w:p w:rsidR="00B76F2A" w:rsidRPr="00D41479" w:rsidRDefault="00B76F2A" w:rsidP="00B76F2A">
      <w:pPr>
        <w:ind w:left="1440" w:firstLine="0"/>
        <w:rPr>
          <w:u w:val="single"/>
        </w:rPr>
      </w:pPr>
      <w:r w:rsidRPr="00D41479">
        <w:rPr>
          <w:u w:val="single"/>
        </w:rPr>
        <w:t>Flat Rate Sales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1800"/>
        <w:gridCol w:w="1800"/>
        <w:gridCol w:w="1800"/>
      </w:tblGrid>
      <w:tr w:rsidR="00B76F2A" w:rsidRPr="00D41479" w:rsidTr="00D64F65">
        <w:trPr>
          <w:jc w:val="center"/>
        </w:trPr>
        <w:tc>
          <w:tcPr>
            <w:tcW w:w="1800" w:type="dxa"/>
          </w:tcPr>
          <w:p w:rsidR="00B76F2A" w:rsidRPr="00D41479" w:rsidRDefault="00B76F2A" w:rsidP="00D64F65">
            <w:pPr>
              <w:spacing w:before="60"/>
              <w:ind w:firstLine="0"/>
              <w:jc w:val="right"/>
            </w:pPr>
          </w:p>
        </w:tc>
        <w:tc>
          <w:tcPr>
            <w:tcW w:w="1800" w:type="dxa"/>
            <w:vAlign w:val="center"/>
          </w:tcPr>
          <w:p w:rsidR="00B76F2A" w:rsidRPr="00D41479" w:rsidRDefault="00B76F2A" w:rsidP="00D64F65">
            <w:pPr>
              <w:ind w:firstLine="0"/>
              <w:jc w:val="center"/>
              <w:rPr>
                <w:u w:val="single"/>
              </w:rPr>
            </w:pPr>
            <w:r w:rsidRPr="00D41479">
              <w:rPr>
                <w:u w:val="single"/>
              </w:rPr>
              <w:t>Present</w:t>
            </w:r>
          </w:p>
        </w:tc>
        <w:tc>
          <w:tcPr>
            <w:tcW w:w="1800" w:type="dxa"/>
            <w:vAlign w:val="center"/>
          </w:tcPr>
          <w:p w:rsidR="00B76F2A" w:rsidRPr="00D41479" w:rsidRDefault="00B76F2A" w:rsidP="00D64F65">
            <w:pPr>
              <w:ind w:firstLine="0"/>
              <w:jc w:val="center"/>
              <w:rPr>
                <w:u w:val="single"/>
              </w:rPr>
            </w:pPr>
            <w:r w:rsidRPr="00D41479">
              <w:rPr>
                <w:u w:val="single"/>
              </w:rPr>
              <w:t>Settlement</w:t>
            </w:r>
          </w:p>
        </w:tc>
        <w:tc>
          <w:tcPr>
            <w:tcW w:w="1800" w:type="dxa"/>
          </w:tcPr>
          <w:p w:rsidR="00B76F2A" w:rsidRPr="00D41479" w:rsidRDefault="00B76F2A" w:rsidP="00D64F65">
            <w:pPr>
              <w:spacing w:before="60"/>
              <w:ind w:right="288" w:firstLine="0"/>
              <w:jc w:val="right"/>
            </w:pPr>
          </w:p>
        </w:tc>
      </w:tr>
      <w:tr w:rsidR="00B76F2A" w:rsidRPr="00D41479" w:rsidTr="00D64F65">
        <w:trPr>
          <w:jc w:val="center"/>
        </w:trPr>
        <w:tc>
          <w:tcPr>
            <w:tcW w:w="1800" w:type="dxa"/>
          </w:tcPr>
          <w:p w:rsidR="00B76F2A" w:rsidRPr="00D41479" w:rsidRDefault="00B76F2A" w:rsidP="00D64F65">
            <w:pPr>
              <w:spacing w:before="60"/>
              <w:ind w:firstLine="0"/>
              <w:jc w:val="right"/>
            </w:pPr>
            <w:r w:rsidRPr="00D41479">
              <w:t>Flat</w:t>
            </w:r>
          </w:p>
        </w:tc>
        <w:tc>
          <w:tcPr>
            <w:tcW w:w="1800" w:type="dxa"/>
          </w:tcPr>
          <w:p w:rsidR="00B76F2A" w:rsidRPr="00D41479" w:rsidRDefault="00B76F2A" w:rsidP="00D64F65">
            <w:pPr>
              <w:spacing w:before="60"/>
              <w:ind w:right="288" w:firstLine="0"/>
              <w:jc w:val="right"/>
            </w:pPr>
            <w:r w:rsidRPr="00D41479">
              <w:t>$ 35.880</w:t>
            </w:r>
          </w:p>
        </w:tc>
        <w:tc>
          <w:tcPr>
            <w:tcW w:w="1800" w:type="dxa"/>
          </w:tcPr>
          <w:p w:rsidR="00B76F2A" w:rsidRPr="00D41479" w:rsidRDefault="00B76F2A" w:rsidP="00B76F2A">
            <w:pPr>
              <w:spacing w:before="60"/>
              <w:ind w:right="288" w:firstLine="0"/>
              <w:jc w:val="right"/>
            </w:pPr>
            <w:r w:rsidRPr="00D41479">
              <w:t>$ 33</w:t>
            </w:r>
            <w:r w:rsidR="00BB27C1" w:rsidRPr="00D41479">
              <w:t>.</w:t>
            </w:r>
            <w:r w:rsidRPr="00D41479">
              <w:t>70</w:t>
            </w:r>
          </w:p>
        </w:tc>
        <w:tc>
          <w:tcPr>
            <w:tcW w:w="1800" w:type="dxa"/>
          </w:tcPr>
          <w:p w:rsidR="00B76F2A" w:rsidRPr="00D41479" w:rsidRDefault="00B76F2A" w:rsidP="00D64F65">
            <w:pPr>
              <w:spacing w:before="60"/>
              <w:ind w:right="288" w:firstLine="0"/>
              <w:jc w:val="right"/>
            </w:pPr>
          </w:p>
        </w:tc>
      </w:tr>
      <w:tr w:rsidR="00B76F2A" w:rsidRPr="00D41479" w:rsidTr="00D64F65">
        <w:trPr>
          <w:jc w:val="center"/>
        </w:trPr>
        <w:tc>
          <w:tcPr>
            <w:tcW w:w="1800" w:type="dxa"/>
          </w:tcPr>
          <w:p w:rsidR="00B76F2A" w:rsidRPr="00D41479" w:rsidRDefault="00B76F2A" w:rsidP="00B76F2A">
            <w:pPr>
              <w:spacing w:before="60"/>
              <w:ind w:firstLine="0"/>
              <w:jc w:val="right"/>
            </w:pPr>
            <w:r w:rsidRPr="00D41479">
              <w:t>Flat w/PC</w:t>
            </w:r>
          </w:p>
        </w:tc>
        <w:tc>
          <w:tcPr>
            <w:tcW w:w="1800" w:type="dxa"/>
          </w:tcPr>
          <w:p w:rsidR="00B76F2A" w:rsidRPr="00D41479" w:rsidRDefault="00B76F2A" w:rsidP="00D64F65">
            <w:pPr>
              <w:spacing w:before="60"/>
              <w:ind w:right="288" w:firstLine="0"/>
              <w:jc w:val="right"/>
            </w:pPr>
            <w:r w:rsidRPr="00D41479">
              <w:t>$ 5.57</w:t>
            </w:r>
          </w:p>
        </w:tc>
        <w:tc>
          <w:tcPr>
            <w:tcW w:w="1800" w:type="dxa"/>
          </w:tcPr>
          <w:p w:rsidR="00B76F2A" w:rsidRPr="00D41479" w:rsidRDefault="00B76F2A" w:rsidP="00BB27C1">
            <w:pPr>
              <w:spacing w:before="60"/>
              <w:ind w:right="288" w:firstLine="0"/>
              <w:jc w:val="right"/>
            </w:pPr>
            <w:r w:rsidRPr="00D41479">
              <w:t>$ 3</w:t>
            </w:r>
            <w:r w:rsidR="00BB27C1" w:rsidRPr="00D41479">
              <w:t>2</w:t>
            </w:r>
            <w:r w:rsidRPr="00D41479">
              <w:t>.7</w:t>
            </w:r>
            <w:r w:rsidR="00BB27C1" w:rsidRPr="00D41479">
              <w:t>0</w:t>
            </w:r>
          </w:p>
        </w:tc>
        <w:tc>
          <w:tcPr>
            <w:tcW w:w="1800" w:type="dxa"/>
          </w:tcPr>
          <w:p w:rsidR="00B76F2A" w:rsidRPr="00D41479" w:rsidRDefault="00B76F2A" w:rsidP="00D64F65">
            <w:pPr>
              <w:spacing w:before="60"/>
              <w:ind w:right="288" w:firstLine="0"/>
              <w:jc w:val="right"/>
            </w:pPr>
          </w:p>
        </w:tc>
      </w:tr>
    </w:tbl>
    <w:p w:rsidR="00176421" w:rsidRPr="007A3218" w:rsidRDefault="00176421" w:rsidP="00956EAA"/>
    <w:p w:rsidR="00956EAA" w:rsidRDefault="00956EAA" w:rsidP="00956EAA">
      <w:r>
        <w:t>The monthly rate</w:t>
      </w:r>
      <w:r w:rsidR="005D02A6">
        <w:t>,</w:t>
      </w:r>
      <w:r>
        <w:t xml:space="preserve"> per tract</w:t>
      </w:r>
      <w:r w:rsidR="005D02A6">
        <w:t>,</w:t>
      </w:r>
      <w:r>
        <w:t xml:space="preserve"> for availability customers remains at the same level as current rates, or $</w:t>
      </w:r>
      <w:r w:rsidR="00BB27C1">
        <w:t>4</w:t>
      </w:r>
      <w:r>
        <w:t>.</w:t>
      </w:r>
      <w:r w:rsidR="00BB27C1">
        <w:t>53</w:t>
      </w:r>
      <w:r>
        <w:t xml:space="preserve"> per month, per tract.   </w:t>
      </w:r>
    </w:p>
    <w:p w:rsidR="001E7B75" w:rsidRDefault="001E7B75" w:rsidP="000D7C1A">
      <w:pPr>
        <w:rPr>
          <w:szCs w:val="24"/>
        </w:rPr>
      </w:pPr>
    </w:p>
    <w:p w:rsidR="005230D9" w:rsidRPr="0030097D" w:rsidRDefault="005230D9" w:rsidP="00AE19ED">
      <w:pPr>
        <w:pStyle w:val="Heading4"/>
      </w:pPr>
      <w:r w:rsidRPr="0030097D">
        <w:t>Wastewater Allowance</w:t>
      </w:r>
    </w:p>
    <w:p w:rsidR="00DE2ABD" w:rsidRPr="00DE2ABD" w:rsidRDefault="00DE2ABD" w:rsidP="00DE2ABD">
      <w:pPr>
        <w:spacing w:line="240" w:lineRule="auto"/>
      </w:pPr>
    </w:p>
    <w:p w:rsidR="00622F1B" w:rsidRDefault="00DE2ABD" w:rsidP="000D7C1A">
      <w:pPr>
        <w:rPr>
          <w:szCs w:val="24"/>
        </w:rPr>
      </w:pPr>
      <w:r>
        <w:rPr>
          <w:szCs w:val="24"/>
        </w:rPr>
        <w:t xml:space="preserve">The amount billed for metered wastewater service is based on the metered consumption of water service.  Consistent with the elimination of the </w:t>
      </w:r>
      <w:r w:rsidR="009F6410">
        <w:rPr>
          <w:szCs w:val="24"/>
        </w:rPr>
        <w:t>2,50</w:t>
      </w:r>
      <w:r w:rsidR="00973AF3">
        <w:rPr>
          <w:szCs w:val="24"/>
        </w:rPr>
        <w:t>0-</w:t>
      </w:r>
      <w:r w:rsidR="009F6410">
        <w:rPr>
          <w:szCs w:val="24"/>
        </w:rPr>
        <w:t xml:space="preserve"> </w:t>
      </w:r>
      <w:r w:rsidR="00D23364">
        <w:rPr>
          <w:szCs w:val="24"/>
        </w:rPr>
        <w:t xml:space="preserve">gallon </w:t>
      </w:r>
      <w:r w:rsidR="009F6410">
        <w:rPr>
          <w:szCs w:val="24"/>
        </w:rPr>
        <w:t xml:space="preserve">monthly allowance for water service, the Wastewater Settlement </w:t>
      </w:r>
      <w:r w:rsidR="00973AF3">
        <w:rPr>
          <w:szCs w:val="24"/>
        </w:rPr>
        <w:t xml:space="preserve">also </w:t>
      </w:r>
      <w:r w:rsidR="009F6410">
        <w:rPr>
          <w:szCs w:val="24"/>
        </w:rPr>
        <w:t>eliminates the 2,000</w:t>
      </w:r>
      <w:r w:rsidR="00973AF3">
        <w:rPr>
          <w:szCs w:val="24"/>
        </w:rPr>
        <w:t>-</w:t>
      </w:r>
      <w:r w:rsidR="005D02A6">
        <w:rPr>
          <w:szCs w:val="24"/>
        </w:rPr>
        <w:t xml:space="preserve">gallon </w:t>
      </w:r>
      <w:r w:rsidR="009F6410">
        <w:rPr>
          <w:szCs w:val="24"/>
        </w:rPr>
        <w:t xml:space="preserve">monthly customer allowance for wastewater service.  </w:t>
      </w:r>
      <w:r w:rsidR="00895C9D">
        <w:rPr>
          <w:szCs w:val="24"/>
        </w:rPr>
        <w:t xml:space="preserve">For </w:t>
      </w:r>
      <w:r w:rsidR="00D64F65">
        <w:rPr>
          <w:szCs w:val="24"/>
        </w:rPr>
        <w:t xml:space="preserve">all of the reasons </w:t>
      </w:r>
      <w:r w:rsidR="00C53952">
        <w:rPr>
          <w:szCs w:val="24"/>
        </w:rPr>
        <w:t xml:space="preserve">that we </w:t>
      </w:r>
      <w:r w:rsidR="00D64F65">
        <w:rPr>
          <w:szCs w:val="24"/>
        </w:rPr>
        <w:t xml:space="preserve">have adopted the elimination of the water allowance, discussed </w:t>
      </w:r>
      <w:r w:rsidR="00D64F65" w:rsidRPr="00C53952">
        <w:rPr>
          <w:i/>
          <w:szCs w:val="24"/>
        </w:rPr>
        <w:t>supra</w:t>
      </w:r>
      <w:r w:rsidR="00D64F65">
        <w:rPr>
          <w:szCs w:val="24"/>
        </w:rPr>
        <w:t>, we shall also adopt the elimination of the 2,000</w:t>
      </w:r>
      <w:r w:rsidR="0024398A">
        <w:rPr>
          <w:szCs w:val="24"/>
        </w:rPr>
        <w:t>-</w:t>
      </w:r>
      <w:r w:rsidR="00D64F65">
        <w:rPr>
          <w:szCs w:val="24"/>
        </w:rPr>
        <w:t xml:space="preserve">gallon allowance for wastewater service.  While customers will be billed based on all metered water usage, </w:t>
      </w:r>
      <w:r w:rsidR="00C53952">
        <w:rPr>
          <w:szCs w:val="24"/>
        </w:rPr>
        <w:t xml:space="preserve">the </w:t>
      </w:r>
      <w:r w:rsidR="00D64F65">
        <w:rPr>
          <w:szCs w:val="24"/>
        </w:rPr>
        <w:t>pro</w:t>
      </w:r>
      <w:r w:rsidR="00C53952">
        <w:rPr>
          <w:szCs w:val="24"/>
        </w:rPr>
        <w:t>po</w:t>
      </w:r>
      <w:r w:rsidR="00D64F65">
        <w:rPr>
          <w:szCs w:val="24"/>
        </w:rPr>
        <w:t xml:space="preserve">sed Wastewater Settlement </w:t>
      </w:r>
      <w:r w:rsidR="00C53952">
        <w:rPr>
          <w:szCs w:val="24"/>
        </w:rPr>
        <w:t xml:space="preserve">would reduce the </w:t>
      </w:r>
      <w:r w:rsidR="0080405F">
        <w:rPr>
          <w:szCs w:val="24"/>
        </w:rPr>
        <w:t xml:space="preserve">commodity </w:t>
      </w:r>
      <w:r w:rsidR="00C53952">
        <w:rPr>
          <w:szCs w:val="24"/>
        </w:rPr>
        <w:t xml:space="preserve">rate per 1,000 gallons from $5.17 to $3.75.  </w:t>
      </w:r>
    </w:p>
    <w:p w:rsidR="0024398A" w:rsidRDefault="0024398A" w:rsidP="000D7C1A">
      <w:pPr>
        <w:rPr>
          <w:szCs w:val="24"/>
        </w:rPr>
      </w:pPr>
    </w:p>
    <w:p w:rsidR="0024398A" w:rsidRPr="0030097D" w:rsidRDefault="0024398A" w:rsidP="00AE19ED">
      <w:pPr>
        <w:pStyle w:val="Heading4"/>
      </w:pPr>
      <w:r w:rsidRPr="0030097D">
        <w:t>Availability Service</w:t>
      </w:r>
    </w:p>
    <w:p w:rsidR="0024398A" w:rsidRDefault="0024398A" w:rsidP="0024398A">
      <w:pPr>
        <w:spacing w:line="240" w:lineRule="auto"/>
      </w:pPr>
    </w:p>
    <w:p w:rsidR="0024398A" w:rsidRDefault="0024398A" w:rsidP="0024398A">
      <w:r>
        <w:t>TESI</w:t>
      </w:r>
      <w:r w:rsidRPr="00E61E8E">
        <w:t xml:space="preserve"> </w:t>
      </w:r>
      <w:r>
        <w:t xml:space="preserve">initially </w:t>
      </w:r>
      <w:r w:rsidRPr="00E61E8E">
        <w:t xml:space="preserve">proposed to decrease the </w:t>
      </w:r>
      <w:r>
        <w:t xml:space="preserve">availability or ready to serve </w:t>
      </w:r>
      <w:r w:rsidRPr="00E61E8E">
        <w:t xml:space="preserve">charge </w:t>
      </w:r>
      <w:r>
        <w:t xml:space="preserve">by </w:t>
      </w:r>
      <w:r w:rsidR="004815A5">
        <w:t>4</w:t>
      </w:r>
      <w:r w:rsidR="00612195">
        <w:t>5</w:t>
      </w:r>
      <w:r>
        <w:t>% from $4</w:t>
      </w:r>
      <w:r w:rsidR="004815A5">
        <w:t>.53</w:t>
      </w:r>
      <w:r>
        <w:t xml:space="preserve"> per month to </w:t>
      </w:r>
      <w:r w:rsidRPr="00E61E8E">
        <w:t>$</w:t>
      </w:r>
      <w:r w:rsidR="004815A5">
        <w:t>2.51</w:t>
      </w:r>
      <w:r>
        <w:t xml:space="preserve">.  </w:t>
      </w:r>
      <w:r w:rsidR="00764F65">
        <w:t xml:space="preserve">The OTS </w:t>
      </w:r>
      <w:r w:rsidR="00A96C60">
        <w:t xml:space="preserve">argued </w:t>
      </w:r>
      <w:r w:rsidR="00242C95">
        <w:t xml:space="preserve">in opposition </w:t>
      </w:r>
      <w:r w:rsidR="00A96C60">
        <w:t>that the proposed decrease in the availability charge was improper</w:t>
      </w:r>
      <w:r w:rsidR="00242C95">
        <w:t>,</w:t>
      </w:r>
      <w:r w:rsidR="00A96C60">
        <w:t xml:space="preserve"> </w:t>
      </w:r>
      <w:r w:rsidR="00932348">
        <w:t xml:space="preserve">considering that its recommended adjustments to TESI’s cost allocation showed that the cost of providing availability </w:t>
      </w:r>
      <w:r w:rsidR="00932348">
        <w:lastRenderedPageBreak/>
        <w:t>service is more than the present availability rate</w:t>
      </w:r>
      <w:r w:rsidR="00085A45">
        <w:t xml:space="preserve">.  The OTS submitted that </w:t>
      </w:r>
      <w:r w:rsidR="00242C95">
        <w:t xml:space="preserve">it is reasonable to </w:t>
      </w:r>
      <w:r w:rsidR="00085A45">
        <w:t>keep the present rate</w:t>
      </w:r>
      <w:r w:rsidR="00242C95">
        <w:t>.</w:t>
      </w:r>
      <w:r w:rsidR="00085A45">
        <w:t xml:space="preserve">  </w:t>
      </w:r>
      <w:proofErr w:type="gramStart"/>
      <w:r w:rsidR="00085A45">
        <w:t>OTS Statement in Support at 5.</w:t>
      </w:r>
      <w:proofErr w:type="gramEnd"/>
      <w:r w:rsidR="00085A45">
        <w:t xml:space="preserve">  </w:t>
      </w:r>
      <w:r w:rsidR="00874062">
        <w:t xml:space="preserve">As reflected, </w:t>
      </w:r>
      <w:r w:rsidR="00874062" w:rsidRPr="00874062">
        <w:rPr>
          <w:i/>
        </w:rPr>
        <w:t>supra</w:t>
      </w:r>
      <w:r w:rsidR="00874062">
        <w:t>, under the Wastewater Settlement</w:t>
      </w:r>
      <w:r w:rsidR="00C32595">
        <w:t xml:space="preserve">, the availability rate will remain at $4.53 per month. </w:t>
      </w:r>
      <w:proofErr w:type="gramStart"/>
      <w:r w:rsidR="00C32595">
        <w:t xml:space="preserve">Wastewater Settlement </w:t>
      </w:r>
      <w:r w:rsidR="00E65908">
        <w:rPr>
          <w:rFonts w:cs="Times New Roman"/>
        </w:rPr>
        <w:t>¶</w:t>
      </w:r>
      <w:r w:rsidR="00C04F25">
        <w:rPr>
          <w:rFonts w:cs="Times New Roman"/>
        </w:rPr>
        <w:t xml:space="preserve"> </w:t>
      </w:r>
      <w:r w:rsidR="00E65908">
        <w:t xml:space="preserve">14(a) at </w:t>
      </w:r>
      <w:r w:rsidR="00D23109">
        <w:t xml:space="preserve">6 </w:t>
      </w:r>
      <w:r w:rsidR="00C32595">
        <w:t>and Appendix A.</w:t>
      </w:r>
      <w:proofErr w:type="gramEnd"/>
      <w:r w:rsidR="00C32595">
        <w:t xml:space="preserve"> </w:t>
      </w:r>
    </w:p>
    <w:p w:rsidR="00C32595" w:rsidRDefault="00C32595" w:rsidP="0024398A"/>
    <w:p w:rsidR="00612195" w:rsidRDefault="00D23109" w:rsidP="00612195">
      <w:r>
        <w:t>On review, w</w:t>
      </w:r>
      <w:r w:rsidR="004514C8">
        <w:t xml:space="preserve">e concur that the monthly availability rate should remain at $4.53.  As indicated by the OTS’ analysis, keeping the rate at </w:t>
      </w:r>
      <w:r w:rsidR="00612195">
        <w:t>its</w:t>
      </w:r>
      <w:r w:rsidR="004514C8">
        <w:t xml:space="preserve"> current level mitigates the misallocation of costs from availability customers to those customers currently receiving </w:t>
      </w:r>
      <w:r w:rsidR="00973AF3">
        <w:t>waste</w:t>
      </w:r>
      <w:r w:rsidR="004514C8">
        <w:t xml:space="preserve">water service. </w:t>
      </w:r>
    </w:p>
    <w:p w:rsidR="00612195" w:rsidRDefault="00612195" w:rsidP="00612195"/>
    <w:p w:rsidR="0055418D" w:rsidRPr="007D317E" w:rsidRDefault="0055418D" w:rsidP="00AE19ED">
      <w:pPr>
        <w:pStyle w:val="Heading4"/>
      </w:pPr>
      <w:r w:rsidRPr="007D317E">
        <w:t>Overall Rate Structure and Design</w:t>
      </w:r>
    </w:p>
    <w:p w:rsidR="0055418D" w:rsidRPr="00E152D4" w:rsidRDefault="0055418D" w:rsidP="0055418D">
      <w:pPr>
        <w:tabs>
          <w:tab w:val="left" w:pos="2405"/>
        </w:tabs>
        <w:spacing w:line="240" w:lineRule="auto"/>
      </w:pPr>
      <w:r>
        <w:tab/>
      </w:r>
    </w:p>
    <w:p w:rsidR="0055418D" w:rsidRDefault="0055418D" w:rsidP="0055418D">
      <w:pPr>
        <w:rPr>
          <w:szCs w:val="24"/>
        </w:rPr>
      </w:pPr>
      <w:r>
        <w:t xml:space="preserve">As reflected in the comparison of current and proposed </w:t>
      </w:r>
      <w:r w:rsidR="007D317E">
        <w:t xml:space="preserve">Wastewater </w:t>
      </w:r>
      <w:r>
        <w:t xml:space="preserve">Settlement rates, </w:t>
      </w:r>
      <w:r w:rsidRPr="00E152D4">
        <w:rPr>
          <w:i/>
        </w:rPr>
        <w:t>supra</w:t>
      </w:r>
      <w:r>
        <w:t xml:space="preserve">, the </w:t>
      </w:r>
      <w:r w:rsidR="007D317E">
        <w:t xml:space="preserve">proposed Wastewater </w:t>
      </w:r>
      <w:r>
        <w:t xml:space="preserve">Settlement rates would result in a </w:t>
      </w:r>
      <w:r w:rsidR="007D317E">
        <w:t xml:space="preserve">nearly </w:t>
      </w:r>
      <w:r>
        <w:t xml:space="preserve">uniform rate percentage increase in the customer charge for all service levels and the commodity charge is the same for all consumption levels.  With the elimination of the </w:t>
      </w:r>
      <w:r w:rsidR="00973AF3">
        <w:t>waste</w:t>
      </w:r>
      <w:r>
        <w:t xml:space="preserve">water allowance and </w:t>
      </w:r>
      <w:r w:rsidR="00622B0E">
        <w:t xml:space="preserve">the </w:t>
      </w:r>
      <w:r>
        <w:t xml:space="preserve">preservation of </w:t>
      </w:r>
      <w:r w:rsidR="00622B0E">
        <w:t xml:space="preserve">the </w:t>
      </w:r>
      <w:r>
        <w:t xml:space="preserve">current availability charge, discussed, </w:t>
      </w:r>
      <w:r w:rsidRPr="00897CDA">
        <w:rPr>
          <w:i/>
        </w:rPr>
        <w:t>supra</w:t>
      </w:r>
      <w:r>
        <w:t>, the W</w:t>
      </w:r>
      <w:r w:rsidR="00973AF3">
        <w:t>astew</w:t>
      </w:r>
      <w:r>
        <w:t xml:space="preserve">ater Settlement mitigates </w:t>
      </w:r>
      <w:r w:rsidR="00622B0E">
        <w:t xml:space="preserve">the </w:t>
      </w:r>
      <w:r>
        <w:t xml:space="preserve">potential misallocation of costs that would have resulted from TESI’s initial proposed rates.   Therefore, we concur with the OTS that the rate structure and rate design contained in the </w:t>
      </w:r>
      <w:proofErr w:type="spellStart"/>
      <w:r>
        <w:t>W</w:t>
      </w:r>
      <w:r w:rsidR="00973AF3">
        <w:t>atsew</w:t>
      </w:r>
      <w:r>
        <w:t>ater</w:t>
      </w:r>
      <w:proofErr w:type="spellEnd"/>
      <w:r>
        <w:t xml:space="preserve"> Settlement is in the public interest as the allocation of the proposed increase to TESI’s customer classes is just, reasonable and non-discriminatory</w:t>
      </w:r>
      <w:r w:rsidR="0072407E">
        <w:t xml:space="preserve">.  </w:t>
      </w:r>
      <w:proofErr w:type="gramStart"/>
      <w:r w:rsidR="0072407E">
        <w:t>OTS Statement in Support at 4.</w:t>
      </w:r>
      <w:proofErr w:type="gramEnd"/>
      <w:r w:rsidR="0072407E">
        <w:t xml:space="preserve"> </w:t>
      </w:r>
    </w:p>
    <w:p w:rsidR="0072407E" w:rsidRDefault="0072407E" w:rsidP="000D7C1A">
      <w:pPr>
        <w:rPr>
          <w:szCs w:val="24"/>
        </w:rPr>
      </w:pPr>
    </w:p>
    <w:p w:rsidR="002B03B6" w:rsidRDefault="002B03B6" w:rsidP="002B03B6">
      <w:pPr>
        <w:pStyle w:val="Heading4"/>
      </w:pPr>
      <w:r>
        <w:t xml:space="preserve">One-Year Stay Out </w:t>
      </w:r>
    </w:p>
    <w:p w:rsidR="002B03B6" w:rsidRDefault="002B03B6" w:rsidP="002B03B6">
      <w:pPr>
        <w:spacing w:line="240" w:lineRule="auto"/>
      </w:pPr>
    </w:p>
    <w:p w:rsidR="002B03B6" w:rsidRDefault="002B03B6" w:rsidP="002B03B6">
      <w:r>
        <w:t xml:space="preserve">Under the terms of the Wastewater Settlement, TESI is not permitted to file another request to raise its base rates for one year following the Commission’s approval of the </w:t>
      </w:r>
      <w:r w:rsidR="00C11CC5">
        <w:t xml:space="preserve">Wastewater </w:t>
      </w:r>
      <w:r>
        <w:t>Settlement.  TESI may seek extraordinary rate relief during the one-year stay</w:t>
      </w:r>
      <w:r w:rsidR="00EE0909">
        <w:t>-</w:t>
      </w:r>
      <w:r>
        <w:t xml:space="preserve">out if it meets the requirements for extraordinary relief </w:t>
      </w:r>
      <w:r w:rsidR="00622B0E">
        <w:t xml:space="preserve">at </w:t>
      </w:r>
      <w:r>
        <w:t xml:space="preserve">66 Pa. C.S. </w:t>
      </w:r>
      <w:r>
        <w:rPr>
          <w:rFonts w:cs="Times New Roman"/>
        </w:rPr>
        <w:t>§</w:t>
      </w:r>
      <w:r>
        <w:t xml:space="preserve"> 1308(e), </w:t>
      </w:r>
      <w:r>
        <w:lastRenderedPageBreak/>
        <w:t xml:space="preserve">or if TESI is subject to significant increases in federal taxes or costs resulting from changes in law or regulation that would not allow it to earn a fair rate of return.  Wastewater Settlement </w:t>
      </w:r>
      <w:r w:rsidR="00E65908">
        <w:rPr>
          <w:rFonts w:cs="Times New Roman"/>
        </w:rPr>
        <w:t>¶</w:t>
      </w:r>
      <w:proofErr w:type="gramStart"/>
      <w:r w:rsidR="00E65908">
        <w:t>14(</w:t>
      </w:r>
      <w:proofErr w:type="gramEnd"/>
      <w:r w:rsidR="00E65908">
        <w:t xml:space="preserve">b) </w:t>
      </w:r>
      <w:r>
        <w:t xml:space="preserve">at 6-7.  For the reasons discussed </w:t>
      </w:r>
      <w:r w:rsidR="00C11CC5">
        <w:t>in our consideration of the identical stay</w:t>
      </w:r>
      <w:r w:rsidR="00EE0909">
        <w:t>-</w:t>
      </w:r>
      <w:r w:rsidR="00C11CC5">
        <w:t xml:space="preserve">out provision for water service, </w:t>
      </w:r>
      <w:r w:rsidR="00C11CC5" w:rsidRPr="00C11CC5">
        <w:rPr>
          <w:i/>
        </w:rPr>
        <w:t>supra</w:t>
      </w:r>
      <w:r w:rsidR="00C11CC5">
        <w:t>, we find that the one-year stay</w:t>
      </w:r>
      <w:r w:rsidR="00EE0909">
        <w:t>-</w:t>
      </w:r>
      <w:r w:rsidR="00C11CC5">
        <w:t>out provision in the Wastewater Settlement is in the public interest</w:t>
      </w:r>
      <w:r w:rsidR="00622B0E">
        <w:t>,</w:t>
      </w:r>
      <w:r w:rsidR="00C11CC5">
        <w:t xml:space="preserve"> and should be adopted. </w:t>
      </w:r>
      <w:r>
        <w:t xml:space="preserve"> </w:t>
      </w:r>
    </w:p>
    <w:p w:rsidR="0072407E" w:rsidRDefault="0072407E" w:rsidP="000D7C1A">
      <w:pPr>
        <w:rPr>
          <w:szCs w:val="24"/>
        </w:rPr>
      </w:pPr>
    </w:p>
    <w:p w:rsidR="00AC2EB8" w:rsidRDefault="00887A33" w:rsidP="006422FA">
      <w:pPr>
        <w:pStyle w:val="Heading2"/>
        <w:spacing w:line="240" w:lineRule="auto"/>
      </w:pPr>
      <w:r>
        <w:tab/>
      </w:r>
      <w:r w:rsidR="00AC2EB8">
        <w:t>Rate of Return</w:t>
      </w:r>
    </w:p>
    <w:p w:rsidR="00AC2EB8" w:rsidRDefault="00AC2EB8" w:rsidP="00F70E0E">
      <w:pPr>
        <w:keepNext/>
      </w:pPr>
    </w:p>
    <w:p w:rsidR="00543F64" w:rsidRDefault="00A84807" w:rsidP="006422FA">
      <w:pPr>
        <w:keepNext/>
        <w:rPr>
          <w:szCs w:val="24"/>
        </w:rPr>
      </w:pPr>
      <w:r>
        <w:rPr>
          <w:szCs w:val="24"/>
        </w:rPr>
        <w:t xml:space="preserve">In </w:t>
      </w:r>
      <w:r w:rsidR="00622B0E">
        <w:rPr>
          <w:szCs w:val="24"/>
        </w:rPr>
        <w:t>her</w:t>
      </w:r>
      <w:r>
        <w:rPr>
          <w:szCs w:val="24"/>
        </w:rPr>
        <w:t xml:space="preserve"> Recommended Decision, the</w:t>
      </w:r>
      <w:r w:rsidR="008A2A29">
        <w:rPr>
          <w:szCs w:val="24"/>
        </w:rPr>
        <w:t xml:space="preserve"> ALJ</w:t>
      </w:r>
      <w:r>
        <w:rPr>
          <w:szCs w:val="24"/>
        </w:rPr>
        <w:t xml:space="preserve"> noted that </w:t>
      </w:r>
      <w:r w:rsidR="0017738A">
        <w:rPr>
          <w:szCs w:val="24"/>
        </w:rPr>
        <w:t xml:space="preserve">TESI, the OTS and the OCA filed </w:t>
      </w:r>
      <w:r w:rsidR="00B1315B">
        <w:rPr>
          <w:szCs w:val="24"/>
        </w:rPr>
        <w:t>J</w:t>
      </w:r>
      <w:r w:rsidR="00487D54">
        <w:rPr>
          <w:szCs w:val="24"/>
        </w:rPr>
        <w:t>oint S</w:t>
      </w:r>
      <w:r w:rsidR="0017738A">
        <w:rPr>
          <w:szCs w:val="24"/>
        </w:rPr>
        <w:t xml:space="preserve">tipulations </w:t>
      </w:r>
      <w:r w:rsidR="00487D54">
        <w:rPr>
          <w:szCs w:val="24"/>
        </w:rPr>
        <w:t>R</w:t>
      </w:r>
      <w:r w:rsidR="0017738A">
        <w:rPr>
          <w:szCs w:val="24"/>
        </w:rPr>
        <w:t xml:space="preserve">egarding </w:t>
      </w:r>
      <w:r w:rsidR="00487D54">
        <w:rPr>
          <w:szCs w:val="24"/>
        </w:rPr>
        <w:t>R</w:t>
      </w:r>
      <w:r w:rsidR="0017738A">
        <w:rPr>
          <w:szCs w:val="24"/>
        </w:rPr>
        <w:t xml:space="preserve">ate of </w:t>
      </w:r>
      <w:r w:rsidR="00487D54">
        <w:rPr>
          <w:szCs w:val="24"/>
        </w:rPr>
        <w:t>R</w:t>
      </w:r>
      <w:r w:rsidR="0017738A">
        <w:rPr>
          <w:szCs w:val="24"/>
        </w:rPr>
        <w:t>eturn</w:t>
      </w:r>
      <w:r w:rsidR="00086750">
        <w:rPr>
          <w:szCs w:val="24"/>
        </w:rPr>
        <w:t xml:space="preserve"> for </w:t>
      </w:r>
      <w:r w:rsidR="00FE29E0">
        <w:rPr>
          <w:szCs w:val="24"/>
        </w:rPr>
        <w:t>this proceeding.</w:t>
      </w:r>
      <w:r w:rsidR="00086750">
        <w:rPr>
          <w:szCs w:val="24"/>
        </w:rPr>
        <w:t xml:space="preserve">  </w:t>
      </w:r>
      <w:r w:rsidR="00A766E2">
        <w:rPr>
          <w:szCs w:val="24"/>
        </w:rPr>
        <w:t xml:space="preserve">The ALJ also noted that </w:t>
      </w:r>
      <w:r w:rsidR="00FE29E0">
        <w:rPr>
          <w:szCs w:val="24"/>
        </w:rPr>
        <w:t>the issue of rate of return was fully litigated in</w:t>
      </w:r>
      <w:r w:rsidR="00A766E2">
        <w:rPr>
          <w:szCs w:val="24"/>
        </w:rPr>
        <w:t xml:space="preserve"> TESI</w:t>
      </w:r>
      <w:r w:rsidR="007F3584">
        <w:rPr>
          <w:szCs w:val="24"/>
        </w:rPr>
        <w:t>’s</w:t>
      </w:r>
      <w:r w:rsidR="00A766E2">
        <w:rPr>
          <w:szCs w:val="24"/>
        </w:rPr>
        <w:t xml:space="preserve"> </w:t>
      </w:r>
      <w:r w:rsidR="00FE29E0">
        <w:rPr>
          <w:szCs w:val="24"/>
        </w:rPr>
        <w:t xml:space="preserve">last </w:t>
      </w:r>
      <w:r w:rsidR="00A766E2">
        <w:rPr>
          <w:szCs w:val="24"/>
        </w:rPr>
        <w:t>rate proceeding</w:t>
      </w:r>
      <w:r w:rsidR="00FE29E0">
        <w:rPr>
          <w:szCs w:val="24"/>
        </w:rPr>
        <w:t xml:space="preserve"> </w:t>
      </w:r>
      <w:r w:rsidR="00543F64" w:rsidRPr="00543F64">
        <w:rPr>
          <w:color w:val="FF0000"/>
          <w:szCs w:val="24"/>
        </w:rPr>
        <w:t xml:space="preserve"> </w:t>
      </w:r>
      <w:r w:rsidR="00FE29E0">
        <w:rPr>
          <w:szCs w:val="24"/>
        </w:rPr>
        <w:t xml:space="preserve">and the rate stipulated for this proceeding is the </w:t>
      </w:r>
      <w:r w:rsidR="00543F64">
        <w:rPr>
          <w:szCs w:val="24"/>
        </w:rPr>
        <w:t xml:space="preserve">same as the rate </w:t>
      </w:r>
      <w:r w:rsidR="00FE29E0">
        <w:rPr>
          <w:szCs w:val="24"/>
        </w:rPr>
        <w:t xml:space="preserve">adopted by the Commission in the last </w:t>
      </w:r>
      <w:r w:rsidR="00543F64">
        <w:rPr>
          <w:szCs w:val="24"/>
        </w:rPr>
        <w:t>proceeding</w:t>
      </w:r>
      <w:r w:rsidR="00371144">
        <w:rPr>
          <w:rStyle w:val="FootnoteReference"/>
          <w:szCs w:val="24"/>
        </w:rPr>
        <w:footnoteReference w:id="4"/>
      </w:r>
      <w:r w:rsidR="005F4009">
        <w:rPr>
          <w:szCs w:val="24"/>
        </w:rPr>
        <w:t xml:space="preserve"> </w:t>
      </w:r>
      <w:r w:rsidR="00FE29E0">
        <w:rPr>
          <w:szCs w:val="24"/>
        </w:rPr>
        <w:t xml:space="preserve"> </w:t>
      </w:r>
      <w:r w:rsidR="00543F64">
        <w:rPr>
          <w:szCs w:val="24"/>
        </w:rPr>
        <w:t>Therefore, the ALJ recommended that the Commission approve the stipulated rate of return as appropriate for this proceeding</w:t>
      </w:r>
      <w:r w:rsidR="00075F6A">
        <w:rPr>
          <w:szCs w:val="24"/>
        </w:rPr>
        <w:t xml:space="preserve">. </w:t>
      </w:r>
      <w:r w:rsidR="00570FE1">
        <w:rPr>
          <w:szCs w:val="24"/>
        </w:rPr>
        <w:t xml:space="preserve"> </w:t>
      </w:r>
      <w:proofErr w:type="gramStart"/>
      <w:r w:rsidR="00570FE1">
        <w:rPr>
          <w:szCs w:val="24"/>
        </w:rPr>
        <w:t>R.D. at 37.</w:t>
      </w:r>
      <w:proofErr w:type="gramEnd"/>
      <w:r w:rsidR="00570FE1">
        <w:rPr>
          <w:szCs w:val="24"/>
        </w:rPr>
        <w:t xml:space="preserve"> </w:t>
      </w:r>
    </w:p>
    <w:p w:rsidR="00543F64" w:rsidRDefault="00543F64" w:rsidP="00AC2EB8">
      <w:pPr>
        <w:rPr>
          <w:szCs w:val="24"/>
        </w:rPr>
      </w:pPr>
    </w:p>
    <w:p w:rsidR="00AC2EB8" w:rsidRDefault="00075F6A" w:rsidP="00AC2EB8">
      <w:pPr>
        <w:rPr>
          <w:szCs w:val="24"/>
        </w:rPr>
      </w:pPr>
      <w:r>
        <w:rPr>
          <w:szCs w:val="24"/>
        </w:rPr>
        <w:t xml:space="preserve">While the stipulated rate of return is discussed in </w:t>
      </w:r>
      <w:r w:rsidR="003F35C8">
        <w:rPr>
          <w:szCs w:val="24"/>
        </w:rPr>
        <w:t xml:space="preserve">both </w:t>
      </w:r>
      <w:r w:rsidR="00543F64">
        <w:rPr>
          <w:szCs w:val="24"/>
        </w:rPr>
        <w:t xml:space="preserve">the Water and Wastewater </w:t>
      </w:r>
      <w:r>
        <w:rPr>
          <w:szCs w:val="24"/>
        </w:rPr>
        <w:t xml:space="preserve">Settlements as part of the history of the proceeding </w:t>
      </w:r>
      <w:r w:rsidR="003F35C8">
        <w:rPr>
          <w:szCs w:val="24"/>
        </w:rPr>
        <w:t xml:space="preserve">(Background), a finding regarding </w:t>
      </w:r>
      <w:r w:rsidR="007F3584">
        <w:rPr>
          <w:szCs w:val="24"/>
        </w:rPr>
        <w:t xml:space="preserve">the </w:t>
      </w:r>
      <w:r w:rsidR="003F35C8">
        <w:rPr>
          <w:szCs w:val="24"/>
        </w:rPr>
        <w:t xml:space="preserve">rate of return is not included in the terms of either </w:t>
      </w:r>
      <w:r w:rsidR="008A2A29">
        <w:rPr>
          <w:szCs w:val="24"/>
        </w:rPr>
        <w:t xml:space="preserve">the Water or Wastewater </w:t>
      </w:r>
      <w:r w:rsidR="003F35C8">
        <w:rPr>
          <w:szCs w:val="24"/>
        </w:rPr>
        <w:t>Settlement</w:t>
      </w:r>
      <w:r w:rsidR="00371144">
        <w:rPr>
          <w:szCs w:val="24"/>
        </w:rPr>
        <w:t>s</w:t>
      </w:r>
      <w:r w:rsidR="003F35C8">
        <w:rPr>
          <w:szCs w:val="24"/>
        </w:rPr>
        <w:t xml:space="preserve">.  Additionally, a rate of return does not appear </w:t>
      </w:r>
      <w:r w:rsidR="0056348C">
        <w:rPr>
          <w:szCs w:val="24"/>
        </w:rPr>
        <w:t xml:space="preserve">in the rate </w:t>
      </w:r>
      <w:r w:rsidR="007C05E0">
        <w:rPr>
          <w:szCs w:val="24"/>
        </w:rPr>
        <w:t xml:space="preserve">analysis </w:t>
      </w:r>
      <w:r w:rsidR="0056348C">
        <w:rPr>
          <w:szCs w:val="24"/>
        </w:rPr>
        <w:t xml:space="preserve">and proof of revenue included in the Appendices to either Settlement.  </w:t>
      </w:r>
    </w:p>
    <w:p w:rsidR="0017738A" w:rsidRDefault="0017738A" w:rsidP="00AC2EB8">
      <w:pPr>
        <w:rPr>
          <w:szCs w:val="24"/>
        </w:rPr>
      </w:pPr>
    </w:p>
    <w:p w:rsidR="006C58C8" w:rsidRPr="007F3584" w:rsidRDefault="006C58C8" w:rsidP="006C58C8">
      <w:r w:rsidRPr="007F3584">
        <w:t xml:space="preserve">In considering the proposed </w:t>
      </w:r>
      <w:r w:rsidR="002F1278" w:rsidRPr="007F3584">
        <w:t>Water and Wastewater Settlements</w:t>
      </w:r>
      <w:r w:rsidRPr="007F3584">
        <w:t xml:space="preserve">, we </w:t>
      </w:r>
      <w:r w:rsidR="00371144">
        <w:t>must</w:t>
      </w:r>
      <w:r w:rsidRPr="007F3584">
        <w:t xml:space="preserve"> determin</w:t>
      </w:r>
      <w:r w:rsidR="00371144">
        <w:t>e</w:t>
      </w:r>
      <w:r w:rsidRPr="007F3584">
        <w:t xml:space="preserve">, </w:t>
      </w:r>
      <w:r w:rsidRPr="007F3584">
        <w:rPr>
          <w:i/>
        </w:rPr>
        <w:t>inter alia</w:t>
      </w:r>
      <w:r w:rsidRPr="007F3584">
        <w:t xml:space="preserve">, whether an increase of </w:t>
      </w:r>
      <w:r w:rsidR="007C05E0" w:rsidRPr="007F3584">
        <w:t xml:space="preserve">$244,917 </w:t>
      </w:r>
      <w:r w:rsidRPr="007F3584">
        <w:t xml:space="preserve">in annual </w:t>
      </w:r>
      <w:r w:rsidR="007C05E0" w:rsidRPr="007F3584">
        <w:t xml:space="preserve">water service revenue and an </w:t>
      </w:r>
      <w:r w:rsidR="00D907D9" w:rsidRPr="007F3584">
        <w:t xml:space="preserve">increase of </w:t>
      </w:r>
      <w:r w:rsidR="007C05E0" w:rsidRPr="007F3584">
        <w:t xml:space="preserve">$105,059 in annual wastewater service revenue </w:t>
      </w:r>
      <w:r w:rsidR="00871C26">
        <w:t>are</w:t>
      </w:r>
      <w:r w:rsidRPr="007F3584">
        <w:t xml:space="preserve"> in the public interest</w:t>
      </w:r>
      <w:r w:rsidR="00C64726">
        <w:t>,</w:t>
      </w:r>
      <w:r w:rsidRPr="007F3584">
        <w:t xml:space="preserve"> without </w:t>
      </w:r>
      <w:r w:rsidR="00C64726">
        <w:t xml:space="preserve">considering </w:t>
      </w:r>
      <w:r w:rsidRPr="007F3584">
        <w:t xml:space="preserve">any specific </w:t>
      </w:r>
      <w:r w:rsidR="00D907D9" w:rsidRPr="007F3584">
        <w:t>factors</w:t>
      </w:r>
      <w:r w:rsidRPr="007F3584">
        <w:t xml:space="preserve"> that may have led to the calculation of the specific revenue requirement</w:t>
      </w:r>
      <w:r w:rsidR="007F3584" w:rsidRPr="007F3584">
        <w:t>s</w:t>
      </w:r>
      <w:r w:rsidRPr="007F3584">
        <w:t xml:space="preserve">.  Consequently, we are unable to make any determination regarding the rate of return on equity that </w:t>
      </w:r>
      <w:r w:rsidR="00EE386F" w:rsidRPr="007F3584">
        <w:t xml:space="preserve">TESI </w:t>
      </w:r>
      <w:r w:rsidRPr="007F3584">
        <w:t xml:space="preserve">may ultimately realize </w:t>
      </w:r>
      <w:r w:rsidRPr="007F3584">
        <w:lastRenderedPageBreak/>
        <w:t>from the rates adopted under the proposed Settlement</w:t>
      </w:r>
      <w:r w:rsidR="00EE386F" w:rsidRPr="007F3584">
        <w:t>s</w:t>
      </w:r>
      <w:r w:rsidRPr="007F3584">
        <w:t xml:space="preserve">.  Accordingly, we cannot adopt the ALJ’s </w:t>
      </w:r>
      <w:r w:rsidR="00EE386F" w:rsidRPr="007F3584">
        <w:t xml:space="preserve">recommendation to </w:t>
      </w:r>
      <w:r w:rsidR="00D907D9" w:rsidRPr="007F3584">
        <w:t>approve</w:t>
      </w:r>
      <w:r w:rsidR="00EE386F" w:rsidRPr="007F3584">
        <w:t xml:space="preserve"> a </w:t>
      </w:r>
      <w:r w:rsidR="00D907D9" w:rsidRPr="007F3584">
        <w:t xml:space="preserve">specific </w:t>
      </w:r>
      <w:r w:rsidR="00EE386F" w:rsidRPr="007F3584">
        <w:t xml:space="preserve">return </w:t>
      </w:r>
      <w:r w:rsidR="00D907D9" w:rsidRPr="007F3584">
        <w:t>on equity</w:t>
      </w:r>
      <w:r w:rsidR="00C64726">
        <w:t>, nor can we</w:t>
      </w:r>
      <w:r w:rsidR="00D907D9" w:rsidRPr="007F3584">
        <w:t xml:space="preserve"> </w:t>
      </w:r>
      <w:r w:rsidR="00A57115">
        <w:t xml:space="preserve">adopt </w:t>
      </w:r>
      <w:r w:rsidR="00D907D9" w:rsidRPr="007F3584">
        <w:t xml:space="preserve">a rate of return based on </w:t>
      </w:r>
      <w:r w:rsidR="00C64726">
        <w:t xml:space="preserve">the </w:t>
      </w:r>
      <w:r w:rsidR="00D907D9" w:rsidRPr="007F3584">
        <w:t>results of TESI’s last rate proceeding</w:t>
      </w:r>
      <w:r w:rsidR="00251A3D">
        <w:t xml:space="preserve">. </w:t>
      </w:r>
    </w:p>
    <w:p w:rsidR="0017738A" w:rsidRPr="006C58C8" w:rsidRDefault="0017738A" w:rsidP="00AC2EB8">
      <w:pPr>
        <w:rPr>
          <w:color w:val="FF0000"/>
        </w:rPr>
      </w:pPr>
    </w:p>
    <w:p w:rsidR="00887A33" w:rsidRDefault="00887A33" w:rsidP="00C2785B">
      <w:pPr>
        <w:pStyle w:val="Heading2"/>
        <w:spacing w:line="240" w:lineRule="auto"/>
      </w:pPr>
      <w:r>
        <w:t>Exceptions –</w:t>
      </w:r>
      <w:r w:rsidR="004E5758">
        <w:t xml:space="preserve"> Leak </w:t>
      </w:r>
      <w:r w:rsidR="00A563DC">
        <w:t xml:space="preserve">Inspections, Reporting and </w:t>
      </w:r>
      <w:r w:rsidR="004E5758">
        <w:t>Action Plan</w:t>
      </w:r>
    </w:p>
    <w:p w:rsidR="004B75AD" w:rsidRPr="004B75AD" w:rsidRDefault="004B75AD" w:rsidP="00F70E0E"/>
    <w:p w:rsidR="00C2785B" w:rsidRPr="00AF3DBA" w:rsidRDefault="00C2785B" w:rsidP="00C2785B">
      <w:pPr>
        <w:rPr>
          <w:b/>
        </w:rPr>
      </w:pPr>
      <w:r>
        <w:t xml:space="preserve">Initially, we are reminded that we are not required to consider expressly or at great length each and every contention raised by a party to our proceedings.  </w:t>
      </w:r>
      <w:proofErr w:type="gramStart"/>
      <w:r>
        <w:rPr>
          <w:i/>
        </w:rPr>
        <w:t>University of Pennsylvania, et al. v. Pa. PUC</w:t>
      </w:r>
      <w:r>
        <w:t>, 485 A.2d 1217, 1222 (Pa. Cmwlth. 1984).</w:t>
      </w:r>
      <w:proofErr w:type="gramEnd"/>
      <w:r>
        <w:t xml:space="preserve">  Any exception or argument that is not specifically addressed herein shall be deemed to have been duly considered and denied without further discussion.  </w:t>
      </w:r>
    </w:p>
    <w:p w:rsidR="00887A33" w:rsidRDefault="00887A33" w:rsidP="00887A33"/>
    <w:p w:rsidR="00F65BA8" w:rsidRDefault="004B75AD" w:rsidP="00887A33">
      <w:r>
        <w:t xml:space="preserve">As </w:t>
      </w:r>
      <w:r w:rsidR="00C64726">
        <w:t>discussed</w:t>
      </w:r>
      <w:r>
        <w:t xml:space="preserve">, </w:t>
      </w:r>
      <w:r w:rsidRPr="004B75AD">
        <w:rPr>
          <w:i/>
        </w:rPr>
        <w:t>supra</w:t>
      </w:r>
      <w:r>
        <w:t xml:space="preserve">, under the terms of the </w:t>
      </w:r>
      <w:r w:rsidR="00AB29C2">
        <w:t>Water Settlement</w:t>
      </w:r>
      <w:r w:rsidR="00150C1D">
        <w:t>,</w:t>
      </w:r>
      <w:r w:rsidR="00AB29C2">
        <w:t xml:space="preserve"> as amended by the Settlement Addendum, TESI has agreed to perform </w:t>
      </w:r>
      <w:r w:rsidR="00595433">
        <w:t xml:space="preserve">five activities to address </w:t>
      </w:r>
      <w:r w:rsidR="00C64726">
        <w:t xml:space="preserve">the issues of </w:t>
      </w:r>
      <w:r w:rsidR="00595433">
        <w:t xml:space="preserve">water quality and unaccounted-for water.  </w:t>
      </w:r>
      <w:r w:rsidR="00A563DC">
        <w:t xml:space="preserve">One of those activities </w:t>
      </w:r>
      <w:r w:rsidR="00595433">
        <w:t xml:space="preserve">is for TESI “[t]o perform leak detection on a regular basis.”  </w:t>
      </w:r>
      <w:r w:rsidR="00A70A70">
        <w:t xml:space="preserve">Water </w:t>
      </w:r>
      <w:r w:rsidR="00595433">
        <w:t xml:space="preserve">Settlement Addendum </w:t>
      </w:r>
      <w:r w:rsidR="00A70A70">
        <w:rPr>
          <w:rFonts w:cs="Times New Roman"/>
        </w:rPr>
        <w:t xml:space="preserve">¶ </w:t>
      </w:r>
      <w:r w:rsidR="00A70A70">
        <w:t>3(c</w:t>
      </w:r>
      <w:proofErr w:type="gramStart"/>
      <w:r w:rsidR="00A70A70">
        <w:t>)(</w:t>
      </w:r>
      <w:proofErr w:type="gramEnd"/>
      <w:r w:rsidR="00A70A70">
        <w:t xml:space="preserve">v) </w:t>
      </w:r>
      <w:r w:rsidR="00595433">
        <w:t xml:space="preserve">at 2.  </w:t>
      </w:r>
      <w:r w:rsidR="0099162B">
        <w:t xml:space="preserve">In her Recommended Decision, the ALJ proposed that TESI </w:t>
      </w:r>
      <w:r w:rsidR="001E7141">
        <w:t>perform the following additional activities to address unaccounted-for water</w:t>
      </w:r>
      <w:r w:rsidR="00F65BA8">
        <w:t>:</w:t>
      </w:r>
    </w:p>
    <w:p w:rsidR="00A563DC" w:rsidRDefault="00A563DC" w:rsidP="00A563DC">
      <w:pPr>
        <w:spacing w:line="240" w:lineRule="auto"/>
      </w:pPr>
    </w:p>
    <w:p w:rsidR="00711F8B" w:rsidRPr="00916AAA" w:rsidRDefault="00F65BA8" w:rsidP="00711F8B">
      <w:pPr>
        <w:pStyle w:val="BodyText"/>
        <w:tabs>
          <w:tab w:val="left" w:pos="-720"/>
        </w:tabs>
        <w:suppressAutoHyphens/>
        <w:spacing w:line="240" w:lineRule="auto"/>
        <w:ind w:left="1440" w:right="1440" w:firstLine="720"/>
        <w:rPr>
          <w:bCs/>
          <w:szCs w:val="26"/>
        </w:rPr>
      </w:pPr>
      <w:r>
        <w:rPr>
          <w:szCs w:val="24"/>
        </w:rPr>
        <w:t>2.</w:t>
      </w:r>
      <w:r>
        <w:rPr>
          <w:szCs w:val="24"/>
        </w:rPr>
        <w:tab/>
      </w:r>
      <w:r w:rsidRPr="00916AAA">
        <w:rPr>
          <w:szCs w:val="26"/>
        </w:rPr>
        <w:t xml:space="preserve">TESI will conduct leak detection inspections on no less than a </w:t>
      </w:r>
      <w:r w:rsidRPr="00916AAA">
        <w:rPr>
          <w:szCs w:val="26"/>
          <w:u w:val="single"/>
        </w:rPr>
        <w:t xml:space="preserve">semi-annual </w:t>
      </w:r>
      <w:r w:rsidRPr="00916AAA">
        <w:rPr>
          <w:szCs w:val="26"/>
        </w:rPr>
        <w:t xml:space="preserve">basis and, thereafter, also will submit to the attention of the Commission’s Fixed Utility Services a copy of a log which specifies, </w:t>
      </w:r>
      <w:r w:rsidRPr="00916AAA">
        <w:rPr>
          <w:i/>
          <w:szCs w:val="26"/>
        </w:rPr>
        <w:t>inter alia</w:t>
      </w:r>
      <w:r w:rsidRPr="00916AAA">
        <w:rPr>
          <w:szCs w:val="26"/>
        </w:rPr>
        <w:t>, the details of the inspections including dates, number of leaks detected, location of leaks detected, and how TESI responded to the detected leak.</w:t>
      </w:r>
      <w:r w:rsidRPr="00916AAA">
        <w:rPr>
          <w:szCs w:val="26"/>
        </w:rPr>
        <w:tab/>
      </w:r>
      <w:r w:rsidR="00711F8B" w:rsidRPr="00916AAA">
        <w:rPr>
          <w:szCs w:val="26"/>
        </w:rPr>
        <w:t xml:space="preserve"> (</w:t>
      </w:r>
      <w:proofErr w:type="gramStart"/>
      <w:r w:rsidR="00711F8B" w:rsidRPr="00916AAA">
        <w:rPr>
          <w:szCs w:val="26"/>
        </w:rPr>
        <w:t>emphasis</w:t>
      </w:r>
      <w:proofErr w:type="gramEnd"/>
      <w:r w:rsidR="00711F8B" w:rsidRPr="00916AAA">
        <w:rPr>
          <w:szCs w:val="26"/>
        </w:rPr>
        <w:t xml:space="preserve"> </w:t>
      </w:r>
      <w:r w:rsidR="000B4F70" w:rsidRPr="00916AAA">
        <w:rPr>
          <w:szCs w:val="26"/>
        </w:rPr>
        <w:t>added).</w:t>
      </w:r>
    </w:p>
    <w:p w:rsidR="00F65BA8" w:rsidRPr="00916AAA" w:rsidRDefault="00F65BA8" w:rsidP="00F65BA8">
      <w:pPr>
        <w:widowControl w:val="0"/>
        <w:spacing w:line="240" w:lineRule="auto"/>
        <w:ind w:left="1440" w:right="1440" w:firstLine="720"/>
      </w:pPr>
    </w:p>
    <w:p w:rsidR="00F65BA8" w:rsidRPr="00916AAA" w:rsidRDefault="00F65BA8" w:rsidP="00F65BA8">
      <w:pPr>
        <w:pStyle w:val="BodyText"/>
        <w:tabs>
          <w:tab w:val="left" w:pos="-720"/>
        </w:tabs>
        <w:suppressAutoHyphens/>
        <w:spacing w:line="240" w:lineRule="auto"/>
        <w:ind w:left="1440" w:right="1440" w:firstLine="720"/>
        <w:rPr>
          <w:bCs/>
          <w:szCs w:val="26"/>
        </w:rPr>
      </w:pPr>
      <w:r w:rsidRPr="00916AAA">
        <w:rPr>
          <w:szCs w:val="26"/>
        </w:rPr>
        <w:t>3.</w:t>
      </w:r>
      <w:r w:rsidRPr="00916AAA">
        <w:rPr>
          <w:szCs w:val="26"/>
        </w:rPr>
        <w:tab/>
        <w:t xml:space="preserve">TESI will submit to the attention of the Commission’s Fixed Utility Services, within six (6) months of the Commission’s Final Order, an action plan on how it proposes to reduce its unaccounted-for water percentage prior to when it files its next rate base petition.  Specifically, the action plan will detail how TESI will reduce the unaccounted-for water percentage down to twenty-five percent (25%) </w:t>
      </w:r>
      <w:r w:rsidRPr="00916AAA">
        <w:rPr>
          <w:szCs w:val="26"/>
        </w:rPr>
        <w:lastRenderedPageBreak/>
        <w:t xml:space="preserve">within twelve (12) months of the Commission’s Final Order and how TESI will further reduce the unaccounted-for water percentage down to twenty percent (20%) within twenty-four (24) months of the Commission’s Final Order.  </w:t>
      </w:r>
    </w:p>
    <w:p w:rsidR="00552968" w:rsidRDefault="00552968" w:rsidP="003117E8">
      <w:pPr>
        <w:spacing w:line="240" w:lineRule="auto"/>
      </w:pPr>
    </w:p>
    <w:p w:rsidR="003117E8" w:rsidRDefault="003117E8" w:rsidP="003117E8">
      <w:pPr>
        <w:ind w:firstLine="0"/>
      </w:pPr>
      <w:r>
        <w:t xml:space="preserve">R.D. at 40-43. </w:t>
      </w:r>
    </w:p>
    <w:p w:rsidR="003117E8" w:rsidRDefault="003117E8" w:rsidP="00F8662D">
      <w:pPr>
        <w:spacing w:line="240" w:lineRule="auto"/>
        <w:ind w:firstLine="0"/>
      </w:pPr>
    </w:p>
    <w:p w:rsidR="000D74E7" w:rsidRDefault="004568BC" w:rsidP="000D74E7">
      <w:r>
        <w:t xml:space="preserve">The ALJ stated that TESI loses an enormous quantity of water </w:t>
      </w:r>
      <w:r w:rsidR="009946C0">
        <w:t>at</w:t>
      </w:r>
      <w:r>
        <w:t xml:space="preserve"> undetected and/or unknown locations within its system.  The ALJ </w:t>
      </w:r>
      <w:r w:rsidR="009946C0">
        <w:t xml:space="preserve">also </w:t>
      </w:r>
      <w:r>
        <w:t>noted that TESI previously hired a consultant wh</w:t>
      </w:r>
      <w:r w:rsidR="009946C0">
        <w:t>o</w:t>
      </w:r>
      <w:r>
        <w:t xml:space="preserve"> proposed </w:t>
      </w:r>
      <w:r w:rsidR="009946C0">
        <w:t xml:space="preserve">that the </w:t>
      </w:r>
      <w:r>
        <w:t>water is lost through old and faulty water meters and</w:t>
      </w:r>
      <w:r w:rsidR="000D74E7">
        <w:t xml:space="preserve"> that </w:t>
      </w:r>
      <w:r w:rsidR="00EB3899">
        <w:t>the r</w:t>
      </w:r>
      <w:r>
        <w:t>eplacement of the water meters should result in a lower unaccounted-for water percentage</w:t>
      </w:r>
      <w:r w:rsidR="00EB3899">
        <w:t>,</w:t>
      </w:r>
      <w:r>
        <w:t xml:space="preserve"> and </w:t>
      </w:r>
      <w:r w:rsidR="00EB3899">
        <w:t xml:space="preserve">also </w:t>
      </w:r>
      <w:r>
        <w:t xml:space="preserve">provide more accurate residential usage meter readings.  </w:t>
      </w:r>
      <w:r w:rsidR="000D74E7">
        <w:t xml:space="preserve">The ALJ stated that TESI had planned to start replacing </w:t>
      </w:r>
      <w:r w:rsidR="006656CE">
        <w:t xml:space="preserve">400 of its </w:t>
      </w:r>
      <w:r w:rsidR="000D74E7">
        <w:t>meters after the last proceeding</w:t>
      </w:r>
      <w:r w:rsidR="007F30D4">
        <w:t>,</w:t>
      </w:r>
      <w:r w:rsidR="000D74E7">
        <w:t xml:space="preserve"> in 2008</w:t>
      </w:r>
      <w:r w:rsidR="007F30D4">
        <w:t>,</w:t>
      </w:r>
      <w:r w:rsidR="000D74E7">
        <w:t xml:space="preserve"> but </w:t>
      </w:r>
      <w:r w:rsidR="000623D6">
        <w:t xml:space="preserve">that </w:t>
      </w:r>
      <w:r w:rsidR="000D74E7">
        <w:t>it could</w:t>
      </w:r>
      <w:r w:rsidR="00150C1D">
        <w:t xml:space="preserve"> </w:t>
      </w:r>
      <w:r w:rsidR="000D74E7">
        <w:t>n</w:t>
      </w:r>
      <w:r w:rsidR="00150C1D">
        <w:t>o</w:t>
      </w:r>
      <w:r w:rsidR="000D74E7">
        <w:t xml:space="preserve">t afford the replacement program after the Commission denied </w:t>
      </w:r>
      <w:r w:rsidR="007F30D4">
        <w:t xml:space="preserve">it </w:t>
      </w:r>
      <w:r w:rsidR="000D74E7">
        <w:t>most of its revenue request.</w:t>
      </w:r>
      <w:r w:rsidR="006656CE">
        <w:t xml:space="preserve">  </w:t>
      </w:r>
      <w:proofErr w:type="gramStart"/>
      <w:r w:rsidR="0093215C" w:rsidRPr="0093215C">
        <w:rPr>
          <w:i/>
        </w:rPr>
        <w:t>Id</w:t>
      </w:r>
      <w:r w:rsidR="0093215C">
        <w:t>.</w:t>
      </w:r>
      <w:r w:rsidR="006656CE">
        <w:t xml:space="preserve"> at 38</w:t>
      </w:r>
      <w:r w:rsidR="007F30D4">
        <w:t>.</w:t>
      </w:r>
      <w:proofErr w:type="gramEnd"/>
    </w:p>
    <w:p w:rsidR="006656CE" w:rsidRDefault="006656CE" w:rsidP="000D74E7"/>
    <w:p w:rsidR="004568BC" w:rsidRPr="004A2DA2" w:rsidRDefault="006656CE" w:rsidP="006656CE">
      <w:pPr>
        <w:rPr>
          <w:szCs w:val="24"/>
        </w:rPr>
      </w:pPr>
      <w:r>
        <w:t>The ALJ opined that th</w:t>
      </w:r>
      <w:r w:rsidR="004568BC">
        <w:rPr>
          <w:szCs w:val="24"/>
        </w:rPr>
        <w:t xml:space="preserve">e old meters may be one </w:t>
      </w:r>
      <w:r w:rsidR="000623D6">
        <w:rPr>
          <w:szCs w:val="24"/>
        </w:rPr>
        <w:t>cause</w:t>
      </w:r>
      <w:r w:rsidR="004568BC">
        <w:rPr>
          <w:szCs w:val="24"/>
        </w:rPr>
        <w:t xml:space="preserve"> of the lost water problem but, </w:t>
      </w:r>
      <w:r w:rsidR="000623D6">
        <w:rPr>
          <w:szCs w:val="24"/>
        </w:rPr>
        <w:t xml:space="preserve">that, </w:t>
      </w:r>
      <w:r w:rsidR="004568BC">
        <w:rPr>
          <w:szCs w:val="24"/>
        </w:rPr>
        <w:t xml:space="preserve">considering the magnitude of the unaccounted-for water percentages </w:t>
      </w:r>
      <w:r w:rsidR="000623D6">
        <w:rPr>
          <w:szCs w:val="24"/>
        </w:rPr>
        <w:t>involved,</w:t>
      </w:r>
      <w:r w:rsidR="004568BC">
        <w:rPr>
          <w:szCs w:val="24"/>
        </w:rPr>
        <w:t xml:space="preserve"> and the size of the pool of ratepayers, TESI needs to be more proactive and aggressive in addressing this problem.  </w:t>
      </w:r>
      <w:r>
        <w:rPr>
          <w:szCs w:val="24"/>
        </w:rPr>
        <w:t>The ALJ concluded that r</w:t>
      </w:r>
      <w:r w:rsidR="004568BC" w:rsidRPr="004A2DA2">
        <w:rPr>
          <w:szCs w:val="24"/>
        </w:rPr>
        <w:t xml:space="preserve">eplacing the water meters is insufficient without also testing the meters to </w:t>
      </w:r>
      <w:r w:rsidR="007E62F6">
        <w:rPr>
          <w:szCs w:val="24"/>
        </w:rPr>
        <w:t xml:space="preserve">determine </w:t>
      </w:r>
      <w:r w:rsidR="004568BC" w:rsidRPr="004A2DA2">
        <w:rPr>
          <w:szCs w:val="24"/>
        </w:rPr>
        <w:t>if the</w:t>
      </w:r>
      <w:r w:rsidR="007E62F6">
        <w:rPr>
          <w:szCs w:val="24"/>
        </w:rPr>
        <w:t>y</w:t>
      </w:r>
      <w:r w:rsidR="004568BC">
        <w:rPr>
          <w:szCs w:val="24"/>
        </w:rPr>
        <w:t xml:space="preserve">, in fact, </w:t>
      </w:r>
      <w:r w:rsidR="004568BC" w:rsidRPr="004A2DA2">
        <w:rPr>
          <w:szCs w:val="24"/>
        </w:rPr>
        <w:t>caus</w:t>
      </w:r>
      <w:r w:rsidR="004568BC">
        <w:rPr>
          <w:szCs w:val="24"/>
        </w:rPr>
        <w:t>ed</w:t>
      </w:r>
      <w:r w:rsidR="004568BC" w:rsidRPr="004A2DA2">
        <w:rPr>
          <w:szCs w:val="24"/>
        </w:rPr>
        <w:t xml:space="preserve"> the unaccounted-for water percentage.  </w:t>
      </w:r>
      <w:r>
        <w:rPr>
          <w:szCs w:val="24"/>
        </w:rPr>
        <w:t>The ALJ stated that</w:t>
      </w:r>
      <w:r w:rsidR="007E62F6">
        <w:rPr>
          <w:szCs w:val="24"/>
        </w:rPr>
        <w:t>,</w:t>
      </w:r>
      <w:r>
        <w:rPr>
          <w:szCs w:val="24"/>
        </w:rPr>
        <w:t xml:space="preserve"> i</w:t>
      </w:r>
      <w:r w:rsidR="004568BC" w:rsidRPr="004A2DA2">
        <w:rPr>
          <w:szCs w:val="24"/>
        </w:rPr>
        <w:t>n a system with over 2</w:t>
      </w:r>
      <w:r>
        <w:rPr>
          <w:szCs w:val="24"/>
        </w:rPr>
        <w:t>,</w:t>
      </w:r>
      <w:r w:rsidR="004568BC" w:rsidRPr="004A2DA2">
        <w:rPr>
          <w:szCs w:val="24"/>
        </w:rPr>
        <w:t>100 residential usage customers, it would seem more appropriate that TESI replace more than 400 meters before it files another rate increase proceeding</w:t>
      </w:r>
      <w:r w:rsidR="009E7258">
        <w:rPr>
          <w:szCs w:val="24"/>
        </w:rPr>
        <w:t xml:space="preserve">. </w:t>
      </w:r>
      <w:r w:rsidR="004568BC" w:rsidRPr="004A2DA2">
        <w:rPr>
          <w:szCs w:val="24"/>
        </w:rPr>
        <w:t xml:space="preserve"> </w:t>
      </w:r>
      <w:r w:rsidR="00BC4169">
        <w:rPr>
          <w:szCs w:val="24"/>
        </w:rPr>
        <w:t xml:space="preserve">The ALJ also concluded that </w:t>
      </w:r>
      <w:r w:rsidR="004568BC">
        <w:rPr>
          <w:szCs w:val="24"/>
        </w:rPr>
        <w:t>an</w:t>
      </w:r>
      <w:r w:rsidR="004568BC" w:rsidRPr="004A2DA2">
        <w:rPr>
          <w:szCs w:val="24"/>
        </w:rPr>
        <w:t xml:space="preserve"> increas</w:t>
      </w:r>
      <w:r w:rsidR="004568BC">
        <w:rPr>
          <w:szCs w:val="24"/>
        </w:rPr>
        <w:t>e in</w:t>
      </w:r>
      <w:r w:rsidR="004568BC" w:rsidRPr="004A2DA2">
        <w:rPr>
          <w:szCs w:val="24"/>
        </w:rPr>
        <w:t xml:space="preserve"> the number of meters removed and test</w:t>
      </w:r>
      <w:r w:rsidR="004568BC">
        <w:rPr>
          <w:szCs w:val="24"/>
        </w:rPr>
        <w:t>ed</w:t>
      </w:r>
      <w:r w:rsidR="004568BC" w:rsidRPr="004A2DA2">
        <w:rPr>
          <w:szCs w:val="24"/>
        </w:rPr>
        <w:t xml:space="preserve"> would </w:t>
      </w:r>
      <w:r w:rsidR="007E62F6">
        <w:rPr>
          <w:szCs w:val="24"/>
        </w:rPr>
        <w:t>allow</w:t>
      </w:r>
      <w:r w:rsidR="004568BC" w:rsidRPr="004A2DA2">
        <w:rPr>
          <w:szCs w:val="24"/>
        </w:rPr>
        <w:t xml:space="preserve"> all </w:t>
      </w:r>
      <w:r w:rsidR="00EE0909">
        <w:rPr>
          <w:szCs w:val="24"/>
        </w:rPr>
        <w:t>P</w:t>
      </w:r>
      <w:r w:rsidR="004568BC" w:rsidRPr="004A2DA2">
        <w:rPr>
          <w:szCs w:val="24"/>
        </w:rPr>
        <w:t>arties, especially the utility, an opportunity to use meaningful data from a substantial number of ratepayers</w:t>
      </w:r>
      <w:r w:rsidR="007E62F6">
        <w:rPr>
          <w:szCs w:val="24"/>
        </w:rPr>
        <w:t>.</w:t>
      </w:r>
      <w:r w:rsidR="004568BC" w:rsidRPr="004A2DA2">
        <w:rPr>
          <w:szCs w:val="24"/>
        </w:rPr>
        <w:t xml:space="preserve"> </w:t>
      </w:r>
      <w:r w:rsidR="007E62F6">
        <w:rPr>
          <w:szCs w:val="24"/>
        </w:rPr>
        <w:t>TESI could there</w:t>
      </w:r>
      <w:r w:rsidR="004568BC" w:rsidRPr="004A2DA2">
        <w:rPr>
          <w:szCs w:val="24"/>
        </w:rPr>
        <w:t xml:space="preserve">by gauge more accurately whether </w:t>
      </w:r>
      <w:r w:rsidR="004568BC">
        <w:rPr>
          <w:szCs w:val="24"/>
        </w:rPr>
        <w:t>a</w:t>
      </w:r>
      <w:r w:rsidR="004568BC" w:rsidRPr="004A2DA2">
        <w:rPr>
          <w:szCs w:val="24"/>
        </w:rPr>
        <w:t xml:space="preserve"> meter replacement program </w:t>
      </w:r>
      <w:r w:rsidR="004568BC">
        <w:rPr>
          <w:szCs w:val="24"/>
        </w:rPr>
        <w:t>would be</w:t>
      </w:r>
      <w:r w:rsidR="004568BC" w:rsidRPr="004A2DA2">
        <w:rPr>
          <w:szCs w:val="24"/>
        </w:rPr>
        <w:t xml:space="preserve"> </w:t>
      </w:r>
      <w:r w:rsidR="007E62F6">
        <w:rPr>
          <w:szCs w:val="24"/>
        </w:rPr>
        <w:t xml:space="preserve">effective and </w:t>
      </w:r>
      <w:r w:rsidR="004568BC" w:rsidRPr="004A2DA2">
        <w:rPr>
          <w:szCs w:val="24"/>
        </w:rPr>
        <w:t>successful.</w:t>
      </w:r>
      <w:r w:rsidR="00BC4169">
        <w:rPr>
          <w:szCs w:val="24"/>
        </w:rPr>
        <w:t xml:space="preserve">  </w:t>
      </w:r>
      <w:r w:rsidR="00BC4169" w:rsidRPr="00324166">
        <w:rPr>
          <w:i/>
          <w:szCs w:val="24"/>
        </w:rPr>
        <w:t>Id</w:t>
      </w:r>
      <w:r w:rsidR="00BC4169">
        <w:rPr>
          <w:szCs w:val="24"/>
        </w:rPr>
        <w:t>. at 38-39.</w:t>
      </w:r>
    </w:p>
    <w:p w:rsidR="004568BC" w:rsidRPr="004A2DA2" w:rsidRDefault="004568BC" w:rsidP="004568BC">
      <w:pPr>
        <w:widowControl w:val="0"/>
        <w:rPr>
          <w:szCs w:val="24"/>
          <w:highlight w:val="yellow"/>
        </w:rPr>
      </w:pPr>
    </w:p>
    <w:p w:rsidR="004568BC" w:rsidRDefault="00BC4169" w:rsidP="004568BC">
      <w:pPr>
        <w:widowControl w:val="0"/>
        <w:rPr>
          <w:szCs w:val="24"/>
        </w:rPr>
      </w:pPr>
      <w:r>
        <w:rPr>
          <w:szCs w:val="24"/>
        </w:rPr>
        <w:t xml:space="preserve">The ALJ </w:t>
      </w:r>
      <w:r w:rsidR="00324166">
        <w:rPr>
          <w:szCs w:val="24"/>
        </w:rPr>
        <w:t xml:space="preserve">suggested </w:t>
      </w:r>
      <w:r>
        <w:rPr>
          <w:szCs w:val="24"/>
        </w:rPr>
        <w:t>that</w:t>
      </w:r>
      <w:r w:rsidR="007E62F6">
        <w:rPr>
          <w:szCs w:val="24"/>
        </w:rPr>
        <w:t>,</w:t>
      </w:r>
      <w:r>
        <w:rPr>
          <w:szCs w:val="24"/>
        </w:rPr>
        <w:t xml:space="preserve"> </w:t>
      </w:r>
      <w:r w:rsidR="004568BC" w:rsidRPr="004A2DA2">
        <w:rPr>
          <w:szCs w:val="24"/>
        </w:rPr>
        <w:t>instead of picking an arbitrary number</w:t>
      </w:r>
      <w:r>
        <w:rPr>
          <w:szCs w:val="24"/>
        </w:rPr>
        <w:t xml:space="preserve"> of meters to be removed and tested</w:t>
      </w:r>
      <w:r w:rsidR="004568BC" w:rsidRPr="004A2DA2">
        <w:rPr>
          <w:szCs w:val="24"/>
        </w:rPr>
        <w:t xml:space="preserve">, the Commission should give TESI an opportunity to consider </w:t>
      </w:r>
      <w:r w:rsidR="004568BC" w:rsidRPr="004A2DA2">
        <w:rPr>
          <w:szCs w:val="24"/>
        </w:rPr>
        <w:lastRenderedPageBreak/>
        <w:t>what actions should be undertaken to address this lost water problem</w:t>
      </w:r>
      <w:r w:rsidR="007E62F6">
        <w:rPr>
          <w:szCs w:val="24"/>
        </w:rPr>
        <w:t xml:space="preserve">. </w:t>
      </w:r>
      <w:r w:rsidR="004568BC" w:rsidRPr="004A2DA2">
        <w:rPr>
          <w:szCs w:val="24"/>
        </w:rPr>
        <w:t xml:space="preserve"> </w:t>
      </w:r>
      <w:r w:rsidR="007E62F6">
        <w:rPr>
          <w:szCs w:val="24"/>
        </w:rPr>
        <w:t>F</w:t>
      </w:r>
      <w:r w:rsidR="004568BC" w:rsidRPr="004A2DA2">
        <w:rPr>
          <w:szCs w:val="24"/>
        </w:rPr>
        <w:t>irst</w:t>
      </w:r>
      <w:r w:rsidR="00F225A5">
        <w:rPr>
          <w:szCs w:val="24"/>
        </w:rPr>
        <w:t xml:space="preserve">, however, </w:t>
      </w:r>
      <w:r w:rsidR="004568BC" w:rsidRPr="004A2DA2">
        <w:rPr>
          <w:szCs w:val="24"/>
        </w:rPr>
        <w:t xml:space="preserve">the unique characteristics and requirements of </w:t>
      </w:r>
      <w:r w:rsidR="00F225A5">
        <w:rPr>
          <w:szCs w:val="24"/>
        </w:rPr>
        <w:t>TESI’s</w:t>
      </w:r>
      <w:r w:rsidR="004568BC" w:rsidRPr="004A2DA2">
        <w:rPr>
          <w:szCs w:val="24"/>
        </w:rPr>
        <w:t xml:space="preserve"> total water and wastewater systems</w:t>
      </w:r>
      <w:r w:rsidR="00F225A5">
        <w:rPr>
          <w:szCs w:val="24"/>
        </w:rPr>
        <w:t xml:space="preserve"> should be taken into account</w:t>
      </w:r>
      <w:r w:rsidR="004568BC" w:rsidRPr="004A2DA2">
        <w:rPr>
          <w:szCs w:val="24"/>
        </w:rPr>
        <w:t xml:space="preserve">.  The </w:t>
      </w:r>
      <w:r w:rsidR="00324166">
        <w:rPr>
          <w:szCs w:val="24"/>
        </w:rPr>
        <w:t xml:space="preserve">ALJ opined </w:t>
      </w:r>
      <w:r w:rsidR="00BA29F2">
        <w:rPr>
          <w:szCs w:val="24"/>
        </w:rPr>
        <w:t xml:space="preserve">that except for requiring leak detection inspections, </w:t>
      </w:r>
      <w:r w:rsidR="00324166">
        <w:rPr>
          <w:szCs w:val="24"/>
        </w:rPr>
        <w:t xml:space="preserve">the Water Settlement </w:t>
      </w:r>
      <w:r w:rsidR="004568BC" w:rsidRPr="004A2DA2">
        <w:rPr>
          <w:szCs w:val="24"/>
        </w:rPr>
        <w:t>does not provide a proactive mechanism</w:t>
      </w:r>
      <w:r w:rsidR="00F225A5">
        <w:rPr>
          <w:szCs w:val="24"/>
        </w:rPr>
        <w:t xml:space="preserve"> to address this problem. </w:t>
      </w:r>
      <w:r w:rsidR="004568BC" w:rsidRPr="004A2DA2">
        <w:rPr>
          <w:szCs w:val="24"/>
        </w:rPr>
        <w:t xml:space="preserve"> </w:t>
      </w:r>
      <w:r w:rsidR="001D16FA">
        <w:rPr>
          <w:szCs w:val="24"/>
        </w:rPr>
        <w:t>The ALJ stated that</w:t>
      </w:r>
      <w:r w:rsidR="00BA29F2">
        <w:rPr>
          <w:szCs w:val="24"/>
        </w:rPr>
        <w:t>,</w:t>
      </w:r>
      <w:r w:rsidR="004568BC" w:rsidRPr="004A2DA2">
        <w:rPr>
          <w:szCs w:val="24"/>
        </w:rPr>
        <w:t xml:space="preserve"> to reduce the lost water percentage, TESI needs to engage in </w:t>
      </w:r>
      <w:r w:rsidR="00BA29F2">
        <w:rPr>
          <w:szCs w:val="24"/>
        </w:rPr>
        <w:t xml:space="preserve">additional </w:t>
      </w:r>
      <w:r w:rsidR="004568BC" w:rsidRPr="004A2DA2">
        <w:rPr>
          <w:szCs w:val="24"/>
        </w:rPr>
        <w:t>efforts</w:t>
      </w:r>
      <w:r w:rsidR="00BA29F2">
        <w:rPr>
          <w:szCs w:val="24"/>
        </w:rPr>
        <w:t>.</w:t>
      </w:r>
      <w:r w:rsidR="004568BC" w:rsidRPr="004A2DA2">
        <w:rPr>
          <w:szCs w:val="24"/>
        </w:rPr>
        <w:t xml:space="preserve">  To that end, </w:t>
      </w:r>
      <w:r w:rsidR="001D16FA">
        <w:rPr>
          <w:szCs w:val="24"/>
        </w:rPr>
        <w:t xml:space="preserve">the ALJ recommended that </w:t>
      </w:r>
      <w:r w:rsidR="0093215C">
        <w:rPr>
          <w:szCs w:val="24"/>
        </w:rPr>
        <w:t xml:space="preserve">TESI be directed to undertake the </w:t>
      </w:r>
      <w:r w:rsidR="00C055A0">
        <w:rPr>
          <w:szCs w:val="24"/>
        </w:rPr>
        <w:t xml:space="preserve">enhanced </w:t>
      </w:r>
      <w:r w:rsidR="00C24E09">
        <w:rPr>
          <w:szCs w:val="24"/>
        </w:rPr>
        <w:t xml:space="preserve">leak detection inspections, reporting and action plan presented, </w:t>
      </w:r>
      <w:r w:rsidR="00C24E09" w:rsidRPr="00C24E09">
        <w:rPr>
          <w:i/>
          <w:szCs w:val="24"/>
        </w:rPr>
        <w:t>supra</w:t>
      </w:r>
      <w:r w:rsidR="00C24E09">
        <w:rPr>
          <w:szCs w:val="24"/>
        </w:rPr>
        <w:t xml:space="preserve">. </w:t>
      </w:r>
    </w:p>
    <w:p w:rsidR="003117E8" w:rsidRDefault="003117E8" w:rsidP="003117E8">
      <w:pPr>
        <w:ind w:firstLine="0"/>
      </w:pPr>
    </w:p>
    <w:p w:rsidR="00A46768" w:rsidRDefault="00F21EDD" w:rsidP="00B75264">
      <w:r w:rsidRPr="00984180">
        <w:t xml:space="preserve">TESI opposes the additional requirements recommended by the ALJ.  TESI points out that the Joint Petitioners in this case achieved a complete settlement of the case and are in full agreement that the </w:t>
      </w:r>
      <w:r w:rsidR="00615403">
        <w:t xml:space="preserve">adoption of the </w:t>
      </w:r>
      <w:r w:rsidR="00984180">
        <w:t xml:space="preserve">Water </w:t>
      </w:r>
      <w:r w:rsidRPr="00984180">
        <w:t xml:space="preserve">Settlement </w:t>
      </w:r>
      <w:r w:rsidR="00615403">
        <w:t xml:space="preserve">would be </w:t>
      </w:r>
      <w:r w:rsidRPr="00984180">
        <w:t xml:space="preserve">in the best interests of TESI and its customers.  TESI avers that the unilateral condition imposed on the </w:t>
      </w:r>
      <w:r w:rsidR="00984180">
        <w:t xml:space="preserve">Water </w:t>
      </w:r>
      <w:r w:rsidRPr="00984180">
        <w:t xml:space="preserve">Settlement by the ALJ </w:t>
      </w:r>
      <w:r w:rsidR="00615403">
        <w:t xml:space="preserve">would result in </w:t>
      </w:r>
      <w:r w:rsidRPr="00984180">
        <w:t>a “chilling effect” on the Commission’s policy to encourage settlements</w:t>
      </w:r>
      <w:r w:rsidR="00615403">
        <w:t xml:space="preserve">, as </w:t>
      </w:r>
      <w:r w:rsidR="00984180" w:rsidRPr="00984180">
        <w:t xml:space="preserve">set forth </w:t>
      </w:r>
      <w:r w:rsidRPr="00984180">
        <w:t xml:space="preserve">at 52 Pa. Code </w:t>
      </w:r>
      <w:r w:rsidR="00984180" w:rsidRPr="00984180">
        <w:t xml:space="preserve">§ 5.231(a). </w:t>
      </w:r>
      <w:r w:rsidRPr="00984180">
        <w:t xml:space="preserve"> </w:t>
      </w:r>
      <w:r w:rsidR="00984180">
        <w:t xml:space="preserve">TESI </w:t>
      </w:r>
      <w:r w:rsidR="00615403">
        <w:t xml:space="preserve">also </w:t>
      </w:r>
      <w:r w:rsidR="00984180">
        <w:t xml:space="preserve">submits that </w:t>
      </w:r>
      <w:r w:rsidR="00C35252">
        <w:t xml:space="preserve">the ALJ’s additional conditions are not justified </w:t>
      </w:r>
      <w:r>
        <w:t xml:space="preserve">since the Joint Petitioners considered the unaccounted-for water issue and provided for it in the </w:t>
      </w:r>
      <w:r w:rsidR="00984180">
        <w:t xml:space="preserve">Water </w:t>
      </w:r>
      <w:r>
        <w:t>Settlement</w:t>
      </w:r>
      <w:r w:rsidR="00A46768">
        <w:t>,</w:t>
      </w:r>
      <w:r>
        <w:t xml:space="preserve"> in addition to the other balancing issues in the case</w:t>
      </w:r>
      <w:r w:rsidR="00B75264">
        <w:t>.</w:t>
      </w:r>
      <w:r>
        <w:t xml:space="preserve">  </w:t>
      </w:r>
      <w:r w:rsidR="00C35252">
        <w:t xml:space="preserve">TESI notes that </w:t>
      </w:r>
      <w:r>
        <w:t xml:space="preserve">the Settlement incorporates the items recommended by OCA witness </w:t>
      </w:r>
      <w:proofErr w:type="spellStart"/>
      <w:r>
        <w:t>Fought’s</w:t>
      </w:r>
      <w:proofErr w:type="spellEnd"/>
      <w:r>
        <w:t xml:space="preserve"> testimony</w:t>
      </w:r>
      <w:r w:rsidR="00B75264">
        <w:t>,</w:t>
      </w:r>
      <w:r>
        <w:t xml:space="preserve"> at OCA Statement 2</w:t>
      </w:r>
      <w:r w:rsidR="00B75264">
        <w:t>,</w:t>
      </w:r>
      <w:r>
        <w:t xml:space="preserve"> that could impact service matters.  </w:t>
      </w:r>
      <w:r w:rsidR="00C35252">
        <w:t>TESI states that t</w:t>
      </w:r>
      <w:r>
        <w:t>his include</w:t>
      </w:r>
      <w:r w:rsidR="00C35252">
        <w:t>s</w:t>
      </w:r>
      <w:r>
        <w:t xml:space="preserve"> the commitment to perform leak detection on a regular basis.  </w:t>
      </w:r>
      <w:r w:rsidR="00A46768">
        <w:t>TESI Exc. at 5.</w:t>
      </w:r>
    </w:p>
    <w:p w:rsidR="00A46768" w:rsidRDefault="00A46768" w:rsidP="00A46768">
      <w:pPr>
        <w:jc w:val="both"/>
      </w:pPr>
    </w:p>
    <w:p w:rsidR="00F21EDD" w:rsidRDefault="00F21EDD" w:rsidP="00A46768">
      <w:r>
        <w:t xml:space="preserve">TESI </w:t>
      </w:r>
      <w:r w:rsidR="00A46768">
        <w:t xml:space="preserve">states that it </w:t>
      </w:r>
      <w:r>
        <w:t xml:space="preserve">currently performs leak detection on its entire system at least once a year and </w:t>
      </w:r>
      <w:r w:rsidR="00B75264">
        <w:t xml:space="preserve">that </w:t>
      </w:r>
      <w:r>
        <w:t xml:space="preserve">the ALJ should not be permitted to substitute her preference for the judgment of the </w:t>
      </w:r>
      <w:r w:rsidR="00B75264">
        <w:t>P</w:t>
      </w:r>
      <w:r>
        <w:t>arties</w:t>
      </w:r>
      <w:r w:rsidR="00B75264">
        <w:t xml:space="preserve">.  Those Parties </w:t>
      </w:r>
      <w:r>
        <w:t xml:space="preserve">included the Company, </w:t>
      </w:r>
      <w:r w:rsidR="002D5512">
        <w:t xml:space="preserve">the </w:t>
      </w:r>
      <w:r>
        <w:t xml:space="preserve">OTS and </w:t>
      </w:r>
      <w:r w:rsidR="002D5512">
        <w:t xml:space="preserve">the </w:t>
      </w:r>
      <w:r>
        <w:t>OCA</w:t>
      </w:r>
      <w:r w:rsidR="00B75264">
        <w:t xml:space="preserve">’s </w:t>
      </w:r>
      <w:r>
        <w:t xml:space="preserve">experts. </w:t>
      </w:r>
      <w:r w:rsidR="002D5512">
        <w:t xml:space="preserve"> </w:t>
      </w:r>
      <w:r w:rsidR="008146B7">
        <w:t>TESI submits that its c</w:t>
      </w:r>
      <w:r>
        <w:t xml:space="preserve">onsultant </w:t>
      </w:r>
      <w:r w:rsidR="00B75264">
        <w:t xml:space="preserve">was of the opinion </w:t>
      </w:r>
      <w:r>
        <w:t>that faulty meters could be the central problem as opposed to leaks</w:t>
      </w:r>
      <w:r w:rsidR="00B75264">
        <w:t>,</w:t>
      </w:r>
      <w:r>
        <w:t xml:space="preserve"> given the number of </w:t>
      </w:r>
      <w:r w:rsidR="00EE0909">
        <w:t>twenty</w:t>
      </w:r>
      <w:r>
        <w:t>-year old meters</w:t>
      </w:r>
      <w:r w:rsidR="00B75264">
        <w:t xml:space="preserve">. </w:t>
      </w:r>
      <w:r>
        <w:t xml:space="preserve"> </w:t>
      </w:r>
      <w:r w:rsidR="00F018A9">
        <w:t>Moreover, m</w:t>
      </w:r>
      <w:r>
        <w:t xml:space="preserve">any of </w:t>
      </w:r>
      <w:r w:rsidR="00B75264">
        <w:t xml:space="preserve">those meters </w:t>
      </w:r>
      <w:r w:rsidR="00F018A9">
        <w:t xml:space="preserve">are on </w:t>
      </w:r>
      <w:r>
        <w:t xml:space="preserve">commercial and other larger residential users.  </w:t>
      </w:r>
      <w:r w:rsidR="008146B7">
        <w:t xml:space="preserve">Therefore, TESI </w:t>
      </w:r>
      <w:r>
        <w:t xml:space="preserve">included in its future test year rate base claim the addition of four </w:t>
      </w:r>
      <w:r>
        <w:lastRenderedPageBreak/>
        <w:t>hundred meters</w:t>
      </w:r>
      <w:r w:rsidR="008146B7">
        <w:t xml:space="preserve"> </w:t>
      </w:r>
      <w:r w:rsidR="00F018A9">
        <w:t xml:space="preserve">and it proposed to </w:t>
      </w:r>
      <w:r w:rsidR="008146B7">
        <w:t>undertake a</w:t>
      </w:r>
      <w:r>
        <w:t xml:space="preserve"> meter replacement program at a cost of roughly $88,000.  </w:t>
      </w:r>
      <w:r w:rsidR="000A6414">
        <w:t>TESI avers that the revenue increase that it was granted in i</w:t>
      </w:r>
      <w:r>
        <w:t xml:space="preserve">ts last rate case </w:t>
      </w:r>
      <w:r w:rsidR="000A6414">
        <w:t xml:space="preserve">was </w:t>
      </w:r>
      <w:r>
        <w:t xml:space="preserve">well below the individual recommendations of both the OTS and the OCA, </w:t>
      </w:r>
      <w:r w:rsidR="000A6414">
        <w:t xml:space="preserve">and </w:t>
      </w:r>
      <w:r w:rsidR="00F018A9">
        <w:t xml:space="preserve">therefore, it </w:t>
      </w:r>
      <w:r>
        <w:t xml:space="preserve">was unable to proceed with the meter replacement.  </w:t>
      </w:r>
      <w:r w:rsidR="000A6414">
        <w:t xml:space="preserve">TESI </w:t>
      </w:r>
      <w:r w:rsidR="00CF750A">
        <w:t>argues that</w:t>
      </w:r>
      <w:r w:rsidR="00F018A9">
        <w:t>,</w:t>
      </w:r>
      <w:r w:rsidR="00CF750A">
        <w:t xml:space="preserve"> </w:t>
      </w:r>
      <w:r>
        <w:t xml:space="preserve">with the revenue increase </w:t>
      </w:r>
      <w:r w:rsidR="00CF750A">
        <w:t xml:space="preserve">included in the proposed Water Settlement, </w:t>
      </w:r>
      <w:r w:rsidR="00F018A9">
        <w:t>it</w:t>
      </w:r>
      <w:r w:rsidR="00CF750A">
        <w:t xml:space="preserve"> is committed to install the meters.  TESI also argues that the meter replacement </w:t>
      </w:r>
      <w:r w:rsidR="00F018A9">
        <w:t xml:space="preserve">program </w:t>
      </w:r>
      <w:r w:rsidR="00CF750A">
        <w:t xml:space="preserve">may </w:t>
      </w:r>
      <w:r w:rsidR="00F018A9">
        <w:t xml:space="preserve">demonstrate </w:t>
      </w:r>
      <w:r w:rsidR="009207CE">
        <w:t>that, in actuality, there i</w:t>
      </w:r>
      <w:r w:rsidR="00CF750A">
        <w:t xml:space="preserve">s </w:t>
      </w:r>
      <w:r>
        <w:t xml:space="preserve">no unaccounted for water issue since the aging meters are probably under-metering the amount of water being </w:t>
      </w:r>
      <w:r w:rsidR="009207CE">
        <w:t>consumed</w:t>
      </w:r>
      <w:r>
        <w:t>.</w:t>
      </w:r>
      <w:r w:rsidR="005C39A2">
        <w:t xml:space="preserve">  </w:t>
      </w:r>
      <w:r w:rsidR="005C39A2" w:rsidRPr="005C39A2">
        <w:rPr>
          <w:i/>
        </w:rPr>
        <w:t>Id</w:t>
      </w:r>
      <w:r w:rsidR="005C39A2">
        <w:t xml:space="preserve">. </w:t>
      </w:r>
      <w:r w:rsidR="00EF0085">
        <w:t xml:space="preserve">at </w:t>
      </w:r>
      <w:r w:rsidR="005C39A2">
        <w:t xml:space="preserve">5-6. </w:t>
      </w:r>
    </w:p>
    <w:p w:rsidR="00F21EDD" w:rsidRDefault="00F21EDD" w:rsidP="00B30273">
      <w:pPr>
        <w:jc w:val="both"/>
      </w:pPr>
      <w:r>
        <w:tab/>
      </w:r>
    </w:p>
    <w:p w:rsidR="00F26622" w:rsidRDefault="000A3EB6" w:rsidP="000653B2">
      <w:r>
        <w:t xml:space="preserve">The record in this proceeding indicates that TESI’s average percentage of unaccounted–for water over calendar years 2007, 2008 and 2009 was 32.9%.  </w:t>
      </w:r>
      <w:r w:rsidR="00B30273">
        <w:t xml:space="preserve">OTS St. No. 2 at 21.  </w:t>
      </w:r>
      <w:r>
        <w:t xml:space="preserve">In addition, the record in TESI’s last rate proceeding </w:t>
      </w:r>
      <w:r w:rsidR="009207CE">
        <w:t>demonstrated</w:t>
      </w:r>
      <w:r>
        <w:t xml:space="preserve"> that TESI’s </w:t>
      </w:r>
      <w:r w:rsidR="00B7587E">
        <w:t xml:space="preserve">average </w:t>
      </w:r>
      <w:r>
        <w:t xml:space="preserve">annual unaccounted-for water </w:t>
      </w:r>
      <w:r w:rsidR="00E14635">
        <w:t xml:space="preserve">levels were 29% in 2004, 32% in 2005 and 30% in 2006.  </w:t>
      </w:r>
      <w:proofErr w:type="gramStart"/>
      <w:r w:rsidR="00B642F0" w:rsidRPr="00B642F0">
        <w:rPr>
          <w:i/>
        </w:rPr>
        <w:t>2008</w:t>
      </w:r>
      <w:r w:rsidR="00B30273">
        <w:rPr>
          <w:i/>
        </w:rPr>
        <w:t xml:space="preserve"> Rate </w:t>
      </w:r>
      <w:r w:rsidR="00B642F0" w:rsidRPr="00B642F0">
        <w:rPr>
          <w:i/>
        </w:rPr>
        <w:t>Order</w:t>
      </w:r>
      <w:r w:rsidR="00B642F0">
        <w:t xml:space="preserve"> at </w:t>
      </w:r>
      <w:r w:rsidR="00E14635" w:rsidRPr="00B642F0">
        <w:t>78</w:t>
      </w:r>
      <w:r w:rsidR="00E14635">
        <w:t>.</w:t>
      </w:r>
      <w:proofErr w:type="gramEnd"/>
      <w:r w:rsidR="00E14635">
        <w:t xml:space="preserve">  </w:t>
      </w:r>
      <w:r w:rsidR="00111E7C">
        <w:t>Therefore, w</w:t>
      </w:r>
      <w:r w:rsidR="00803F97">
        <w:t xml:space="preserve">e concur with the ALJ that an annual average </w:t>
      </w:r>
      <w:r w:rsidR="00B1367B">
        <w:t xml:space="preserve">percentage of </w:t>
      </w:r>
      <w:r w:rsidR="00803F97">
        <w:t>unaccounted–</w:t>
      </w:r>
      <w:r w:rsidR="00902BA6">
        <w:t xml:space="preserve">for water </w:t>
      </w:r>
      <w:r w:rsidR="00E44F98">
        <w:t xml:space="preserve">that has remained </w:t>
      </w:r>
      <w:r w:rsidR="00EE0909">
        <w:t xml:space="preserve">in </w:t>
      </w:r>
      <w:r w:rsidR="00E44F98">
        <w:t xml:space="preserve">the vicinity of 30% </w:t>
      </w:r>
      <w:r w:rsidR="00111E7C">
        <w:t xml:space="preserve">for a number of years </w:t>
      </w:r>
      <w:r w:rsidR="00B1367B">
        <w:t xml:space="preserve">is a </w:t>
      </w:r>
      <w:r w:rsidR="005F6487">
        <w:t xml:space="preserve">very </w:t>
      </w:r>
      <w:r w:rsidR="00B1367B">
        <w:t>serious matter</w:t>
      </w:r>
      <w:r w:rsidR="003924B6">
        <w:t>.</w:t>
      </w:r>
      <w:r w:rsidR="00B1367B">
        <w:t xml:space="preserve">  If the cause of the unacc</w:t>
      </w:r>
      <w:r w:rsidR="000142CD">
        <w:t xml:space="preserve">ounted-for water is leaks in the system, TESI is wasting a valuable resource and </w:t>
      </w:r>
      <w:r w:rsidR="00B504D3">
        <w:t xml:space="preserve">is </w:t>
      </w:r>
      <w:r w:rsidR="000142CD">
        <w:t xml:space="preserve">incurring unnecessary costs for water treatment and distribution.  If a </w:t>
      </w:r>
      <w:r w:rsidR="005F6487">
        <w:t xml:space="preserve">portion of the unaccounted-for water is the result of inaccurate meters, then some </w:t>
      </w:r>
      <w:r w:rsidR="00921E22">
        <w:t xml:space="preserve">of TESI’s </w:t>
      </w:r>
      <w:r w:rsidR="005F6487">
        <w:t xml:space="preserve">customers </w:t>
      </w:r>
      <w:r w:rsidR="00A352AB">
        <w:t xml:space="preserve">are </w:t>
      </w:r>
      <w:r w:rsidR="00636553">
        <w:t>potentially</w:t>
      </w:r>
      <w:r w:rsidR="00A352AB">
        <w:t xml:space="preserve"> </w:t>
      </w:r>
      <w:r w:rsidR="005F6487">
        <w:t>being under</w:t>
      </w:r>
      <w:r w:rsidR="00EE0909">
        <w:t>-</w:t>
      </w:r>
      <w:r w:rsidR="005F6487">
        <w:t>billed for water service</w:t>
      </w:r>
      <w:r w:rsidR="00B504D3">
        <w:t>.</w:t>
      </w:r>
      <w:r w:rsidR="000B2E78">
        <w:rPr>
          <w:rStyle w:val="FootnoteReference"/>
        </w:rPr>
        <w:footnoteReference w:id="5"/>
      </w:r>
      <w:r w:rsidR="005F6487">
        <w:t xml:space="preserve">  This situation is </w:t>
      </w:r>
      <w:r w:rsidR="00A352AB">
        <w:t>exacerbated by the fact that both water and wastewater service</w:t>
      </w:r>
      <w:r w:rsidR="000B3AF4">
        <w:t>s</w:t>
      </w:r>
      <w:r w:rsidR="00A352AB">
        <w:t xml:space="preserve"> are billed based on the meter reading for water service.  Therefore, we share the ALJ’s sense of urgency to </w:t>
      </w:r>
      <w:r w:rsidR="003924B6">
        <w:t xml:space="preserve">develop a permanent solution to </w:t>
      </w:r>
      <w:r w:rsidR="00A352AB">
        <w:t>the problem</w:t>
      </w:r>
      <w:r w:rsidR="00A5477C">
        <w:t>.</w:t>
      </w:r>
      <w:r w:rsidR="00A352AB">
        <w:t xml:space="preserve">  </w:t>
      </w:r>
    </w:p>
    <w:p w:rsidR="00F26622" w:rsidRDefault="00F26622" w:rsidP="00B1367B"/>
    <w:p w:rsidR="00477461" w:rsidRDefault="00B504D3" w:rsidP="00B1367B">
      <w:r>
        <w:t>However, w</w:t>
      </w:r>
      <w:r w:rsidR="00A5477C">
        <w:t xml:space="preserve">e recognize that the additional requirements recommended by the ALJ could result in significant additional expenses that were not considered </w:t>
      </w:r>
      <w:r w:rsidR="00037AD4">
        <w:t xml:space="preserve">at the time </w:t>
      </w:r>
      <w:r w:rsidR="00A5477C">
        <w:t>the Water Settlement was crafted</w:t>
      </w:r>
      <w:r w:rsidR="0067502A">
        <w:t xml:space="preserve"> by the Parties</w:t>
      </w:r>
      <w:r w:rsidR="00A5477C">
        <w:t xml:space="preserve">.  </w:t>
      </w:r>
      <w:r w:rsidR="005454B5">
        <w:t xml:space="preserve">While the Commission </w:t>
      </w:r>
      <w:r w:rsidR="00037AD4">
        <w:t xml:space="preserve">has in the </w:t>
      </w:r>
      <w:r w:rsidR="00037AD4">
        <w:lastRenderedPageBreak/>
        <w:t xml:space="preserve">past </w:t>
      </w:r>
      <w:r w:rsidR="005454B5">
        <w:t>adopt</w:t>
      </w:r>
      <w:r w:rsidR="00037AD4">
        <w:t>ed</w:t>
      </w:r>
      <w:r w:rsidR="005454B5">
        <w:t xml:space="preserve"> provisions that </w:t>
      </w:r>
      <w:r w:rsidR="00037AD4">
        <w:t>we</w:t>
      </w:r>
      <w:r w:rsidR="005454B5">
        <w:t>re beyond the terms of proposed settlement</w:t>
      </w:r>
      <w:r w:rsidR="0067502A">
        <w:t>s of rate proceedings</w:t>
      </w:r>
      <w:r w:rsidR="005454B5">
        <w:t xml:space="preserve">, </w:t>
      </w:r>
      <w:r w:rsidR="0067502A">
        <w:t xml:space="preserve">we must consider, </w:t>
      </w:r>
      <w:r w:rsidR="0067502A" w:rsidRPr="0067502A">
        <w:rPr>
          <w:i/>
        </w:rPr>
        <w:t>inter alia,</w:t>
      </w:r>
      <w:r w:rsidR="0067502A">
        <w:t xml:space="preserve"> the potential effect those </w:t>
      </w:r>
      <w:r w:rsidR="00CC0E8D">
        <w:t xml:space="preserve">provisions </w:t>
      </w:r>
      <w:r w:rsidR="00A85BA8">
        <w:t xml:space="preserve">may have </w:t>
      </w:r>
      <w:r w:rsidR="0067502A">
        <w:t xml:space="preserve">on the ability of a utility to recover its expenses and earn a fair return.  </w:t>
      </w:r>
    </w:p>
    <w:p w:rsidR="00A85BA8" w:rsidRDefault="00A85BA8" w:rsidP="00B1367B"/>
    <w:p w:rsidR="00631293" w:rsidRDefault="00631293" w:rsidP="00631293">
      <w:r>
        <w:t xml:space="preserve">The Water Settlement requires that TESI will perform leak detection </w:t>
      </w:r>
      <w:r w:rsidR="00F741F9">
        <w:t>“</w:t>
      </w:r>
      <w:r>
        <w:t xml:space="preserve">on a regular basis.”  </w:t>
      </w:r>
      <w:r w:rsidR="000A6C6F">
        <w:t xml:space="preserve">Water Settlement </w:t>
      </w:r>
      <w:r w:rsidR="00EF0085">
        <w:rPr>
          <w:rFonts w:cs="Times New Roman"/>
        </w:rPr>
        <w:t>¶</w:t>
      </w:r>
      <w:r w:rsidR="00EF0085">
        <w:t xml:space="preserve"> 5</w:t>
      </w:r>
      <w:r w:rsidR="00132E33">
        <w:t>(c</w:t>
      </w:r>
      <w:proofErr w:type="gramStart"/>
      <w:r w:rsidR="00132E33">
        <w:t>)</w:t>
      </w:r>
      <w:r w:rsidR="00EF0085">
        <w:t>(</w:t>
      </w:r>
      <w:proofErr w:type="gramEnd"/>
      <w:r w:rsidR="00EF0085">
        <w:t xml:space="preserve">v) </w:t>
      </w:r>
      <w:r w:rsidR="000A6C6F">
        <w:t xml:space="preserve">at 7.  </w:t>
      </w:r>
      <w:r>
        <w:t>The ALJ recommend</w:t>
      </w:r>
      <w:r w:rsidR="000A6C6F">
        <w:t>ed</w:t>
      </w:r>
      <w:r>
        <w:t xml:space="preserve"> that we enhance this requirement so that TESI </w:t>
      </w:r>
      <w:r w:rsidR="00037AD4">
        <w:t>would be required to</w:t>
      </w:r>
      <w:r>
        <w:t xml:space="preserve"> conduct leak detection inspections on no less than a </w:t>
      </w:r>
      <w:r w:rsidRPr="00631293">
        <w:t>semi-annual</w:t>
      </w:r>
      <w:r w:rsidRPr="00EE0909">
        <w:t xml:space="preserve"> </w:t>
      </w:r>
      <w:r>
        <w:t>basis</w:t>
      </w:r>
      <w:r w:rsidR="00037AD4">
        <w:t xml:space="preserve">.  TESI will also be required to </w:t>
      </w:r>
      <w:r w:rsidRPr="008A4EB8">
        <w:t xml:space="preserve">submit to </w:t>
      </w:r>
      <w:r w:rsidR="00711F8B">
        <w:t>FUS,</w:t>
      </w:r>
      <w:r w:rsidRPr="008A4EB8">
        <w:t xml:space="preserve"> a log which specifies, </w:t>
      </w:r>
      <w:r w:rsidRPr="008A4EB8">
        <w:rPr>
          <w:i/>
        </w:rPr>
        <w:t>inter alia</w:t>
      </w:r>
      <w:r w:rsidRPr="008A4EB8">
        <w:t>, the details of the inspections including dates, number of leaks detected, location of leaks detected, and how TESI responded to the detected leak.</w:t>
      </w:r>
      <w:r w:rsidR="00711F8B">
        <w:t xml:space="preserve">  </w:t>
      </w:r>
      <w:proofErr w:type="gramStart"/>
      <w:r w:rsidR="00711F8B">
        <w:t>R.D. at 40.</w:t>
      </w:r>
      <w:proofErr w:type="gramEnd"/>
      <w:r w:rsidR="00711F8B">
        <w:t xml:space="preserve"> </w:t>
      </w:r>
      <w:r w:rsidR="00F741F9">
        <w:t xml:space="preserve"> We concur </w:t>
      </w:r>
      <w:r w:rsidR="00037AD4">
        <w:t xml:space="preserve">with the ALJ </w:t>
      </w:r>
      <w:r w:rsidR="00F741F9">
        <w:t xml:space="preserve">that TESI’s entire system should be </w:t>
      </w:r>
      <w:r w:rsidR="00636553">
        <w:t xml:space="preserve">carefully </w:t>
      </w:r>
      <w:r w:rsidR="00F741F9">
        <w:t xml:space="preserve">inspected for leaks and </w:t>
      </w:r>
      <w:r w:rsidR="00EC0FCC">
        <w:t xml:space="preserve">that </w:t>
      </w:r>
      <w:r w:rsidR="00F741F9">
        <w:t xml:space="preserve">the language in the Water Settlement should be more </w:t>
      </w:r>
      <w:r w:rsidR="00345E2B">
        <w:t xml:space="preserve">definitive </w:t>
      </w:r>
      <w:r w:rsidR="00F741F9">
        <w:t xml:space="preserve">than “on a regular basis.”  However, </w:t>
      </w:r>
      <w:r w:rsidR="00EC0FCC">
        <w:t xml:space="preserve">we note that </w:t>
      </w:r>
      <w:r w:rsidR="00F741F9">
        <w:t>in developing her recommendation, the ALJ did not point to any evidence on the record of th</w:t>
      </w:r>
      <w:r w:rsidR="00F330F6">
        <w:t>is</w:t>
      </w:r>
      <w:r w:rsidR="00F741F9">
        <w:t xml:space="preserve"> preceding that </w:t>
      </w:r>
      <w:r w:rsidR="00EC0FCC">
        <w:t xml:space="preserve">inspection of the </w:t>
      </w:r>
      <w:r w:rsidR="00345E2B">
        <w:t xml:space="preserve">entire system </w:t>
      </w:r>
      <w:r w:rsidR="00F330F6">
        <w:t>a</w:t>
      </w:r>
      <w:r w:rsidR="00E23039">
        <w:t>t a</w:t>
      </w:r>
      <w:r w:rsidR="00F330F6">
        <w:t xml:space="preserve"> minimum of </w:t>
      </w:r>
      <w:r w:rsidR="00345E2B">
        <w:t xml:space="preserve">twice every year would </w:t>
      </w:r>
      <w:r w:rsidR="00EC0FCC">
        <w:t xml:space="preserve">result in the detection of </w:t>
      </w:r>
      <w:r w:rsidR="00345E2B">
        <w:t>incrementally more leaks than a single</w:t>
      </w:r>
      <w:r w:rsidR="00F330F6">
        <w:t>,</w:t>
      </w:r>
      <w:r w:rsidR="00345E2B">
        <w:t xml:space="preserve"> thorough inspection.  </w:t>
      </w:r>
      <w:r w:rsidR="004110E9">
        <w:t>Therefore, we shall require that TESI complete a thorough inspection of its entire system within one year of the date of entry of this Opinion and Order</w:t>
      </w:r>
      <w:r w:rsidR="00537107">
        <w:t xml:space="preserve">, and at least annually thereafter. </w:t>
      </w:r>
      <w:r w:rsidR="004110E9">
        <w:t xml:space="preserve"> </w:t>
      </w:r>
      <w:r w:rsidR="00A667A7">
        <w:t xml:space="preserve">Once the results of this system-wide inspection are available, TESI, the Commission and the Parties can address </w:t>
      </w:r>
      <w:r w:rsidR="00636553">
        <w:t xml:space="preserve">to what extent </w:t>
      </w:r>
      <w:r w:rsidR="00EC0FCC">
        <w:t xml:space="preserve">mandating </w:t>
      </w:r>
      <w:r w:rsidR="00A667A7">
        <w:t xml:space="preserve">additional inspections </w:t>
      </w:r>
      <w:r w:rsidR="00E23039">
        <w:t>may</w:t>
      </w:r>
      <w:r w:rsidR="00EC0FCC">
        <w:t xml:space="preserve"> be </w:t>
      </w:r>
      <w:r w:rsidR="00A667A7">
        <w:t xml:space="preserve">necessary and prudent. </w:t>
      </w:r>
    </w:p>
    <w:p w:rsidR="00A85BA8" w:rsidRDefault="00A85BA8" w:rsidP="00B1367B"/>
    <w:p w:rsidR="00A667A7" w:rsidRDefault="009B03BB" w:rsidP="00B1367B">
      <w:r>
        <w:t xml:space="preserve">As discussed </w:t>
      </w:r>
      <w:r w:rsidRPr="009B03BB">
        <w:rPr>
          <w:i/>
        </w:rPr>
        <w:t>supra</w:t>
      </w:r>
      <w:r>
        <w:t xml:space="preserve">, the ALJ recommended that TESI submit to FUS a “log” of its leak inspection and remediation activities.  We would expect that TESI would </w:t>
      </w:r>
      <w:r w:rsidR="00215CD6">
        <w:t xml:space="preserve">undertake this type of recordkeeping </w:t>
      </w:r>
      <w:r w:rsidR="00917B58">
        <w:t xml:space="preserve">in the </w:t>
      </w:r>
      <w:r w:rsidR="00215CD6">
        <w:t xml:space="preserve">normal course of </w:t>
      </w:r>
      <w:r w:rsidR="00917B58">
        <w:t>its</w:t>
      </w:r>
      <w:r w:rsidR="00215CD6">
        <w:t xml:space="preserve"> leak detection and remediation program.  Therefore, we shall direct TESI to submit a report of the information </w:t>
      </w:r>
      <w:r w:rsidR="009E3C0E">
        <w:t>outlined by the ALJ</w:t>
      </w:r>
      <w:r w:rsidR="00917B58">
        <w:t>,</w:t>
      </w:r>
      <w:r w:rsidR="009E3C0E">
        <w:t xml:space="preserve"> </w:t>
      </w:r>
      <w:r w:rsidR="00215CD6">
        <w:t xml:space="preserve">to FUS, and </w:t>
      </w:r>
      <w:r w:rsidR="00917B58">
        <w:t xml:space="preserve">to any Party, </w:t>
      </w:r>
      <w:r w:rsidR="00215CD6">
        <w:t xml:space="preserve">at the request of </w:t>
      </w:r>
      <w:r w:rsidR="00917B58">
        <w:t xml:space="preserve">that Party.  This report shall be submitted </w:t>
      </w:r>
      <w:r w:rsidR="009E3C0E">
        <w:t xml:space="preserve">within sixty days </w:t>
      </w:r>
      <w:r w:rsidR="00917B58">
        <w:t xml:space="preserve">of </w:t>
      </w:r>
      <w:r w:rsidR="009E3C0E">
        <w:t xml:space="preserve">the conclusion of its </w:t>
      </w:r>
      <w:r w:rsidR="005D2782">
        <w:t xml:space="preserve">system-wide </w:t>
      </w:r>
      <w:r w:rsidR="009E3C0E">
        <w:t xml:space="preserve">leak inspection program, or concurrent with </w:t>
      </w:r>
      <w:r w:rsidR="00671D58">
        <w:t>its</w:t>
      </w:r>
      <w:r w:rsidR="009E3C0E">
        <w:t xml:space="preserve"> submission of </w:t>
      </w:r>
      <w:r w:rsidR="00EB3858">
        <w:t>the next</w:t>
      </w:r>
      <w:r w:rsidR="009E3C0E">
        <w:t xml:space="preserve"> general ra</w:t>
      </w:r>
      <w:r w:rsidR="00EB3858">
        <w:t>t</w:t>
      </w:r>
      <w:r w:rsidR="009E3C0E">
        <w:t xml:space="preserve">e request, whichever occurs first.  </w:t>
      </w:r>
    </w:p>
    <w:p w:rsidR="00EB3858" w:rsidRDefault="00EB3858" w:rsidP="00B1367B"/>
    <w:p w:rsidR="00EB3858" w:rsidRDefault="00EB3858" w:rsidP="00B1367B">
      <w:r w:rsidRPr="00C55A77">
        <w:t>The ALJ also recommend</w:t>
      </w:r>
      <w:r w:rsidR="00E911B5" w:rsidRPr="00C55A77">
        <w:t>ed</w:t>
      </w:r>
      <w:r w:rsidRPr="00C55A77">
        <w:t xml:space="preserve"> that TESI </w:t>
      </w:r>
      <w:r w:rsidR="00224D02" w:rsidRPr="00C55A77">
        <w:t xml:space="preserve">be required to </w:t>
      </w:r>
      <w:r w:rsidRPr="00C55A77">
        <w:t>submit</w:t>
      </w:r>
      <w:r w:rsidR="00224D02" w:rsidRPr="00C55A77">
        <w:t>,</w:t>
      </w:r>
      <w:r w:rsidRPr="00C55A77">
        <w:t xml:space="preserve"> within six months of the </w:t>
      </w:r>
      <w:r w:rsidR="00224D02" w:rsidRPr="00C55A77">
        <w:t xml:space="preserve">entry </w:t>
      </w:r>
      <w:r w:rsidR="00671D58">
        <w:t xml:space="preserve">date </w:t>
      </w:r>
      <w:r w:rsidR="00224D02" w:rsidRPr="00C55A77">
        <w:t>of this Opinion and Order,</w:t>
      </w:r>
      <w:r w:rsidRPr="00C55A77">
        <w:t xml:space="preserve"> an action plan on how it proposes to reduce its unaccounted-for water</w:t>
      </w:r>
      <w:r w:rsidR="00671D58">
        <w:t xml:space="preserve">, at the time </w:t>
      </w:r>
      <w:r w:rsidRPr="00C55A77">
        <w:t xml:space="preserve">it files its next </w:t>
      </w:r>
      <w:r w:rsidR="00224D02" w:rsidRPr="00C55A77">
        <w:t>general rate request</w:t>
      </w:r>
      <w:r w:rsidRPr="00C55A77">
        <w:t xml:space="preserve">.  Specifically, </w:t>
      </w:r>
      <w:r w:rsidR="00224D02" w:rsidRPr="00C55A77">
        <w:t xml:space="preserve">the ALJ recommended that </w:t>
      </w:r>
      <w:r w:rsidRPr="00C55A77">
        <w:t xml:space="preserve">the action plan </w:t>
      </w:r>
      <w:r w:rsidR="00671D58">
        <w:t>should</w:t>
      </w:r>
      <w:r w:rsidR="00224D02" w:rsidRPr="00C55A77">
        <w:t xml:space="preserve"> </w:t>
      </w:r>
      <w:r w:rsidRPr="00C55A77">
        <w:t xml:space="preserve">detail how TESI will reduce the unaccounted-for water percentage down to twenty-five percent within twelve months of the </w:t>
      </w:r>
      <w:r w:rsidR="00E911B5" w:rsidRPr="00C55A77">
        <w:t xml:space="preserve">entry </w:t>
      </w:r>
      <w:r w:rsidR="00671D58">
        <w:t xml:space="preserve">date </w:t>
      </w:r>
      <w:r w:rsidR="00E911B5" w:rsidRPr="00C55A77">
        <w:t>of this Opinion and Order</w:t>
      </w:r>
      <w:r w:rsidR="00671D58">
        <w:t>,</w:t>
      </w:r>
      <w:r w:rsidR="00E911B5" w:rsidRPr="00C55A77">
        <w:t xml:space="preserve"> and</w:t>
      </w:r>
      <w:r w:rsidRPr="00C55A77">
        <w:t xml:space="preserve"> down to twenty percent</w:t>
      </w:r>
      <w:r w:rsidR="00671D58">
        <w:t>,</w:t>
      </w:r>
      <w:r w:rsidRPr="00C55A77">
        <w:t xml:space="preserve"> within twenty-four months</w:t>
      </w:r>
      <w:r w:rsidR="00671D58" w:rsidRPr="00671D58">
        <w:t xml:space="preserve"> </w:t>
      </w:r>
      <w:r w:rsidR="00671D58" w:rsidRPr="00C55A77">
        <w:t xml:space="preserve">of the entry </w:t>
      </w:r>
      <w:r w:rsidR="00671D58">
        <w:t xml:space="preserve">date </w:t>
      </w:r>
      <w:r w:rsidR="00671D58" w:rsidRPr="00C55A77">
        <w:t>of this Opinion and Order</w:t>
      </w:r>
      <w:r w:rsidR="00132E33">
        <w:t>.</w:t>
      </w:r>
      <w:r w:rsidRPr="00C55A77">
        <w:t xml:space="preserve"> </w:t>
      </w:r>
      <w:r w:rsidR="00E911B5" w:rsidRPr="00C55A77">
        <w:t xml:space="preserve"> </w:t>
      </w:r>
      <w:proofErr w:type="gramStart"/>
      <w:r w:rsidR="00E911B5" w:rsidRPr="00C55A77">
        <w:t>R.D. at 41.</w:t>
      </w:r>
      <w:proofErr w:type="gramEnd"/>
      <w:r w:rsidR="00E911B5" w:rsidRPr="00C55A77">
        <w:t xml:space="preserve">  </w:t>
      </w:r>
    </w:p>
    <w:p w:rsidR="00C55A77" w:rsidRDefault="00C55A77" w:rsidP="00B1367B"/>
    <w:p w:rsidR="00C55A77" w:rsidRDefault="00B7587E" w:rsidP="00B1367B">
      <w:r>
        <w:t xml:space="preserve">Again, while we share the ALJs’ sense of urgency, we </w:t>
      </w:r>
      <w:r w:rsidR="00671D58">
        <w:t xml:space="preserve">are of the opinion </w:t>
      </w:r>
      <w:r>
        <w:t>that TESI w</w:t>
      </w:r>
      <w:r w:rsidR="00671D58">
        <w:t>ill</w:t>
      </w:r>
      <w:r>
        <w:t xml:space="preserve"> </w:t>
      </w:r>
      <w:r w:rsidR="003B3977">
        <w:t xml:space="preserve">be in a better position to </w:t>
      </w:r>
      <w:r>
        <w:t xml:space="preserve">develop its plans for any extensive remediation program </w:t>
      </w:r>
      <w:r w:rsidR="003B3977">
        <w:t xml:space="preserve">after it has </w:t>
      </w:r>
      <w:r w:rsidR="00AE15F3">
        <w:t xml:space="preserve">obtained the results of </w:t>
      </w:r>
      <w:r>
        <w:t xml:space="preserve">its system-wide leak inspection </w:t>
      </w:r>
      <w:r w:rsidR="00AE15F3">
        <w:t xml:space="preserve">program </w:t>
      </w:r>
      <w:r>
        <w:t xml:space="preserve">and </w:t>
      </w:r>
      <w:r w:rsidR="003B3977">
        <w:t xml:space="preserve">after it has </w:t>
      </w:r>
      <w:r w:rsidR="00AE15F3">
        <w:t xml:space="preserve">obtained </w:t>
      </w:r>
      <w:r w:rsidR="00CA0B46">
        <w:t xml:space="preserve">a substantial portion of </w:t>
      </w:r>
      <w:r w:rsidR="003B3977">
        <w:t xml:space="preserve">the </w:t>
      </w:r>
      <w:r w:rsidR="00AE15F3">
        <w:t>results</w:t>
      </w:r>
      <w:r>
        <w:t xml:space="preserve"> </w:t>
      </w:r>
      <w:r w:rsidR="00AE15F3">
        <w:t xml:space="preserve">of </w:t>
      </w:r>
      <w:r>
        <w:t>its replacement</w:t>
      </w:r>
      <w:r w:rsidR="00CA0B46">
        <w:t xml:space="preserve"> </w:t>
      </w:r>
      <w:r w:rsidR="003B3977">
        <w:t>and</w:t>
      </w:r>
      <w:r>
        <w:t xml:space="preserve"> </w:t>
      </w:r>
      <w:r w:rsidR="00CA0B46">
        <w:t>testing o</w:t>
      </w:r>
      <w:r>
        <w:t xml:space="preserve">f </w:t>
      </w:r>
      <w:r w:rsidR="00AE15F3">
        <w:t xml:space="preserve">its meters, as discussed </w:t>
      </w:r>
      <w:r w:rsidR="00AE15F3" w:rsidRPr="00AE15F3">
        <w:rPr>
          <w:i/>
        </w:rPr>
        <w:t>supra</w:t>
      </w:r>
      <w:r w:rsidR="00AE15F3">
        <w:t>.</w:t>
      </w:r>
      <w:r>
        <w:t xml:space="preserve">  We also expect </w:t>
      </w:r>
      <w:r w:rsidR="00AE15F3">
        <w:t xml:space="preserve">to see </w:t>
      </w:r>
      <w:r>
        <w:t>some significant short-term reductions in unaccounted-for water</w:t>
      </w:r>
      <w:r w:rsidR="00AE15F3">
        <w:t>,</w:t>
      </w:r>
      <w:r>
        <w:t xml:space="preserve"> as TESI repairs leaks discovered in its system-wide leak inspection </w:t>
      </w:r>
      <w:r w:rsidR="00313860">
        <w:rPr>
          <w:rStyle w:val="FootnoteReference"/>
        </w:rPr>
        <w:footnoteReference w:id="6"/>
      </w:r>
      <w:r w:rsidR="00311E50">
        <w:t xml:space="preserve"> </w:t>
      </w:r>
      <w:r>
        <w:t xml:space="preserve">and as TESI </w:t>
      </w:r>
      <w:r w:rsidR="00AE4F41">
        <w:t xml:space="preserve">it replaces </w:t>
      </w:r>
      <w:r>
        <w:t>nearly one-fifth of its meters, particularly if it targets those meters most likely to be malfunctioning.</w:t>
      </w:r>
      <w:r>
        <w:rPr>
          <w:rStyle w:val="FootnoteReference"/>
        </w:rPr>
        <w:footnoteReference w:id="7"/>
      </w:r>
      <w:r>
        <w:t xml:space="preserve">  Therefore, in lieu of the ALJ’s </w:t>
      </w:r>
      <w:r w:rsidR="004E0401">
        <w:t>recommendation</w:t>
      </w:r>
      <w:r w:rsidR="008B5050">
        <w:t xml:space="preserve">, </w:t>
      </w:r>
      <w:r w:rsidR="004E0401">
        <w:t>we shall direct TESI to submit to the Commission a plan to reduce the percentage of unaccounted-for water to a maximum threshold of twenty percent</w:t>
      </w:r>
      <w:r w:rsidR="00AE4F41">
        <w:t>,</w:t>
      </w:r>
      <w:r w:rsidR="004E0401">
        <w:t xml:space="preserve"> </w:t>
      </w:r>
      <w:r w:rsidR="007C69ED">
        <w:t>based on its experience with its system leak inspection</w:t>
      </w:r>
      <w:r w:rsidR="00AE4F41">
        <w:t xml:space="preserve"> </w:t>
      </w:r>
      <w:r w:rsidR="007C69ED">
        <w:t>and meter replacement</w:t>
      </w:r>
      <w:r w:rsidR="00AE4F41">
        <w:t xml:space="preserve"> programs</w:t>
      </w:r>
      <w:r w:rsidR="007C69ED">
        <w:t xml:space="preserve">.  This plan shall be submitted to FUS, the OTS and the OCA within </w:t>
      </w:r>
      <w:r w:rsidR="00F8662D">
        <w:t>fifteen</w:t>
      </w:r>
      <w:r w:rsidR="007C69ED">
        <w:t xml:space="preserve"> months following the entry </w:t>
      </w:r>
      <w:r w:rsidR="00AE4F41">
        <w:t xml:space="preserve">date </w:t>
      </w:r>
      <w:r w:rsidR="007C69ED">
        <w:t>of this Opinion and Order</w:t>
      </w:r>
      <w:r w:rsidR="00AE4F41">
        <w:t>,</w:t>
      </w:r>
      <w:r w:rsidR="007C69ED">
        <w:t xml:space="preserve"> or concurrent with its next general rate filing, whichever occurs first. </w:t>
      </w:r>
      <w:r w:rsidR="008F6E08">
        <w:t xml:space="preserve"> This plan shall include, </w:t>
      </w:r>
      <w:r w:rsidR="008F6E08" w:rsidRPr="008F6E08">
        <w:rPr>
          <w:i/>
        </w:rPr>
        <w:t>inter alia</w:t>
      </w:r>
      <w:r w:rsidR="008F6E08">
        <w:t xml:space="preserve">, timelines for meeting </w:t>
      </w:r>
      <w:r w:rsidR="00AC2EB8">
        <w:t xml:space="preserve">a </w:t>
      </w:r>
      <w:r w:rsidR="00AC2EB8">
        <w:lastRenderedPageBreak/>
        <w:t xml:space="preserve">maximum </w:t>
      </w:r>
      <w:r w:rsidR="008F6E08">
        <w:t>twenty percent threshold, or a threshold(s) below twenty percent</w:t>
      </w:r>
      <w:r w:rsidR="00CA0B46">
        <w:t xml:space="preserve">, </w:t>
      </w:r>
      <w:r w:rsidR="00AE4F41">
        <w:t xml:space="preserve">which </w:t>
      </w:r>
      <w:r w:rsidR="008F6E08">
        <w:t xml:space="preserve">can be accomplished in a cost-effective manner. </w:t>
      </w:r>
    </w:p>
    <w:p w:rsidR="00750BC4" w:rsidRDefault="00750BC4" w:rsidP="00B1367B"/>
    <w:p w:rsidR="00EA753A" w:rsidRDefault="00EA753A" w:rsidP="00EA753A">
      <w:pPr>
        <w:pStyle w:val="Heading2"/>
      </w:pPr>
      <w:r>
        <w:tab/>
        <w:t>Right to Withdraw</w:t>
      </w:r>
    </w:p>
    <w:p w:rsidR="00EA753A" w:rsidRDefault="00EA753A" w:rsidP="00D519D5">
      <w:pPr>
        <w:spacing w:line="240" w:lineRule="auto"/>
      </w:pPr>
    </w:p>
    <w:p w:rsidR="00F51A1F" w:rsidRDefault="00A752D8" w:rsidP="00F51A1F">
      <w:pPr>
        <w:rPr>
          <w:bCs/>
        </w:rPr>
      </w:pPr>
      <w:r>
        <w:t>We note that t</w:t>
      </w:r>
      <w:r w:rsidR="00F51A1F" w:rsidRPr="00CC0E89">
        <w:t xml:space="preserve">he </w:t>
      </w:r>
      <w:r w:rsidR="00F51A1F">
        <w:t xml:space="preserve">Water </w:t>
      </w:r>
      <w:r w:rsidR="00F51A1F" w:rsidRPr="00CC0E89">
        <w:t>Settlement is conditioned upon the Commission’s approval of the terms and conditions set forth in the Settlement</w:t>
      </w:r>
      <w:r>
        <w:t>,</w:t>
      </w:r>
      <w:r w:rsidR="00F51A1F" w:rsidRPr="00CC0E89">
        <w:t xml:space="preserve"> without modification.  If the Commission modifies the Settlement, any Party may withdraw from the Settlement</w:t>
      </w:r>
      <w:r>
        <w:t>,</w:t>
      </w:r>
      <w:r w:rsidR="00F51A1F" w:rsidRPr="00CC0E89">
        <w:t xml:space="preserve"> upon written notice within five business days following the entry </w:t>
      </w:r>
      <w:r>
        <w:t xml:space="preserve">date </w:t>
      </w:r>
      <w:r w:rsidR="00F51A1F" w:rsidRPr="00CC0E89">
        <w:t>of this Opinion and Order</w:t>
      </w:r>
      <w:r>
        <w:t>.</w:t>
      </w:r>
      <w:r w:rsidR="00F51A1F" w:rsidRPr="00CC0E89">
        <w:t xml:space="preserve"> </w:t>
      </w:r>
      <w:r>
        <w:t xml:space="preserve"> T</w:t>
      </w:r>
      <w:r w:rsidR="00F51A1F" w:rsidRPr="00CC0E89">
        <w:t>he Joint Petitioners reserve</w:t>
      </w:r>
      <w:r>
        <w:t>d</w:t>
      </w:r>
      <w:r w:rsidR="00F51A1F" w:rsidRPr="00CC0E89">
        <w:t xml:space="preserve"> their right to fully litigate this case.  </w:t>
      </w:r>
      <w:proofErr w:type="gramStart"/>
      <w:r w:rsidR="00B06866">
        <w:t xml:space="preserve">Water </w:t>
      </w:r>
      <w:r w:rsidR="00F51A1F" w:rsidRPr="00CC0E89">
        <w:rPr>
          <w:bCs/>
        </w:rPr>
        <w:t xml:space="preserve">Settlement ¶ </w:t>
      </w:r>
      <w:r w:rsidR="00F51A1F">
        <w:rPr>
          <w:bCs/>
        </w:rPr>
        <w:t>16</w:t>
      </w:r>
      <w:r w:rsidR="00F51A1F" w:rsidRPr="00CC0E89">
        <w:rPr>
          <w:bCs/>
        </w:rPr>
        <w:t xml:space="preserve"> at </w:t>
      </w:r>
      <w:r w:rsidR="00F51A1F">
        <w:rPr>
          <w:bCs/>
        </w:rPr>
        <w:t>7-8</w:t>
      </w:r>
      <w:r w:rsidR="00F51A1F" w:rsidRPr="00CC0E89">
        <w:rPr>
          <w:bCs/>
        </w:rPr>
        <w:t>.</w:t>
      </w:r>
      <w:proofErr w:type="gramEnd"/>
    </w:p>
    <w:p w:rsidR="00A752D8" w:rsidRDefault="00A752D8" w:rsidP="00F51A1F">
      <w:pPr>
        <w:rPr>
          <w:bCs/>
        </w:rPr>
      </w:pPr>
    </w:p>
    <w:p w:rsidR="00AD1E09" w:rsidRDefault="00AD1E09" w:rsidP="00AD1E09">
      <w:r>
        <w:t>As discussed</w:t>
      </w:r>
      <w:r w:rsidR="00CA0B46">
        <w:t>,</w:t>
      </w:r>
      <w:r>
        <w:t xml:space="preserve"> </w:t>
      </w:r>
      <w:r w:rsidRPr="00EA753A">
        <w:rPr>
          <w:i/>
        </w:rPr>
        <w:t>supra</w:t>
      </w:r>
      <w:r>
        <w:t>, the ALJ has recommended that the Commission establish additional requirements to address unaccounted</w:t>
      </w:r>
      <w:r w:rsidR="00A752D8">
        <w:t>-</w:t>
      </w:r>
      <w:r>
        <w:t xml:space="preserve">for water that exceed the terms of the Water Settlement and TESI has excepted to the ALJ’s recommendations.  While we are modifying the ALJ’s recommendations, this Opinion and Order will </w:t>
      </w:r>
      <w:r w:rsidR="00A752D8">
        <w:t xml:space="preserve">still </w:t>
      </w:r>
      <w:r>
        <w:t>amend the provisions related to unaccounted</w:t>
      </w:r>
      <w:r w:rsidR="00CA0B46">
        <w:t>-</w:t>
      </w:r>
      <w:r>
        <w:t xml:space="preserve">for </w:t>
      </w:r>
      <w:r w:rsidR="00F2407A">
        <w:t>as</w:t>
      </w:r>
      <w:r>
        <w:t xml:space="preserve"> set forth in the Water Settlement.  </w:t>
      </w:r>
    </w:p>
    <w:p w:rsidR="00750BC4" w:rsidRDefault="00E23039" w:rsidP="00B06866">
      <w:pPr>
        <w:pStyle w:val="Heading1"/>
        <w:spacing w:before="240"/>
      </w:pPr>
      <w:r>
        <w:t>IV.</w:t>
      </w:r>
      <w:r>
        <w:tab/>
      </w:r>
      <w:r w:rsidR="00750BC4">
        <w:t>Conclusion</w:t>
      </w:r>
    </w:p>
    <w:p w:rsidR="00C31C64" w:rsidRDefault="00C31C64" w:rsidP="00CA0B46">
      <w:pPr>
        <w:keepNext/>
        <w:spacing w:line="240" w:lineRule="auto"/>
      </w:pPr>
    </w:p>
    <w:p w:rsidR="00DC7359" w:rsidRDefault="00A51723" w:rsidP="00B06866">
      <w:pPr>
        <w:rPr>
          <w:b/>
        </w:rPr>
      </w:pPr>
      <w:r>
        <w:t xml:space="preserve">Consistent with the discussion </w:t>
      </w:r>
      <w:r w:rsidRPr="00A51723">
        <w:rPr>
          <w:i/>
        </w:rPr>
        <w:t>supra</w:t>
      </w:r>
      <w:r>
        <w:t xml:space="preserve">, </w:t>
      </w:r>
      <w:r w:rsidR="00A86999">
        <w:t>and based u</w:t>
      </w:r>
      <w:r w:rsidR="00C31C64" w:rsidRPr="00556738">
        <w:t xml:space="preserve">pon </w:t>
      </w:r>
      <w:r w:rsidR="00A86999">
        <w:t xml:space="preserve">our </w:t>
      </w:r>
      <w:r w:rsidR="00C31C64" w:rsidRPr="00556738">
        <w:t>review of the record before us</w:t>
      </w:r>
      <w:r w:rsidR="00C31C64">
        <w:t xml:space="preserve">, </w:t>
      </w:r>
      <w:r w:rsidR="00A86999">
        <w:t xml:space="preserve">the supporting statements of TESI, the OCA and the OTS, and the Recommended Decision of the ALJ, </w:t>
      </w:r>
      <w:r w:rsidR="00C31C64" w:rsidRPr="00556738">
        <w:t xml:space="preserve">we </w:t>
      </w:r>
      <w:r w:rsidR="00A86999">
        <w:t xml:space="preserve">conclude that </w:t>
      </w:r>
      <w:r w:rsidR="00C31C64" w:rsidRPr="00556738">
        <w:t xml:space="preserve">the </w:t>
      </w:r>
      <w:r w:rsidR="00703993">
        <w:t xml:space="preserve">Wastewater Settlement and the </w:t>
      </w:r>
      <w:r w:rsidR="00DF4DCF">
        <w:t>Water Settlement, as amended by the Settlement Addendum</w:t>
      </w:r>
      <w:r>
        <w:t>,</w:t>
      </w:r>
      <w:r w:rsidR="00DF4DCF">
        <w:t xml:space="preserve"> </w:t>
      </w:r>
      <w:r w:rsidR="00C823DC">
        <w:t xml:space="preserve">and </w:t>
      </w:r>
      <w:r w:rsidR="00DF4DCF">
        <w:t>as further modified by this Opinion and O</w:t>
      </w:r>
      <w:r>
        <w:t>r</w:t>
      </w:r>
      <w:r w:rsidR="00DF4DCF">
        <w:t>der</w:t>
      </w:r>
      <w:r w:rsidR="00703993">
        <w:t>,</w:t>
      </w:r>
      <w:r w:rsidR="00A86999">
        <w:t xml:space="preserve"> </w:t>
      </w:r>
      <w:r w:rsidR="00703993">
        <w:t>result in rates, terms and conditions that are just</w:t>
      </w:r>
      <w:r w:rsidR="00BB211A">
        <w:t>,</w:t>
      </w:r>
      <w:r w:rsidR="00703993">
        <w:t xml:space="preserve"> reasonable and in the public interest and are in accord with the rules and regulations of this Commission and the provisions of the Public Utility Code</w:t>
      </w:r>
      <w:r w:rsidR="00DC7359">
        <w:t xml:space="preserve">.  </w:t>
      </w:r>
      <w:r w:rsidR="00C16015">
        <w:t>We shall approve the Wastewater Settlement.  With regard to the Water Settlement, u</w:t>
      </w:r>
      <w:r w:rsidR="00DC7359">
        <w:t xml:space="preserve">nless any Party to the Water Settlement notifies the Commission, within </w:t>
      </w:r>
      <w:r w:rsidR="00C823DC">
        <w:t>five business days</w:t>
      </w:r>
      <w:r w:rsidR="00DC7359">
        <w:t xml:space="preserve"> of the </w:t>
      </w:r>
      <w:r w:rsidR="00C823DC">
        <w:t xml:space="preserve">entry </w:t>
      </w:r>
      <w:r w:rsidR="00DC7359">
        <w:t xml:space="preserve">date </w:t>
      </w:r>
      <w:r w:rsidR="00C823DC">
        <w:t xml:space="preserve">of </w:t>
      </w:r>
      <w:r w:rsidR="00DC7359">
        <w:t xml:space="preserve">this Opinion and Order that it is withdrawing from the </w:t>
      </w:r>
      <w:r w:rsidR="003D2700">
        <w:t xml:space="preserve">Water </w:t>
      </w:r>
      <w:r w:rsidR="00DC7359">
        <w:t xml:space="preserve">Settlement, </w:t>
      </w:r>
      <w:r w:rsidR="00DC7359" w:rsidRPr="00556738">
        <w:t xml:space="preserve">the </w:t>
      </w:r>
      <w:r w:rsidR="003D2700">
        <w:t xml:space="preserve">Water </w:t>
      </w:r>
      <w:r w:rsidR="003D2700">
        <w:lastRenderedPageBreak/>
        <w:t>Settlement, as amended by the Settlement Addendum, as further modified by this Opinion and Order</w:t>
      </w:r>
      <w:r w:rsidR="00DC7359">
        <w:t xml:space="preserve">, shall be approved; </w:t>
      </w:r>
      <w:r w:rsidR="00DC7359">
        <w:rPr>
          <w:b/>
        </w:rPr>
        <w:t>THEREFORE,</w:t>
      </w:r>
    </w:p>
    <w:p w:rsidR="00DC7359" w:rsidRDefault="00DC7359" w:rsidP="00DC7359">
      <w:pPr>
        <w:keepNext/>
        <w:rPr>
          <w:b/>
        </w:rPr>
      </w:pPr>
    </w:p>
    <w:p w:rsidR="00E019A1" w:rsidRPr="00217166" w:rsidRDefault="00E019A1" w:rsidP="00F14A40">
      <w:pPr>
        <w:pStyle w:val="BodyText3"/>
        <w:tabs>
          <w:tab w:val="left" w:pos="-720"/>
        </w:tabs>
        <w:ind w:firstLine="1440"/>
        <w:rPr>
          <w:b/>
          <w:spacing w:val="-3"/>
          <w:sz w:val="26"/>
          <w:szCs w:val="24"/>
        </w:rPr>
      </w:pPr>
      <w:r w:rsidRPr="00217166">
        <w:rPr>
          <w:b/>
          <w:sz w:val="26"/>
          <w:szCs w:val="24"/>
        </w:rPr>
        <w:t>IT IS ORDERED:</w:t>
      </w:r>
    </w:p>
    <w:p w:rsidR="00750BC4" w:rsidRDefault="00750BC4" w:rsidP="00750BC4"/>
    <w:p w:rsidR="00E019A1" w:rsidRPr="00224C6B" w:rsidRDefault="00E019A1" w:rsidP="00224C6B">
      <w:pPr>
        <w:pStyle w:val="Heading4"/>
        <w:numPr>
          <w:ilvl w:val="0"/>
          <w:numId w:val="28"/>
        </w:numPr>
        <w:ind w:left="0" w:firstLine="1440"/>
        <w:rPr>
          <w:b w:val="0"/>
        </w:rPr>
      </w:pPr>
      <w:r w:rsidRPr="00224C6B">
        <w:rPr>
          <w:b w:val="0"/>
        </w:rPr>
        <w:t>That the Exceptions of Total Environmental Solutions, Inc. to the Recommended Decision of Administrative Law Judge Katrina L. Dunderdale are granted, in part, and denied, in part, consistent with this Opinion and Order.</w:t>
      </w:r>
    </w:p>
    <w:p w:rsidR="00E019A1" w:rsidRPr="00224C6B" w:rsidRDefault="00E019A1" w:rsidP="00224C6B">
      <w:pPr>
        <w:rPr>
          <w:spacing w:val="-3"/>
        </w:rPr>
      </w:pPr>
    </w:p>
    <w:p w:rsidR="00E019A1" w:rsidRPr="00224C6B" w:rsidRDefault="00E019A1" w:rsidP="00224C6B">
      <w:pPr>
        <w:pStyle w:val="Heading4"/>
        <w:numPr>
          <w:ilvl w:val="0"/>
          <w:numId w:val="28"/>
        </w:numPr>
        <w:ind w:left="0" w:firstLine="1440"/>
        <w:rPr>
          <w:b w:val="0"/>
        </w:rPr>
      </w:pPr>
      <w:r w:rsidRPr="00224C6B">
        <w:rPr>
          <w:b w:val="0"/>
        </w:rPr>
        <w:t>That the Recommended Decision of Administrative Law Judge Katrina L. Dunderdale</w:t>
      </w:r>
      <w:r w:rsidR="00CA336F" w:rsidRPr="00224C6B">
        <w:rPr>
          <w:b w:val="0"/>
        </w:rPr>
        <w:t xml:space="preserve">, issued January 10, 2011, </w:t>
      </w:r>
      <w:r w:rsidRPr="00224C6B">
        <w:rPr>
          <w:b w:val="0"/>
        </w:rPr>
        <w:t>is modified</w:t>
      </w:r>
      <w:r w:rsidR="00BB211A" w:rsidRPr="00224C6B">
        <w:rPr>
          <w:b w:val="0"/>
        </w:rPr>
        <w:t>,</w:t>
      </w:r>
      <w:r w:rsidRPr="00224C6B">
        <w:rPr>
          <w:b w:val="0"/>
        </w:rPr>
        <w:t xml:space="preserve"> consistent with this Opinion and Order.</w:t>
      </w:r>
    </w:p>
    <w:p w:rsidR="00A0028E" w:rsidRPr="00224C6B" w:rsidRDefault="00A0028E" w:rsidP="00224C6B">
      <w:pPr>
        <w:rPr>
          <w:spacing w:val="-3"/>
        </w:rPr>
      </w:pPr>
    </w:p>
    <w:p w:rsidR="001D7439" w:rsidRPr="00224C6B" w:rsidRDefault="001D7439" w:rsidP="00224C6B">
      <w:pPr>
        <w:pStyle w:val="Heading4"/>
        <w:numPr>
          <w:ilvl w:val="0"/>
          <w:numId w:val="28"/>
        </w:numPr>
        <w:ind w:left="0" w:firstLine="1440"/>
        <w:rPr>
          <w:b w:val="0"/>
        </w:rPr>
      </w:pPr>
      <w:r w:rsidRPr="00224C6B">
        <w:rPr>
          <w:b w:val="0"/>
        </w:rPr>
        <w:t xml:space="preserve">That Total Environmental Solutions, Inc. – Treasure Lake Water Division and Total Environmental Solutions – Treasure Lake Wastewater Division shall not place into effect the rates contained in Supplement No. 4 to Tariff Water – Pa. P.U.C. </w:t>
      </w:r>
      <w:r w:rsidR="005576D7" w:rsidRPr="00224C6B">
        <w:rPr>
          <w:b w:val="0"/>
        </w:rPr>
        <w:br/>
      </w:r>
      <w:r w:rsidRPr="00224C6B">
        <w:rPr>
          <w:b w:val="0"/>
        </w:rPr>
        <w:t>No. 4 and Supplement No. 6 to Tariff Wastewater – Pa. P.U.C. No. 4, which have been found to be unjust and unreasonable and</w:t>
      </w:r>
      <w:r w:rsidR="00F14A40">
        <w:rPr>
          <w:b w:val="0"/>
        </w:rPr>
        <w:t>,</w:t>
      </w:r>
      <w:r w:rsidRPr="00224C6B">
        <w:rPr>
          <w:b w:val="0"/>
        </w:rPr>
        <w:t xml:space="preserve"> therefore, unlawful.</w:t>
      </w:r>
    </w:p>
    <w:p w:rsidR="001D7439" w:rsidRPr="00224C6B" w:rsidRDefault="001D7439" w:rsidP="00224C6B">
      <w:pPr>
        <w:rPr>
          <w:spacing w:val="-3"/>
        </w:rPr>
      </w:pPr>
    </w:p>
    <w:p w:rsidR="00A0028E" w:rsidRPr="00224C6B" w:rsidRDefault="00A0028E" w:rsidP="00224C6B">
      <w:pPr>
        <w:pStyle w:val="Heading4"/>
        <w:numPr>
          <w:ilvl w:val="0"/>
          <w:numId w:val="28"/>
        </w:numPr>
        <w:ind w:left="0" w:firstLine="1440"/>
        <w:rPr>
          <w:b w:val="0"/>
        </w:rPr>
      </w:pPr>
      <w:r w:rsidRPr="00224C6B">
        <w:rPr>
          <w:b w:val="0"/>
        </w:rPr>
        <w:t xml:space="preserve">That any objections </w:t>
      </w:r>
      <w:r w:rsidR="00314131" w:rsidRPr="00224C6B">
        <w:rPr>
          <w:b w:val="0"/>
        </w:rPr>
        <w:t xml:space="preserve">to the modifications to the </w:t>
      </w:r>
      <w:r w:rsidR="00314131" w:rsidRPr="00224C6B">
        <w:rPr>
          <w:b w:val="0"/>
          <w:szCs w:val="24"/>
        </w:rPr>
        <w:t>Joint Petition for Settlement of Rate Investigation,</w:t>
      </w:r>
      <w:r w:rsidR="00314131" w:rsidRPr="00224C6B">
        <w:rPr>
          <w:b w:val="0"/>
        </w:rPr>
        <w:t xml:space="preserve"> filed by Total Environmental Solutions, Inc. – Treasure Lake Water Division, the Office of Trial Staff, and the Office of Consumer Advocate</w:t>
      </w:r>
      <w:r w:rsidR="005D46AA" w:rsidRPr="00224C6B">
        <w:rPr>
          <w:b w:val="0"/>
        </w:rPr>
        <w:t xml:space="preserve">, as set forth in this Opinion and Order, shall be filed within five (5) </w:t>
      </w:r>
      <w:r w:rsidR="001D7439" w:rsidRPr="00224C6B">
        <w:rPr>
          <w:b w:val="0"/>
        </w:rPr>
        <w:t xml:space="preserve">business days from the date of entry of this Opinion and Order. </w:t>
      </w:r>
    </w:p>
    <w:p w:rsidR="001D7439" w:rsidRPr="00224C6B" w:rsidRDefault="001D7439" w:rsidP="00224C6B">
      <w:pPr>
        <w:rPr>
          <w:spacing w:val="-3"/>
        </w:rPr>
      </w:pPr>
    </w:p>
    <w:p w:rsidR="001D7439" w:rsidRPr="00224C6B" w:rsidRDefault="001D7439" w:rsidP="00224C6B">
      <w:pPr>
        <w:pStyle w:val="Heading4"/>
        <w:numPr>
          <w:ilvl w:val="0"/>
          <w:numId w:val="28"/>
        </w:numPr>
        <w:ind w:left="0" w:firstLine="1440"/>
        <w:rPr>
          <w:b w:val="0"/>
        </w:rPr>
      </w:pPr>
      <w:r w:rsidRPr="00224C6B">
        <w:rPr>
          <w:b w:val="0"/>
        </w:rPr>
        <w:t xml:space="preserve">That if no objections are filed pursuant to Ordering Paragraph, </w:t>
      </w:r>
      <w:r w:rsidR="001C1907">
        <w:rPr>
          <w:b w:val="0"/>
        </w:rPr>
        <w:br/>
      </w:r>
      <w:r w:rsidRPr="00224C6B">
        <w:rPr>
          <w:b w:val="0"/>
        </w:rPr>
        <w:t xml:space="preserve">No. </w:t>
      </w:r>
      <w:r w:rsidR="002A0B17">
        <w:rPr>
          <w:b w:val="0"/>
        </w:rPr>
        <w:t>4</w:t>
      </w:r>
      <w:r w:rsidRPr="00224C6B">
        <w:rPr>
          <w:b w:val="0"/>
        </w:rPr>
        <w:t xml:space="preserve">, </w:t>
      </w:r>
      <w:r w:rsidRPr="00224C6B">
        <w:rPr>
          <w:b w:val="0"/>
          <w:i/>
        </w:rPr>
        <w:t>supra,</w:t>
      </w:r>
      <w:r w:rsidRPr="00224C6B">
        <w:rPr>
          <w:b w:val="0"/>
        </w:rPr>
        <w:t xml:space="preserve"> it </w:t>
      </w:r>
      <w:r w:rsidR="000A38AF">
        <w:rPr>
          <w:b w:val="0"/>
        </w:rPr>
        <w:t>is</w:t>
      </w:r>
      <w:r w:rsidRPr="00224C6B">
        <w:rPr>
          <w:b w:val="0"/>
        </w:rPr>
        <w:t xml:space="preserve"> further ordered:</w:t>
      </w:r>
    </w:p>
    <w:p w:rsidR="00CC0DB8" w:rsidRDefault="00CC0DB8" w:rsidP="00E16DAB">
      <w:pPr>
        <w:spacing w:line="240" w:lineRule="auto"/>
      </w:pPr>
    </w:p>
    <w:p w:rsidR="007C2D53" w:rsidRPr="00B2003C" w:rsidRDefault="007C2D53" w:rsidP="00224C6B">
      <w:pPr>
        <w:pStyle w:val="ListParagraph"/>
        <w:numPr>
          <w:ilvl w:val="0"/>
          <w:numId w:val="29"/>
        </w:numPr>
        <w:ind w:left="1440" w:firstLine="720"/>
        <w:rPr>
          <w:spacing w:val="-3"/>
        </w:rPr>
      </w:pPr>
      <w:r w:rsidRPr="001C137E">
        <w:lastRenderedPageBreak/>
        <w:t xml:space="preserve">That the terms and conditions contained in the Joint Petition for Partial Settlement </w:t>
      </w:r>
      <w:r w:rsidR="004203B1" w:rsidRPr="00B2003C">
        <w:rPr>
          <w:spacing w:val="-3"/>
        </w:rPr>
        <w:t xml:space="preserve">of Rate Investigation </w:t>
      </w:r>
      <w:r w:rsidR="001E5F73" w:rsidRPr="00B2003C">
        <w:rPr>
          <w:spacing w:val="-3"/>
        </w:rPr>
        <w:t xml:space="preserve">and the </w:t>
      </w:r>
      <w:r w:rsidR="001E5F73" w:rsidRPr="00B2003C">
        <w:rPr>
          <w:szCs w:val="24"/>
        </w:rPr>
        <w:t>Addendum to Joint Petition for Settlement of Rate Investigation</w:t>
      </w:r>
      <w:r w:rsidR="00BB211A">
        <w:rPr>
          <w:szCs w:val="24"/>
        </w:rPr>
        <w:t>,</w:t>
      </w:r>
      <w:r w:rsidR="001E5F73" w:rsidRPr="00B2003C">
        <w:rPr>
          <w:spacing w:val="-3"/>
        </w:rPr>
        <w:t xml:space="preserve"> </w:t>
      </w:r>
      <w:r w:rsidR="004203B1" w:rsidRPr="00B2003C">
        <w:rPr>
          <w:spacing w:val="-3"/>
        </w:rPr>
        <w:t xml:space="preserve">filed by Total Environmental Solutions, Inc. – Treasure Lake Water </w:t>
      </w:r>
      <w:r w:rsidR="00CC0DB8" w:rsidRPr="00B2003C">
        <w:rPr>
          <w:spacing w:val="-3"/>
        </w:rPr>
        <w:t>Division,</w:t>
      </w:r>
      <w:r w:rsidR="004203B1" w:rsidRPr="00B2003C">
        <w:rPr>
          <w:spacing w:val="-3"/>
        </w:rPr>
        <w:t xml:space="preserve"> the Office of Trial Staff, and the Office of Consumer Advocate</w:t>
      </w:r>
      <w:r w:rsidR="00CC0DB8" w:rsidRPr="00B2003C">
        <w:rPr>
          <w:spacing w:val="-3"/>
        </w:rPr>
        <w:t xml:space="preserve"> is adopted</w:t>
      </w:r>
      <w:r w:rsidR="008A0C31" w:rsidRPr="00B2003C">
        <w:rPr>
          <w:spacing w:val="-3"/>
        </w:rPr>
        <w:t>,</w:t>
      </w:r>
      <w:r w:rsidR="00CC0DB8" w:rsidRPr="00B2003C">
        <w:rPr>
          <w:spacing w:val="-3"/>
        </w:rPr>
        <w:t xml:space="preserve"> as modified by this Opinion and Order.</w:t>
      </w:r>
    </w:p>
    <w:p w:rsidR="00CC0DB8" w:rsidRDefault="00CC0DB8" w:rsidP="00224C6B">
      <w:pPr>
        <w:ind w:left="1440" w:firstLine="720"/>
        <w:rPr>
          <w:spacing w:val="-3"/>
        </w:rPr>
      </w:pPr>
    </w:p>
    <w:p w:rsidR="00E019A1" w:rsidRPr="00B2003C" w:rsidRDefault="00E019A1" w:rsidP="00224C6B">
      <w:pPr>
        <w:pStyle w:val="ListParagraph"/>
        <w:numPr>
          <w:ilvl w:val="0"/>
          <w:numId w:val="29"/>
        </w:numPr>
        <w:tabs>
          <w:tab w:val="left" w:pos="-720"/>
        </w:tabs>
        <w:suppressAutoHyphens/>
        <w:ind w:left="1440" w:firstLine="720"/>
        <w:rPr>
          <w:spacing w:val="-3"/>
        </w:rPr>
      </w:pPr>
      <w:r w:rsidRPr="00B2003C">
        <w:rPr>
          <w:spacing w:val="-3"/>
        </w:rPr>
        <w:t>That Total Environmental Solutions, Inc. – Treasure Lake Water Division is hereby authorized to file tariffs, tariff supplements, or tariff revisions containing rates, rules and regulations, consistent with th</w:t>
      </w:r>
      <w:r w:rsidR="00A974B0" w:rsidRPr="00B2003C">
        <w:rPr>
          <w:spacing w:val="-3"/>
        </w:rPr>
        <w:t xml:space="preserve">e Joint Petition for Settlement of Rate Investigation filed by </w:t>
      </w:r>
      <w:r w:rsidR="00A924B6" w:rsidRPr="00B2003C">
        <w:rPr>
          <w:spacing w:val="-3"/>
        </w:rPr>
        <w:t>Total Environmental Solutions, Inc., the Office of Trial Staff, and the Office of Consumer Advocate</w:t>
      </w:r>
      <w:r w:rsidRPr="00B2003C">
        <w:rPr>
          <w:spacing w:val="-3"/>
        </w:rPr>
        <w:t xml:space="preserve">, to produce </w:t>
      </w:r>
      <w:r w:rsidR="00460580">
        <w:rPr>
          <w:spacing w:val="-3"/>
        </w:rPr>
        <w:t xml:space="preserve">an increase in annual revenue of $244,917, not to exceed a </w:t>
      </w:r>
      <w:r w:rsidR="00F606F9" w:rsidRPr="00B2003C">
        <w:rPr>
          <w:spacing w:val="-3"/>
        </w:rPr>
        <w:t xml:space="preserve">total annual operating revenues of </w:t>
      </w:r>
      <w:r w:rsidRPr="00B2003C">
        <w:rPr>
          <w:spacing w:val="-3"/>
        </w:rPr>
        <w:t>$</w:t>
      </w:r>
      <w:r w:rsidR="00F606F9" w:rsidRPr="00B2003C">
        <w:rPr>
          <w:spacing w:val="-3"/>
        </w:rPr>
        <w:t>850,099</w:t>
      </w:r>
      <w:r w:rsidRPr="00B2003C">
        <w:rPr>
          <w:spacing w:val="-3"/>
        </w:rPr>
        <w:t>.</w:t>
      </w:r>
    </w:p>
    <w:p w:rsidR="00E019A1" w:rsidRDefault="00E019A1" w:rsidP="00224C6B">
      <w:pPr>
        <w:tabs>
          <w:tab w:val="left" w:pos="-720"/>
        </w:tabs>
        <w:suppressAutoHyphens/>
        <w:ind w:left="1440" w:firstLine="720"/>
        <w:rPr>
          <w:spacing w:val="-3"/>
        </w:rPr>
      </w:pPr>
    </w:p>
    <w:p w:rsidR="00FA1856" w:rsidRDefault="00FA1856" w:rsidP="00224C6B">
      <w:pPr>
        <w:pStyle w:val="ListParagraph"/>
        <w:numPr>
          <w:ilvl w:val="0"/>
          <w:numId w:val="29"/>
        </w:numPr>
        <w:tabs>
          <w:tab w:val="left" w:pos="-720"/>
        </w:tabs>
        <w:suppressAutoHyphens/>
        <w:ind w:left="1440" w:firstLine="720"/>
      </w:pPr>
      <w:r>
        <w:t xml:space="preserve">That Total Environmental Solutions, Inc. – Treasure Lake </w:t>
      </w:r>
      <w:r w:rsidRPr="006C18D3">
        <w:t xml:space="preserve">Water </w:t>
      </w:r>
      <w:r>
        <w:t xml:space="preserve">Division </w:t>
      </w:r>
      <w:r w:rsidRPr="006C18D3">
        <w:t>shall file detailed calculations with its tariff filing</w:t>
      </w:r>
      <w:r>
        <w:t>s</w:t>
      </w:r>
      <w:r w:rsidRPr="006C18D3">
        <w:t>, which shall demonstrate to this Commission's satisfaction that the filed rates comply with the proof of revenue, in the form and manner customarily filed in support of compliance tariffs.</w:t>
      </w:r>
    </w:p>
    <w:p w:rsidR="00224C6B" w:rsidRDefault="00224C6B" w:rsidP="00224C6B">
      <w:pPr>
        <w:pStyle w:val="ListParagraph"/>
        <w:tabs>
          <w:tab w:val="left" w:pos="-720"/>
        </w:tabs>
        <w:suppressAutoHyphens/>
        <w:ind w:left="1440" w:firstLine="720"/>
      </w:pPr>
    </w:p>
    <w:p w:rsidR="00224C6B" w:rsidRPr="00B2003C" w:rsidRDefault="00224C6B" w:rsidP="00224C6B">
      <w:pPr>
        <w:pStyle w:val="ListParagraph"/>
        <w:numPr>
          <w:ilvl w:val="0"/>
          <w:numId w:val="29"/>
        </w:numPr>
        <w:tabs>
          <w:tab w:val="left" w:pos="-720"/>
        </w:tabs>
        <w:suppressAutoHyphens/>
        <w:ind w:left="1440" w:firstLine="720"/>
        <w:rPr>
          <w:spacing w:val="-3"/>
        </w:rPr>
      </w:pPr>
      <w:r w:rsidRPr="00B2003C">
        <w:rPr>
          <w:spacing w:val="-3"/>
        </w:rPr>
        <w:t xml:space="preserve">That Total Environmental Solutions, Inc. – Treasure Lake Water Division’s tariffs, tariff supplements, or tariff revisions may be filed upon less than statutory notice and, pursuant to the provisions of </w:t>
      </w:r>
      <w:r w:rsidR="001C1907">
        <w:rPr>
          <w:spacing w:val="-3"/>
        </w:rPr>
        <w:br/>
      </w:r>
      <w:r w:rsidRPr="00B2003C">
        <w:rPr>
          <w:spacing w:val="-3"/>
        </w:rPr>
        <w:t xml:space="preserve">52 Pa. Code §§ 53.31 and 53.101, may be filed to be effective for service rendered on and after </w:t>
      </w:r>
      <w:r w:rsidR="001C1907">
        <w:rPr>
          <w:spacing w:val="-3"/>
        </w:rPr>
        <w:t xml:space="preserve">five (5) business days following the </w:t>
      </w:r>
      <w:r w:rsidR="009B4A7E">
        <w:rPr>
          <w:spacing w:val="-3"/>
        </w:rPr>
        <w:t xml:space="preserve">date of </w:t>
      </w:r>
      <w:r w:rsidR="001C1907">
        <w:rPr>
          <w:spacing w:val="-3"/>
        </w:rPr>
        <w:t xml:space="preserve">entry </w:t>
      </w:r>
      <w:r w:rsidRPr="00B2003C">
        <w:rPr>
          <w:spacing w:val="-3"/>
        </w:rPr>
        <w:t>of this Opinion and Order</w:t>
      </w:r>
      <w:r>
        <w:rPr>
          <w:spacing w:val="-3"/>
        </w:rPr>
        <w:t>.</w:t>
      </w:r>
    </w:p>
    <w:p w:rsidR="00FA1856" w:rsidRDefault="00FA1856" w:rsidP="00224C6B">
      <w:pPr>
        <w:pStyle w:val="ListParagraph"/>
        <w:tabs>
          <w:tab w:val="left" w:pos="-720"/>
        </w:tabs>
        <w:suppressAutoHyphens/>
        <w:ind w:left="1440" w:firstLine="720"/>
      </w:pPr>
    </w:p>
    <w:p w:rsidR="00FA1856" w:rsidRDefault="00FA1856" w:rsidP="00224C6B">
      <w:pPr>
        <w:pStyle w:val="ListParagraph"/>
        <w:numPr>
          <w:ilvl w:val="0"/>
          <w:numId w:val="29"/>
        </w:numPr>
        <w:ind w:left="1440" w:firstLine="720"/>
      </w:pPr>
      <w:r>
        <w:lastRenderedPageBreak/>
        <w:t xml:space="preserve">That Total Environmental Solutions, Inc. – Treasure Lake </w:t>
      </w:r>
      <w:r w:rsidRPr="006C18D3">
        <w:t xml:space="preserve">Water </w:t>
      </w:r>
      <w:r>
        <w:t>Division shall complete a thorough inspection of its entire system within one year of the date of entry of this Opinion and Order, and at least annually thereafter.</w:t>
      </w:r>
    </w:p>
    <w:p w:rsidR="00FA1856" w:rsidRDefault="00FA1856" w:rsidP="00224C6B">
      <w:pPr>
        <w:ind w:left="1440" w:firstLine="720"/>
      </w:pPr>
    </w:p>
    <w:p w:rsidR="00FA1856" w:rsidRDefault="00FA1856" w:rsidP="00224C6B">
      <w:pPr>
        <w:pStyle w:val="ListParagraph"/>
        <w:numPr>
          <w:ilvl w:val="0"/>
          <w:numId w:val="29"/>
        </w:numPr>
        <w:ind w:left="1440" w:firstLine="720"/>
      </w:pPr>
      <w:r>
        <w:t xml:space="preserve">That Total Environmental Solutions, Inc. – Treasure Lake </w:t>
      </w:r>
      <w:r w:rsidRPr="006C18D3">
        <w:t xml:space="preserve">Water </w:t>
      </w:r>
      <w:r>
        <w:t xml:space="preserve">Division shall file a report on its leak inspection and remediation activities with the Bureau of Fixed Utility Services within sixty </w:t>
      </w:r>
      <w:r w:rsidR="009B4A7E">
        <w:t xml:space="preserve">(60) </w:t>
      </w:r>
      <w:r>
        <w:t>days following the conclusion of its initial system-wide inspection program</w:t>
      </w:r>
      <w:r w:rsidR="005F52B9">
        <w:t xml:space="preserve"> as set forth in Ordering Paragraph No. 5(e)</w:t>
      </w:r>
      <w:r>
        <w:t>,</w:t>
      </w:r>
      <w:r w:rsidR="005F52B9">
        <w:t xml:space="preserve"> </w:t>
      </w:r>
      <w:r w:rsidR="005F52B9" w:rsidRPr="005F52B9">
        <w:rPr>
          <w:i/>
        </w:rPr>
        <w:t>supra</w:t>
      </w:r>
      <w:r w:rsidR="005F52B9">
        <w:t xml:space="preserve">, </w:t>
      </w:r>
      <w:r>
        <w:t xml:space="preserve">or concurrent with the submission of the next general rate request, whichever occurs first.  </w:t>
      </w:r>
    </w:p>
    <w:p w:rsidR="00FA1856" w:rsidRDefault="00FA1856" w:rsidP="00224C6B">
      <w:pPr>
        <w:tabs>
          <w:tab w:val="left" w:pos="-720"/>
        </w:tabs>
        <w:suppressAutoHyphens/>
        <w:ind w:left="1440" w:firstLine="720"/>
      </w:pPr>
    </w:p>
    <w:p w:rsidR="00FA1856" w:rsidRDefault="00FA1856" w:rsidP="00224C6B">
      <w:pPr>
        <w:pStyle w:val="ListParagraph"/>
        <w:numPr>
          <w:ilvl w:val="0"/>
          <w:numId w:val="29"/>
        </w:numPr>
        <w:tabs>
          <w:tab w:val="left" w:pos="-720"/>
        </w:tabs>
        <w:suppressAutoHyphens/>
        <w:ind w:left="1440" w:firstLine="720"/>
      </w:pPr>
      <w:r>
        <w:t xml:space="preserve">That Total Environmental Solutions, Inc. – Treasure Lake </w:t>
      </w:r>
      <w:r w:rsidRPr="006C18D3">
        <w:t xml:space="preserve">Water </w:t>
      </w:r>
      <w:r>
        <w:t>Division shall submit a plan to reduce the percentage of unaccounted-for water to a maximum threshold of twenty percent</w:t>
      </w:r>
      <w:r w:rsidR="009B4A7E">
        <w:t xml:space="preserve"> (20%)</w:t>
      </w:r>
      <w:r>
        <w:t>, based on its experience with its system-wide leak inspection and meter replacement programs.  This plan shall be submitted to the Bureau of Fixed Utility Service</w:t>
      </w:r>
      <w:r w:rsidR="009B4A7E">
        <w:t>s</w:t>
      </w:r>
      <w:r>
        <w:t xml:space="preserve">, the Office of Trial Staff and the Office of Consumer Advocate within fifteen </w:t>
      </w:r>
      <w:r w:rsidR="009B4A7E">
        <w:t xml:space="preserve">(15) </w:t>
      </w:r>
      <w:r>
        <w:t xml:space="preserve">months following the entry date of this Opinion and Order, or concurrent with its next general rate filing, whichever occurs first.  </w:t>
      </w:r>
    </w:p>
    <w:p w:rsidR="00FA1856" w:rsidRDefault="00FA1856" w:rsidP="00B2003C">
      <w:pPr>
        <w:tabs>
          <w:tab w:val="left" w:pos="-720"/>
        </w:tabs>
        <w:suppressAutoHyphens/>
        <w:rPr>
          <w:spacing w:val="-3"/>
        </w:rPr>
      </w:pPr>
    </w:p>
    <w:p w:rsidR="005576D7" w:rsidRPr="00B2003C" w:rsidRDefault="005576D7" w:rsidP="00E16DAB">
      <w:pPr>
        <w:pStyle w:val="ListParagraph"/>
        <w:numPr>
          <w:ilvl w:val="0"/>
          <w:numId w:val="30"/>
        </w:numPr>
        <w:ind w:left="0" w:firstLine="1440"/>
        <w:rPr>
          <w:spacing w:val="-3"/>
        </w:rPr>
      </w:pPr>
      <w:r w:rsidRPr="001C137E">
        <w:t xml:space="preserve">That the terms and conditions contained in the Joint Petition for Partial Settlement </w:t>
      </w:r>
      <w:r w:rsidRPr="00B2003C">
        <w:rPr>
          <w:spacing w:val="-3"/>
        </w:rPr>
        <w:t>of Rate Investigation filed by Total Environmental Solutions, Inc. – Treasure Lake Wastewater Division, the Office of Trial Staff, and the Office of Consumer Advocate is adopted without modification.</w:t>
      </w:r>
    </w:p>
    <w:p w:rsidR="005576D7" w:rsidRDefault="005576D7" w:rsidP="00B2003C">
      <w:pPr>
        <w:tabs>
          <w:tab w:val="left" w:pos="-720"/>
        </w:tabs>
        <w:suppressAutoHyphens/>
        <w:rPr>
          <w:spacing w:val="-3"/>
        </w:rPr>
      </w:pPr>
    </w:p>
    <w:p w:rsidR="0091759D" w:rsidRPr="00B2003C" w:rsidRDefault="00B2003C" w:rsidP="002A4716">
      <w:pPr>
        <w:pStyle w:val="ListParagraph"/>
        <w:keepNext/>
        <w:keepLines/>
        <w:numPr>
          <w:ilvl w:val="0"/>
          <w:numId w:val="30"/>
        </w:numPr>
        <w:tabs>
          <w:tab w:val="left" w:pos="-720"/>
        </w:tabs>
        <w:suppressAutoHyphens/>
        <w:ind w:left="0" w:firstLine="1440"/>
        <w:rPr>
          <w:spacing w:val="-3"/>
        </w:rPr>
      </w:pPr>
      <w:r w:rsidRPr="00B2003C">
        <w:rPr>
          <w:spacing w:val="-3"/>
        </w:rPr>
        <w:lastRenderedPageBreak/>
        <w:t>T</w:t>
      </w:r>
      <w:r w:rsidR="00E019A1" w:rsidRPr="00B2003C">
        <w:rPr>
          <w:spacing w:val="-3"/>
        </w:rPr>
        <w:t xml:space="preserve">hat Total Environmental Solutions, Inc. – Treasure Lake Wastewater Division is hereby authorized to file tariffs, tariff supplements, or tariff revisions containing rates, rules and regulations, </w:t>
      </w:r>
      <w:r w:rsidR="0091759D" w:rsidRPr="00B2003C">
        <w:rPr>
          <w:spacing w:val="-3"/>
        </w:rPr>
        <w:t xml:space="preserve">consistent with the Joint Petition for Settlement of Rate Investigation filed by Total Environmental Solutions, Inc., the Office of Trial Staff, and the Office of Consumer Advocate, to produce </w:t>
      </w:r>
      <w:r w:rsidR="009B4A7E">
        <w:rPr>
          <w:spacing w:val="-3"/>
        </w:rPr>
        <w:t xml:space="preserve">an increase in </w:t>
      </w:r>
      <w:r w:rsidR="0091759D" w:rsidRPr="00B2003C">
        <w:rPr>
          <w:spacing w:val="-3"/>
        </w:rPr>
        <w:t>total annual operating revenues of</w:t>
      </w:r>
      <w:r w:rsidR="009B4A7E">
        <w:rPr>
          <w:spacing w:val="-3"/>
        </w:rPr>
        <w:t xml:space="preserve"> $105,059, </w:t>
      </w:r>
      <w:r w:rsidR="0091759D" w:rsidRPr="00B2003C">
        <w:rPr>
          <w:spacing w:val="-3"/>
        </w:rPr>
        <w:t xml:space="preserve">not </w:t>
      </w:r>
      <w:r w:rsidR="009B4A7E">
        <w:rPr>
          <w:spacing w:val="-3"/>
        </w:rPr>
        <w:t xml:space="preserve">to exceed </w:t>
      </w:r>
      <w:r w:rsidR="002A4716">
        <w:rPr>
          <w:spacing w:val="-3"/>
        </w:rPr>
        <w:t xml:space="preserve">a total annual operating revenue </w:t>
      </w:r>
      <w:r w:rsidR="0091759D" w:rsidRPr="00B2003C">
        <w:rPr>
          <w:spacing w:val="-3"/>
        </w:rPr>
        <w:t>of $1,153,842.</w:t>
      </w:r>
    </w:p>
    <w:p w:rsidR="00E019A1" w:rsidRPr="006C18D3" w:rsidRDefault="00E019A1" w:rsidP="00B2003C">
      <w:pPr>
        <w:tabs>
          <w:tab w:val="left" w:pos="-720"/>
        </w:tabs>
        <w:suppressAutoHyphens/>
        <w:rPr>
          <w:spacing w:val="-3"/>
        </w:rPr>
      </w:pPr>
    </w:p>
    <w:p w:rsidR="00E019A1" w:rsidRDefault="00B2003C" w:rsidP="00E16DAB">
      <w:pPr>
        <w:pStyle w:val="ListParagraph"/>
        <w:numPr>
          <w:ilvl w:val="0"/>
          <w:numId w:val="30"/>
        </w:numPr>
        <w:tabs>
          <w:tab w:val="left" w:pos="-720"/>
        </w:tabs>
        <w:suppressAutoHyphens/>
        <w:ind w:left="0" w:firstLine="1440"/>
      </w:pPr>
      <w:r>
        <w:t>T</w:t>
      </w:r>
      <w:r w:rsidR="00E019A1">
        <w:t xml:space="preserve">hat Total Environmental Solutions, Inc. – Treasure Lake </w:t>
      </w:r>
      <w:r w:rsidR="00E019A1" w:rsidRPr="006C18D3">
        <w:t xml:space="preserve">Wastewater </w:t>
      </w:r>
      <w:r w:rsidR="00E019A1">
        <w:t xml:space="preserve">Division </w:t>
      </w:r>
      <w:r w:rsidR="00E019A1" w:rsidRPr="006C18D3">
        <w:t>shall file detailed calculations with its tariff filing</w:t>
      </w:r>
      <w:r w:rsidR="003D2700">
        <w:t>s</w:t>
      </w:r>
      <w:r w:rsidR="00E019A1" w:rsidRPr="006C18D3">
        <w:t>, which shall demonstrate to this Commission's satisfaction that the filed rates comply with the proof of revenue, in the form and manner customarily filed in support of compliance tariffs.</w:t>
      </w:r>
    </w:p>
    <w:p w:rsidR="00483658" w:rsidRDefault="00483658" w:rsidP="00B2003C">
      <w:pPr>
        <w:tabs>
          <w:tab w:val="left" w:pos="-720"/>
        </w:tabs>
        <w:suppressAutoHyphens/>
        <w:rPr>
          <w:spacing w:val="-3"/>
        </w:rPr>
      </w:pPr>
    </w:p>
    <w:p w:rsidR="00E019A1" w:rsidRPr="00B2003C" w:rsidRDefault="00E019A1" w:rsidP="00E16DAB">
      <w:pPr>
        <w:pStyle w:val="ListParagraph"/>
        <w:numPr>
          <w:ilvl w:val="0"/>
          <w:numId w:val="30"/>
        </w:numPr>
        <w:tabs>
          <w:tab w:val="left" w:pos="-720"/>
        </w:tabs>
        <w:suppressAutoHyphens/>
        <w:ind w:left="0" w:firstLine="1440"/>
        <w:rPr>
          <w:spacing w:val="-3"/>
        </w:rPr>
      </w:pPr>
      <w:r w:rsidRPr="00B2003C">
        <w:rPr>
          <w:spacing w:val="-3"/>
        </w:rPr>
        <w:t>That Total Environmental Solutions, Inc. –</w:t>
      </w:r>
      <w:r w:rsidR="00224C6B">
        <w:rPr>
          <w:spacing w:val="-3"/>
        </w:rPr>
        <w:t xml:space="preserve"> </w:t>
      </w:r>
      <w:r w:rsidRPr="00B2003C">
        <w:rPr>
          <w:spacing w:val="-3"/>
        </w:rPr>
        <w:t xml:space="preserve">Treasure Lake Wastewater Division’s tariffs, tariff supplements, or tariff revisions may be filed upon less than statutory notice and, pursuant to the provisions of 52 Pa. Code §§ 53.31 and 53.101, may be filed to be effective for service rendered on and after the date of entry of </w:t>
      </w:r>
      <w:r w:rsidR="006D78A9" w:rsidRPr="00B2003C">
        <w:rPr>
          <w:spacing w:val="-3"/>
        </w:rPr>
        <w:t>this</w:t>
      </w:r>
      <w:r w:rsidRPr="00B2003C">
        <w:rPr>
          <w:spacing w:val="-3"/>
        </w:rPr>
        <w:t xml:space="preserve"> Opinion and Order</w:t>
      </w:r>
      <w:r w:rsidR="00271410">
        <w:rPr>
          <w:spacing w:val="-3"/>
        </w:rPr>
        <w:t>.</w:t>
      </w:r>
    </w:p>
    <w:p w:rsidR="00EF1FD2" w:rsidRPr="006C18D3" w:rsidRDefault="00EF1FD2" w:rsidP="00B2003C">
      <w:pPr>
        <w:tabs>
          <w:tab w:val="left" w:pos="-720"/>
        </w:tabs>
        <w:suppressAutoHyphens/>
        <w:rPr>
          <w:spacing w:val="-3"/>
        </w:rPr>
      </w:pPr>
    </w:p>
    <w:p w:rsidR="009D2CC4" w:rsidRPr="00B2003C" w:rsidRDefault="009D2CC4" w:rsidP="00E16DAB">
      <w:pPr>
        <w:pStyle w:val="ListParagraph"/>
        <w:numPr>
          <w:ilvl w:val="0"/>
          <w:numId w:val="30"/>
        </w:numPr>
        <w:ind w:left="0" w:firstLine="1440"/>
        <w:rPr>
          <w:spacing w:val="-3"/>
        </w:rPr>
      </w:pPr>
      <w:r w:rsidRPr="006C18D3">
        <w:t xml:space="preserve">That the </w:t>
      </w:r>
      <w:r>
        <w:t>C</w:t>
      </w:r>
      <w:r w:rsidRPr="006C18D3">
        <w:t>omplaints filed by the Office of Consumer Advocate</w:t>
      </w:r>
      <w:r>
        <w:t>, docketed at C-2010-2191449 and C-2010-2191421</w:t>
      </w:r>
      <w:r w:rsidRPr="006C18D3">
        <w:t xml:space="preserve"> are sustained to the extent consistent with this Opinion and Order, and oth</w:t>
      </w:r>
      <w:r>
        <w:t>erwise, are denied and dismissed</w:t>
      </w:r>
      <w:r w:rsidRPr="006C18D3">
        <w:t xml:space="preserve">.  </w:t>
      </w:r>
    </w:p>
    <w:p w:rsidR="009D2CC4" w:rsidRDefault="009D2CC4" w:rsidP="00B2003C">
      <w:pPr>
        <w:rPr>
          <w:spacing w:val="-3"/>
        </w:rPr>
      </w:pPr>
    </w:p>
    <w:p w:rsidR="009D2CC4" w:rsidRDefault="009D2CC4" w:rsidP="00E16DAB">
      <w:pPr>
        <w:pStyle w:val="BodyText2"/>
        <w:numPr>
          <w:ilvl w:val="0"/>
          <w:numId w:val="30"/>
        </w:numPr>
        <w:spacing w:after="0" w:line="360" w:lineRule="auto"/>
        <w:ind w:left="0" w:firstLine="1440"/>
        <w:rPr>
          <w:sz w:val="26"/>
        </w:rPr>
      </w:pPr>
      <w:r>
        <w:rPr>
          <w:sz w:val="26"/>
        </w:rPr>
        <w:t>That the following C</w:t>
      </w:r>
      <w:r w:rsidRPr="006C18D3">
        <w:rPr>
          <w:sz w:val="26"/>
        </w:rPr>
        <w:t>omplaints are sustained to the extent consistent with this Opinion and Order, and otherwise, are denied and dismissed:</w:t>
      </w:r>
    </w:p>
    <w:p w:rsidR="00271410" w:rsidRDefault="00271410" w:rsidP="003B029C">
      <w:pPr>
        <w:pStyle w:val="BodyText2"/>
        <w:spacing w:after="80" w:line="240" w:lineRule="auto"/>
        <w:ind w:left="1440"/>
        <w:rPr>
          <w:sz w:val="26"/>
        </w:rPr>
      </w:pP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a.</w:t>
      </w:r>
      <w:r w:rsidRPr="009A5E95">
        <w:rPr>
          <w:sz w:val="26"/>
          <w:szCs w:val="26"/>
        </w:rPr>
        <w:tab/>
        <w:t>Loren</w:t>
      </w:r>
      <w:proofErr w:type="gramEnd"/>
      <w:r w:rsidRPr="009A5E95">
        <w:rPr>
          <w:sz w:val="26"/>
          <w:szCs w:val="26"/>
        </w:rPr>
        <w:t xml:space="preserve"> Bishop at C-2010-2193074 (water) and C</w:t>
      </w:r>
      <w:r w:rsidRPr="009A5E95">
        <w:rPr>
          <w:sz w:val="26"/>
          <w:szCs w:val="26"/>
        </w:rPr>
        <w:noBreakHyphen/>
        <w:t>2010-2193057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b</w:t>
      </w:r>
      <w:proofErr w:type="gramEnd"/>
      <w:r w:rsidRPr="009A5E95">
        <w:rPr>
          <w:sz w:val="26"/>
          <w:szCs w:val="26"/>
        </w:rPr>
        <w:t>.</w:t>
      </w:r>
      <w:r w:rsidRPr="009A5E95">
        <w:rPr>
          <w:sz w:val="26"/>
          <w:szCs w:val="26"/>
        </w:rPr>
        <w:tab/>
        <w:t xml:space="preserve">Frank </w:t>
      </w:r>
      <w:proofErr w:type="spellStart"/>
      <w:r w:rsidRPr="009A5E95">
        <w:rPr>
          <w:sz w:val="26"/>
          <w:szCs w:val="26"/>
        </w:rPr>
        <w:t>Calderone</w:t>
      </w:r>
      <w:proofErr w:type="spellEnd"/>
      <w:r w:rsidRPr="009A5E95">
        <w:rPr>
          <w:sz w:val="26"/>
          <w:szCs w:val="26"/>
        </w:rPr>
        <w:t xml:space="preserve"> at C-2010-2196806 (water) and C-2010-2196830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c</w:t>
      </w:r>
      <w:proofErr w:type="gramEnd"/>
      <w:r w:rsidRPr="009A5E95">
        <w:rPr>
          <w:sz w:val="26"/>
          <w:szCs w:val="26"/>
        </w:rPr>
        <w:t>.</w:t>
      </w:r>
      <w:r w:rsidRPr="009A5E95">
        <w:rPr>
          <w:sz w:val="26"/>
          <w:szCs w:val="26"/>
        </w:rPr>
        <w:tab/>
        <w:t xml:space="preserve">Kathy </w:t>
      </w:r>
      <w:proofErr w:type="spellStart"/>
      <w:r w:rsidRPr="009A5E95">
        <w:rPr>
          <w:sz w:val="26"/>
          <w:szCs w:val="26"/>
        </w:rPr>
        <w:t>Demma</w:t>
      </w:r>
      <w:proofErr w:type="spellEnd"/>
      <w:r w:rsidRPr="009A5E95">
        <w:rPr>
          <w:sz w:val="26"/>
          <w:szCs w:val="26"/>
        </w:rPr>
        <w:t xml:space="preserve"> at C-2010-2197651 (water)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lastRenderedPageBreak/>
        <w:t>d.</w:t>
      </w:r>
      <w:r w:rsidRPr="009A5E95">
        <w:rPr>
          <w:sz w:val="26"/>
          <w:szCs w:val="26"/>
        </w:rPr>
        <w:tab/>
        <w:t>James</w:t>
      </w:r>
      <w:proofErr w:type="gramEnd"/>
      <w:r w:rsidRPr="009A5E95">
        <w:rPr>
          <w:sz w:val="26"/>
          <w:szCs w:val="26"/>
        </w:rPr>
        <w:t xml:space="preserve"> Edgar at C-2010-2198815 (water)</w:t>
      </w:r>
    </w:p>
    <w:p w:rsidR="00B2003C" w:rsidRPr="009A5E95" w:rsidRDefault="00B2003C" w:rsidP="00254E93">
      <w:pPr>
        <w:pStyle w:val="BodyText2"/>
        <w:spacing w:after="200" w:line="240" w:lineRule="auto"/>
        <w:ind w:left="2160" w:hanging="720"/>
        <w:rPr>
          <w:sz w:val="26"/>
          <w:szCs w:val="26"/>
        </w:rPr>
      </w:pPr>
      <w:r w:rsidRPr="009A5E95">
        <w:rPr>
          <w:sz w:val="26"/>
          <w:szCs w:val="26"/>
        </w:rPr>
        <w:t>e.</w:t>
      </w:r>
      <w:r w:rsidRPr="009A5E95">
        <w:rPr>
          <w:sz w:val="26"/>
          <w:szCs w:val="26"/>
        </w:rPr>
        <w:tab/>
        <w:t>Jeff and Christina Fischer at C-2010-2199226 (water)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f</w:t>
      </w:r>
      <w:proofErr w:type="gramEnd"/>
      <w:r w:rsidRPr="009A5E95">
        <w:rPr>
          <w:sz w:val="26"/>
          <w:szCs w:val="26"/>
        </w:rPr>
        <w:t>.</w:t>
      </w:r>
      <w:r w:rsidRPr="009A5E95">
        <w:rPr>
          <w:sz w:val="26"/>
          <w:szCs w:val="26"/>
        </w:rPr>
        <w:tab/>
        <w:t xml:space="preserve">Ronald </w:t>
      </w:r>
      <w:proofErr w:type="spellStart"/>
      <w:r w:rsidRPr="009A5E95">
        <w:rPr>
          <w:sz w:val="26"/>
          <w:szCs w:val="26"/>
        </w:rPr>
        <w:t>Fonner</w:t>
      </w:r>
      <w:proofErr w:type="spellEnd"/>
      <w:r w:rsidRPr="009A5E95">
        <w:rPr>
          <w:sz w:val="26"/>
          <w:szCs w:val="26"/>
        </w:rPr>
        <w:t xml:space="preserve"> at C-2010-2199974 (water) and C-2010-2199959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g</w:t>
      </w:r>
      <w:proofErr w:type="gramEnd"/>
      <w:r w:rsidRPr="009A5E95">
        <w:rPr>
          <w:sz w:val="26"/>
          <w:szCs w:val="26"/>
        </w:rPr>
        <w:t>.</w:t>
      </w:r>
      <w:r w:rsidRPr="009A5E95">
        <w:rPr>
          <w:sz w:val="26"/>
          <w:szCs w:val="26"/>
        </w:rPr>
        <w:tab/>
        <w:t xml:space="preserve">Eric </w:t>
      </w:r>
      <w:proofErr w:type="spellStart"/>
      <w:r w:rsidRPr="009A5E95">
        <w:rPr>
          <w:sz w:val="26"/>
          <w:szCs w:val="26"/>
        </w:rPr>
        <w:t>Gaber</w:t>
      </w:r>
      <w:proofErr w:type="spellEnd"/>
      <w:r w:rsidRPr="009A5E95">
        <w:rPr>
          <w:sz w:val="26"/>
          <w:szCs w:val="26"/>
        </w:rPr>
        <w:t xml:space="preserve"> at C-2010-2199300 (water) and C-2010-2199313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h</w:t>
      </w:r>
      <w:proofErr w:type="gramEnd"/>
      <w:r w:rsidRPr="009A5E95">
        <w:rPr>
          <w:sz w:val="26"/>
          <w:szCs w:val="26"/>
        </w:rPr>
        <w:t>.</w:t>
      </w:r>
      <w:r w:rsidRPr="009A5E95">
        <w:rPr>
          <w:sz w:val="26"/>
          <w:szCs w:val="26"/>
        </w:rPr>
        <w:tab/>
        <w:t>John Green, Jr. at C-2010-2200580 (water) and C-2010-2200585</w:t>
      </w:r>
    </w:p>
    <w:p w:rsidR="00B2003C" w:rsidRPr="009A5E95" w:rsidRDefault="00B2003C" w:rsidP="00254E93">
      <w:pPr>
        <w:pStyle w:val="BodyText2"/>
        <w:spacing w:after="200" w:line="240" w:lineRule="auto"/>
        <w:ind w:left="2160" w:hanging="720"/>
        <w:rPr>
          <w:sz w:val="26"/>
          <w:szCs w:val="26"/>
        </w:rPr>
      </w:pPr>
      <w:proofErr w:type="spellStart"/>
      <w:proofErr w:type="gramStart"/>
      <w:r w:rsidRPr="009A5E95">
        <w:rPr>
          <w:sz w:val="26"/>
          <w:szCs w:val="26"/>
        </w:rPr>
        <w:t>i</w:t>
      </w:r>
      <w:proofErr w:type="spellEnd"/>
      <w:proofErr w:type="gramEnd"/>
      <w:r w:rsidRPr="009A5E95">
        <w:rPr>
          <w:sz w:val="26"/>
          <w:szCs w:val="26"/>
        </w:rPr>
        <w:t>.</w:t>
      </w:r>
      <w:r w:rsidRPr="009A5E95">
        <w:rPr>
          <w:sz w:val="26"/>
          <w:szCs w:val="26"/>
        </w:rPr>
        <w:tab/>
        <w:t xml:space="preserve">Robert </w:t>
      </w:r>
      <w:proofErr w:type="spellStart"/>
      <w:r w:rsidRPr="009A5E95">
        <w:rPr>
          <w:sz w:val="26"/>
          <w:szCs w:val="26"/>
        </w:rPr>
        <w:t>Heise</w:t>
      </w:r>
      <w:proofErr w:type="spellEnd"/>
      <w:r w:rsidRPr="009A5E95">
        <w:rPr>
          <w:sz w:val="26"/>
          <w:szCs w:val="26"/>
        </w:rPr>
        <w:t xml:space="preserve"> at C-2010-2202304 (water)</w:t>
      </w:r>
    </w:p>
    <w:p w:rsidR="00B2003C" w:rsidRPr="009A5E95" w:rsidRDefault="00B2003C" w:rsidP="00254E93">
      <w:pPr>
        <w:pStyle w:val="BodyText2"/>
        <w:spacing w:after="200" w:line="240" w:lineRule="auto"/>
        <w:ind w:left="2160" w:hanging="720"/>
        <w:rPr>
          <w:sz w:val="26"/>
          <w:szCs w:val="26"/>
        </w:rPr>
      </w:pPr>
      <w:r w:rsidRPr="009A5E95">
        <w:rPr>
          <w:sz w:val="26"/>
          <w:szCs w:val="26"/>
        </w:rPr>
        <w:t>j.</w:t>
      </w:r>
      <w:r w:rsidRPr="009A5E95">
        <w:rPr>
          <w:sz w:val="26"/>
          <w:szCs w:val="26"/>
        </w:rPr>
        <w:tab/>
        <w:t>Thomas and Paula Hixson at C-2010-2192125 (water)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k</w:t>
      </w:r>
      <w:proofErr w:type="gramEnd"/>
      <w:r w:rsidRPr="009A5E95">
        <w:rPr>
          <w:sz w:val="26"/>
          <w:szCs w:val="26"/>
        </w:rPr>
        <w:t>.</w:t>
      </w:r>
      <w:r w:rsidRPr="009A5E95">
        <w:rPr>
          <w:sz w:val="26"/>
          <w:szCs w:val="26"/>
        </w:rPr>
        <w:tab/>
        <w:t xml:space="preserve">Nicole </w:t>
      </w:r>
      <w:proofErr w:type="spellStart"/>
      <w:r w:rsidRPr="009A5E95">
        <w:rPr>
          <w:sz w:val="26"/>
          <w:szCs w:val="26"/>
        </w:rPr>
        <w:t>Horten</w:t>
      </w:r>
      <w:proofErr w:type="spellEnd"/>
      <w:r w:rsidRPr="009A5E95">
        <w:rPr>
          <w:sz w:val="26"/>
          <w:szCs w:val="26"/>
        </w:rPr>
        <w:t xml:space="preserve"> at C-2010-2196268 (water)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l</w:t>
      </w:r>
      <w:proofErr w:type="gramEnd"/>
      <w:r w:rsidRPr="009A5E95">
        <w:rPr>
          <w:sz w:val="26"/>
          <w:szCs w:val="26"/>
        </w:rPr>
        <w:t>.</w:t>
      </w:r>
      <w:r w:rsidRPr="009A5E95">
        <w:rPr>
          <w:sz w:val="26"/>
          <w:szCs w:val="26"/>
        </w:rPr>
        <w:tab/>
        <w:t xml:space="preserve">Calvin Johnston at C-2010-2197991 (water) </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m</w:t>
      </w:r>
      <w:proofErr w:type="gramEnd"/>
      <w:r w:rsidRPr="009A5E95">
        <w:rPr>
          <w:sz w:val="26"/>
          <w:szCs w:val="26"/>
        </w:rPr>
        <w:t>.</w:t>
      </w:r>
      <w:r w:rsidRPr="009A5E95">
        <w:rPr>
          <w:sz w:val="26"/>
          <w:szCs w:val="26"/>
        </w:rPr>
        <w:tab/>
      </w:r>
      <w:proofErr w:type="spellStart"/>
      <w:r w:rsidRPr="009A5E95">
        <w:rPr>
          <w:sz w:val="26"/>
          <w:szCs w:val="26"/>
        </w:rPr>
        <w:t>Terah</w:t>
      </w:r>
      <w:proofErr w:type="spellEnd"/>
      <w:r w:rsidRPr="009A5E95">
        <w:rPr>
          <w:sz w:val="26"/>
          <w:szCs w:val="26"/>
        </w:rPr>
        <w:t xml:space="preserve"> King-</w:t>
      </w:r>
      <w:proofErr w:type="spellStart"/>
      <w:r w:rsidRPr="009A5E95">
        <w:rPr>
          <w:sz w:val="26"/>
          <w:szCs w:val="26"/>
        </w:rPr>
        <w:t>Bussell</w:t>
      </w:r>
      <w:proofErr w:type="spellEnd"/>
      <w:r w:rsidRPr="009A5E95">
        <w:rPr>
          <w:sz w:val="26"/>
          <w:szCs w:val="26"/>
        </w:rPr>
        <w:t xml:space="preserve"> at C-2010-2198627 (water) </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n</w:t>
      </w:r>
      <w:proofErr w:type="gramEnd"/>
      <w:r w:rsidRPr="009A5E95">
        <w:rPr>
          <w:sz w:val="26"/>
          <w:szCs w:val="26"/>
        </w:rPr>
        <w:t>.</w:t>
      </w:r>
      <w:r w:rsidRPr="009A5E95">
        <w:rPr>
          <w:sz w:val="26"/>
          <w:szCs w:val="26"/>
        </w:rPr>
        <w:tab/>
        <w:t>Owen Kirby at C-2010-2200358 (water) and C-2010-2200347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o</w:t>
      </w:r>
      <w:proofErr w:type="gramEnd"/>
      <w:r w:rsidRPr="009A5E95">
        <w:rPr>
          <w:sz w:val="26"/>
          <w:szCs w:val="26"/>
        </w:rPr>
        <w:t>.</w:t>
      </w:r>
      <w:r w:rsidRPr="009A5E95">
        <w:rPr>
          <w:sz w:val="26"/>
          <w:szCs w:val="26"/>
        </w:rPr>
        <w:tab/>
        <w:t xml:space="preserve">Charles </w:t>
      </w:r>
      <w:proofErr w:type="spellStart"/>
      <w:r w:rsidRPr="009A5E95">
        <w:rPr>
          <w:sz w:val="26"/>
          <w:szCs w:val="26"/>
        </w:rPr>
        <w:t>Krouse</w:t>
      </w:r>
      <w:proofErr w:type="spellEnd"/>
      <w:r w:rsidRPr="009A5E95">
        <w:rPr>
          <w:sz w:val="26"/>
          <w:szCs w:val="26"/>
        </w:rPr>
        <w:t xml:space="preserve"> at C-2010-2197698 (water) and C-2010-2197746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p</w:t>
      </w:r>
      <w:proofErr w:type="gramEnd"/>
      <w:r w:rsidRPr="009A5E95">
        <w:rPr>
          <w:sz w:val="26"/>
          <w:szCs w:val="26"/>
        </w:rPr>
        <w:t>.</w:t>
      </w:r>
      <w:r w:rsidRPr="009A5E95">
        <w:rPr>
          <w:sz w:val="26"/>
          <w:szCs w:val="26"/>
        </w:rPr>
        <w:tab/>
        <w:t xml:space="preserve">Marti </w:t>
      </w:r>
      <w:proofErr w:type="spellStart"/>
      <w:r w:rsidRPr="009A5E95">
        <w:rPr>
          <w:sz w:val="26"/>
          <w:szCs w:val="26"/>
        </w:rPr>
        <w:t>Laudato</w:t>
      </w:r>
      <w:proofErr w:type="spellEnd"/>
      <w:r w:rsidRPr="009A5E95">
        <w:rPr>
          <w:sz w:val="26"/>
          <w:szCs w:val="26"/>
        </w:rPr>
        <w:t xml:space="preserve"> at C-2010-2204166 (water) and C-2010-2204214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q.</w:t>
      </w:r>
      <w:r w:rsidRPr="009A5E95">
        <w:rPr>
          <w:sz w:val="26"/>
          <w:szCs w:val="26"/>
        </w:rPr>
        <w:tab/>
        <w:t>Linda</w:t>
      </w:r>
      <w:proofErr w:type="gramEnd"/>
      <w:r w:rsidRPr="009A5E95">
        <w:rPr>
          <w:sz w:val="26"/>
          <w:szCs w:val="26"/>
        </w:rPr>
        <w:t xml:space="preserve"> Lynn at C-2010-2200593 (water) and C-2010-2200761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r</w:t>
      </w:r>
      <w:proofErr w:type="gramEnd"/>
      <w:r w:rsidRPr="009A5E95">
        <w:rPr>
          <w:sz w:val="26"/>
          <w:szCs w:val="26"/>
        </w:rPr>
        <w:t>.</w:t>
      </w:r>
      <w:r w:rsidRPr="009A5E95">
        <w:rPr>
          <w:sz w:val="26"/>
          <w:szCs w:val="26"/>
        </w:rPr>
        <w:tab/>
        <w:t xml:space="preserve">Michael </w:t>
      </w:r>
      <w:proofErr w:type="spellStart"/>
      <w:r w:rsidRPr="009A5E95">
        <w:rPr>
          <w:sz w:val="26"/>
          <w:szCs w:val="26"/>
        </w:rPr>
        <w:t>McConville</w:t>
      </w:r>
      <w:proofErr w:type="spellEnd"/>
      <w:r w:rsidRPr="009A5E95">
        <w:rPr>
          <w:sz w:val="26"/>
          <w:szCs w:val="26"/>
        </w:rPr>
        <w:t xml:space="preserve"> at C-2010-2197667 (water) </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s</w:t>
      </w:r>
      <w:proofErr w:type="gramEnd"/>
      <w:r w:rsidRPr="009A5E95">
        <w:rPr>
          <w:sz w:val="26"/>
          <w:szCs w:val="26"/>
        </w:rPr>
        <w:t>.</w:t>
      </w:r>
      <w:r w:rsidRPr="009A5E95">
        <w:rPr>
          <w:sz w:val="26"/>
          <w:szCs w:val="26"/>
        </w:rPr>
        <w:tab/>
        <w:t xml:space="preserve">Frank </w:t>
      </w:r>
      <w:proofErr w:type="spellStart"/>
      <w:r w:rsidRPr="009A5E95">
        <w:rPr>
          <w:sz w:val="26"/>
          <w:szCs w:val="26"/>
        </w:rPr>
        <w:t>Meisner</w:t>
      </w:r>
      <w:proofErr w:type="spellEnd"/>
      <w:r w:rsidRPr="009A5E95">
        <w:rPr>
          <w:sz w:val="26"/>
          <w:szCs w:val="26"/>
        </w:rPr>
        <w:t xml:space="preserve"> at C-2010-2199239 (water) </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t</w:t>
      </w:r>
      <w:proofErr w:type="gramEnd"/>
      <w:r w:rsidRPr="009A5E95">
        <w:rPr>
          <w:sz w:val="26"/>
          <w:szCs w:val="26"/>
        </w:rPr>
        <w:t>.</w:t>
      </w:r>
      <w:r w:rsidRPr="009A5E95">
        <w:rPr>
          <w:sz w:val="26"/>
          <w:szCs w:val="26"/>
        </w:rPr>
        <w:tab/>
        <w:t xml:space="preserve">Donald </w:t>
      </w:r>
      <w:proofErr w:type="spellStart"/>
      <w:r w:rsidRPr="009A5E95">
        <w:rPr>
          <w:sz w:val="26"/>
          <w:szCs w:val="26"/>
        </w:rPr>
        <w:t>Mizner</w:t>
      </w:r>
      <w:proofErr w:type="spellEnd"/>
      <w:r w:rsidRPr="009A5E95">
        <w:rPr>
          <w:sz w:val="26"/>
          <w:szCs w:val="26"/>
        </w:rPr>
        <w:t xml:space="preserve"> at C-2010-2199286 (water) and C-2010-2199271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u</w:t>
      </w:r>
      <w:proofErr w:type="gramEnd"/>
      <w:r w:rsidRPr="009A5E95">
        <w:rPr>
          <w:sz w:val="26"/>
          <w:szCs w:val="26"/>
        </w:rPr>
        <w:t>.</w:t>
      </w:r>
      <w:r w:rsidRPr="009A5E95">
        <w:rPr>
          <w:sz w:val="26"/>
          <w:szCs w:val="26"/>
        </w:rPr>
        <w:tab/>
        <w:t>Donald Moore at C-2010-2200006 (water) and C-2010-2199961 (wastewater)</w:t>
      </w:r>
    </w:p>
    <w:p w:rsidR="00B2003C" w:rsidRPr="009A5E95" w:rsidRDefault="00B2003C" w:rsidP="00254E93">
      <w:pPr>
        <w:pStyle w:val="BodyText2"/>
        <w:spacing w:after="200" w:line="240" w:lineRule="auto"/>
        <w:ind w:left="2160" w:hanging="720"/>
        <w:rPr>
          <w:sz w:val="26"/>
          <w:szCs w:val="26"/>
        </w:rPr>
      </w:pPr>
      <w:r w:rsidRPr="009A5E95">
        <w:rPr>
          <w:sz w:val="26"/>
          <w:szCs w:val="26"/>
        </w:rPr>
        <w:t>v.</w:t>
      </w:r>
      <w:r w:rsidRPr="009A5E95">
        <w:rPr>
          <w:sz w:val="26"/>
          <w:szCs w:val="26"/>
        </w:rPr>
        <w:tab/>
        <w:t xml:space="preserve">Henry and </w:t>
      </w:r>
      <w:proofErr w:type="spellStart"/>
      <w:r w:rsidRPr="009A5E95">
        <w:rPr>
          <w:sz w:val="26"/>
          <w:szCs w:val="26"/>
        </w:rPr>
        <w:t>Vonna</w:t>
      </w:r>
      <w:proofErr w:type="spellEnd"/>
      <w:r w:rsidRPr="009A5E95">
        <w:rPr>
          <w:sz w:val="26"/>
          <w:szCs w:val="26"/>
        </w:rPr>
        <w:t xml:space="preserve"> Myers at C-2010-2192551 (water)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 xml:space="preserve">w. </w:t>
      </w:r>
      <w:r w:rsidRPr="009A5E95">
        <w:rPr>
          <w:sz w:val="26"/>
          <w:szCs w:val="26"/>
        </w:rPr>
        <w:tab/>
        <w:t>Ronald</w:t>
      </w:r>
      <w:proofErr w:type="gramEnd"/>
      <w:r w:rsidRPr="009A5E95">
        <w:rPr>
          <w:sz w:val="26"/>
          <w:szCs w:val="26"/>
        </w:rPr>
        <w:t xml:space="preserve"> Neely at C-2010-2199234 (water)</w:t>
      </w:r>
    </w:p>
    <w:p w:rsidR="00B2003C" w:rsidRPr="009A5E95" w:rsidRDefault="00B2003C" w:rsidP="00254E93">
      <w:pPr>
        <w:pStyle w:val="BodyText2"/>
        <w:spacing w:after="200" w:line="240" w:lineRule="auto"/>
        <w:ind w:left="2160" w:hanging="720"/>
        <w:rPr>
          <w:sz w:val="26"/>
          <w:szCs w:val="26"/>
        </w:rPr>
      </w:pPr>
      <w:r w:rsidRPr="009A5E95">
        <w:rPr>
          <w:sz w:val="26"/>
          <w:szCs w:val="26"/>
        </w:rPr>
        <w:lastRenderedPageBreak/>
        <w:t>x.</w:t>
      </w:r>
      <w:r w:rsidRPr="009A5E95">
        <w:rPr>
          <w:sz w:val="26"/>
          <w:szCs w:val="26"/>
        </w:rPr>
        <w:tab/>
        <w:t xml:space="preserve">Gary and Sandra Neiman at C-2010-2200533 (water) and </w:t>
      </w:r>
      <w:r w:rsidRPr="009A5E95">
        <w:rPr>
          <w:sz w:val="26"/>
          <w:szCs w:val="26"/>
        </w:rPr>
        <w:br/>
        <w:t>C-2010-2200536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y</w:t>
      </w:r>
      <w:proofErr w:type="gramEnd"/>
      <w:r w:rsidRPr="009A5E95">
        <w:rPr>
          <w:sz w:val="26"/>
          <w:szCs w:val="26"/>
        </w:rPr>
        <w:t>.</w:t>
      </w:r>
      <w:r w:rsidRPr="009A5E95">
        <w:rPr>
          <w:sz w:val="26"/>
          <w:szCs w:val="26"/>
        </w:rPr>
        <w:tab/>
        <w:t>Gilbert Piazza at C-2010-2198198 (water) and C-2010-2198194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z</w:t>
      </w:r>
      <w:proofErr w:type="gramEnd"/>
      <w:r w:rsidRPr="009A5E95">
        <w:rPr>
          <w:sz w:val="26"/>
          <w:szCs w:val="26"/>
        </w:rPr>
        <w:t>.</w:t>
      </w:r>
      <w:r w:rsidRPr="009A5E95">
        <w:rPr>
          <w:sz w:val="26"/>
          <w:szCs w:val="26"/>
        </w:rPr>
        <w:tab/>
        <w:t xml:space="preserve">Nancy </w:t>
      </w:r>
      <w:proofErr w:type="spellStart"/>
      <w:r w:rsidRPr="009A5E95">
        <w:rPr>
          <w:sz w:val="26"/>
          <w:szCs w:val="26"/>
        </w:rPr>
        <w:t>Poy</w:t>
      </w:r>
      <w:proofErr w:type="spellEnd"/>
      <w:r w:rsidRPr="009A5E95">
        <w:rPr>
          <w:sz w:val="26"/>
          <w:szCs w:val="26"/>
        </w:rPr>
        <w:t xml:space="preserve"> at C-2010-2204406 (water) </w:t>
      </w:r>
    </w:p>
    <w:p w:rsidR="00B2003C" w:rsidRPr="009A5E95" w:rsidRDefault="00B2003C" w:rsidP="00254E93">
      <w:pPr>
        <w:pStyle w:val="BodyText2"/>
        <w:spacing w:after="200" w:line="240" w:lineRule="auto"/>
        <w:ind w:left="2160" w:hanging="720"/>
        <w:rPr>
          <w:sz w:val="26"/>
          <w:szCs w:val="26"/>
        </w:rPr>
      </w:pPr>
      <w:proofErr w:type="spellStart"/>
      <w:proofErr w:type="gramStart"/>
      <w:r w:rsidRPr="009A5E95">
        <w:rPr>
          <w:sz w:val="26"/>
          <w:szCs w:val="26"/>
        </w:rPr>
        <w:t>aa</w:t>
      </w:r>
      <w:proofErr w:type="spellEnd"/>
      <w:proofErr w:type="gramEnd"/>
      <w:r w:rsidRPr="009A5E95">
        <w:rPr>
          <w:sz w:val="26"/>
          <w:szCs w:val="26"/>
        </w:rPr>
        <w:t>.</w:t>
      </w:r>
      <w:r w:rsidRPr="009A5E95">
        <w:rPr>
          <w:sz w:val="26"/>
          <w:szCs w:val="26"/>
        </w:rPr>
        <w:tab/>
        <w:t xml:space="preserve">Gerald and Barbara Ralston at C-2010-2198702 (water) and </w:t>
      </w:r>
      <w:r w:rsidRPr="009A5E95">
        <w:rPr>
          <w:sz w:val="26"/>
          <w:szCs w:val="26"/>
        </w:rPr>
        <w:br/>
        <w:t>C-2010-2198807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bb</w:t>
      </w:r>
      <w:proofErr w:type="gramEnd"/>
      <w:r w:rsidRPr="009A5E95">
        <w:rPr>
          <w:sz w:val="26"/>
          <w:szCs w:val="26"/>
        </w:rPr>
        <w:t>.</w:t>
      </w:r>
      <w:r w:rsidRPr="009A5E95">
        <w:rPr>
          <w:sz w:val="26"/>
          <w:szCs w:val="26"/>
        </w:rPr>
        <w:tab/>
        <w:t xml:space="preserve">Anthony </w:t>
      </w:r>
      <w:proofErr w:type="spellStart"/>
      <w:r w:rsidRPr="009A5E95">
        <w:rPr>
          <w:sz w:val="26"/>
          <w:szCs w:val="26"/>
        </w:rPr>
        <w:t>Raspatello</w:t>
      </w:r>
      <w:proofErr w:type="spellEnd"/>
      <w:r w:rsidRPr="009A5E95">
        <w:rPr>
          <w:sz w:val="26"/>
          <w:szCs w:val="26"/>
        </w:rPr>
        <w:t xml:space="preserve"> at C-2010-2197971 (water)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cc</w:t>
      </w:r>
      <w:proofErr w:type="gramEnd"/>
      <w:r w:rsidRPr="009A5E95">
        <w:rPr>
          <w:sz w:val="26"/>
          <w:szCs w:val="26"/>
        </w:rPr>
        <w:t>.</w:t>
      </w:r>
      <w:r w:rsidRPr="009A5E95">
        <w:rPr>
          <w:sz w:val="26"/>
          <w:szCs w:val="26"/>
        </w:rPr>
        <w:tab/>
        <w:t>David Read at C-2010-2209392 (water)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dd</w:t>
      </w:r>
      <w:proofErr w:type="gramEnd"/>
      <w:r w:rsidRPr="009A5E95">
        <w:rPr>
          <w:sz w:val="26"/>
          <w:szCs w:val="26"/>
        </w:rPr>
        <w:t>.</w:t>
      </w:r>
      <w:r w:rsidRPr="009A5E95">
        <w:rPr>
          <w:sz w:val="26"/>
          <w:szCs w:val="26"/>
        </w:rPr>
        <w:tab/>
        <w:t>Jennifer Reichert at C-2010-2204443 (water)</w:t>
      </w:r>
    </w:p>
    <w:p w:rsidR="00B2003C" w:rsidRPr="009A5E95" w:rsidRDefault="00B2003C" w:rsidP="00254E93">
      <w:pPr>
        <w:pStyle w:val="BodyText2"/>
        <w:spacing w:after="200" w:line="240" w:lineRule="auto"/>
        <w:ind w:left="2160" w:hanging="720"/>
        <w:rPr>
          <w:sz w:val="26"/>
          <w:szCs w:val="26"/>
        </w:rPr>
      </w:pPr>
      <w:proofErr w:type="spellStart"/>
      <w:proofErr w:type="gramStart"/>
      <w:r w:rsidRPr="009A5E95">
        <w:rPr>
          <w:sz w:val="26"/>
          <w:szCs w:val="26"/>
        </w:rPr>
        <w:t>ee</w:t>
      </w:r>
      <w:proofErr w:type="spellEnd"/>
      <w:proofErr w:type="gramEnd"/>
      <w:r w:rsidRPr="009A5E95">
        <w:rPr>
          <w:sz w:val="26"/>
          <w:szCs w:val="26"/>
        </w:rPr>
        <w:t>.</w:t>
      </w:r>
      <w:r w:rsidRPr="009A5E95">
        <w:rPr>
          <w:sz w:val="26"/>
          <w:szCs w:val="26"/>
        </w:rPr>
        <w:tab/>
        <w:t xml:space="preserve">Debra </w:t>
      </w:r>
      <w:proofErr w:type="spellStart"/>
      <w:r w:rsidRPr="009A5E95">
        <w:rPr>
          <w:sz w:val="26"/>
          <w:szCs w:val="26"/>
        </w:rPr>
        <w:t>Rhed</w:t>
      </w:r>
      <w:proofErr w:type="spellEnd"/>
      <w:r w:rsidRPr="009A5E95">
        <w:rPr>
          <w:sz w:val="26"/>
          <w:szCs w:val="26"/>
        </w:rPr>
        <w:t xml:space="preserve"> at C-2010-2201825 (water) and C-2010-2201849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ff</w:t>
      </w:r>
      <w:proofErr w:type="gramEnd"/>
      <w:r w:rsidRPr="009A5E95">
        <w:rPr>
          <w:sz w:val="26"/>
          <w:szCs w:val="26"/>
        </w:rPr>
        <w:t>.</w:t>
      </w:r>
      <w:r w:rsidRPr="009A5E95">
        <w:rPr>
          <w:sz w:val="26"/>
          <w:szCs w:val="26"/>
        </w:rPr>
        <w:tab/>
        <w:t xml:space="preserve">James &amp; Lisa Rittenhouse at C-2010-2204304 (water) and </w:t>
      </w:r>
      <w:r w:rsidRPr="009A5E95">
        <w:rPr>
          <w:sz w:val="26"/>
          <w:szCs w:val="26"/>
        </w:rPr>
        <w:br/>
        <w:t>C-2010-2204308 (wastewater)</w:t>
      </w:r>
    </w:p>
    <w:p w:rsidR="00B2003C" w:rsidRPr="009A5E95" w:rsidRDefault="00B2003C" w:rsidP="00254E93">
      <w:pPr>
        <w:pStyle w:val="BodyText2"/>
        <w:spacing w:after="200" w:line="240" w:lineRule="auto"/>
        <w:ind w:left="2160" w:hanging="720"/>
        <w:rPr>
          <w:sz w:val="26"/>
          <w:szCs w:val="26"/>
        </w:rPr>
      </w:pPr>
      <w:proofErr w:type="spellStart"/>
      <w:proofErr w:type="gramStart"/>
      <w:r w:rsidRPr="009A5E95">
        <w:rPr>
          <w:sz w:val="26"/>
          <w:szCs w:val="26"/>
        </w:rPr>
        <w:t>gg</w:t>
      </w:r>
      <w:proofErr w:type="spellEnd"/>
      <w:proofErr w:type="gramEnd"/>
      <w:r w:rsidRPr="009A5E95">
        <w:rPr>
          <w:sz w:val="26"/>
          <w:szCs w:val="26"/>
        </w:rPr>
        <w:t>.</w:t>
      </w:r>
      <w:r w:rsidRPr="009A5E95">
        <w:rPr>
          <w:sz w:val="26"/>
          <w:szCs w:val="26"/>
        </w:rPr>
        <w:tab/>
        <w:t xml:space="preserve">Marie Russell at C-2010-2198822 (water) </w:t>
      </w:r>
    </w:p>
    <w:p w:rsidR="00B2003C" w:rsidRPr="009A5E95" w:rsidRDefault="00B2003C" w:rsidP="00254E93">
      <w:pPr>
        <w:pStyle w:val="BodyText2"/>
        <w:spacing w:after="200" w:line="240" w:lineRule="auto"/>
        <w:ind w:left="2160" w:hanging="720"/>
        <w:rPr>
          <w:sz w:val="26"/>
          <w:szCs w:val="26"/>
        </w:rPr>
      </w:pPr>
      <w:proofErr w:type="spellStart"/>
      <w:proofErr w:type="gramStart"/>
      <w:r w:rsidRPr="009A5E95">
        <w:rPr>
          <w:sz w:val="26"/>
          <w:szCs w:val="26"/>
        </w:rPr>
        <w:t>hh</w:t>
      </w:r>
      <w:proofErr w:type="spellEnd"/>
      <w:proofErr w:type="gramEnd"/>
      <w:r w:rsidRPr="009A5E95">
        <w:rPr>
          <w:sz w:val="26"/>
          <w:szCs w:val="26"/>
        </w:rPr>
        <w:t>.</w:t>
      </w:r>
      <w:r w:rsidRPr="009A5E95">
        <w:rPr>
          <w:sz w:val="26"/>
          <w:szCs w:val="26"/>
        </w:rPr>
        <w:tab/>
        <w:t xml:space="preserve">Shirley </w:t>
      </w:r>
      <w:proofErr w:type="spellStart"/>
      <w:r w:rsidRPr="009A5E95">
        <w:rPr>
          <w:sz w:val="26"/>
          <w:szCs w:val="26"/>
        </w:rPr>
        <w:t>Ruttinger</w:t>
      </w:r>
      <w:proofErr w:type="spellEnd"/>
      <w:r w:rsidRPr="009A5E95">
        <w:rPr>
          <w:sz w:val="26"/>
          <w:szCs w:val="26"/>
        </w:rPr>
        <w:t xml:space="preserve"> at C-2010-2204105 (water) and C-2010-2204103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ii</w:t>
      </w:r>
      <w:proofErr w:type="gramEnd"/>
      <w:r w:rsidRPr="009A5E95">
        <w:rPr>
          <w:sz w:val="26"/>
          <w:szCs w:val="26"/>
        </w:rPr>
        <w:t>.</w:t>
      </w:r>
      <w:r w:rsidRPr="009A5E95">
        <w:rPr>
          <w:sz w:val="26"/>
          <w:szCs w:val="26"/>
        </w:rPr>
        <w:tab/>
        <w:t xml:space="preserve">Timothy </w:t>
      </w:r>
      <w:proofErr w:type="spellStart"/>
      <w:r w:rsidRPr="009A5E95">
        <w:rPr>
          <w:sz w:val="26"/>
          <w:szCs w:val="26"/>
        </w:rPr>
        <w:t>Ruttinger</w:t>
      </w:r>
      <w:proofErr w:type="spellEnd"/>
      <w:r w:rsidRPr="009A5E95">
        <w:rPr>
          <w:sz w:val="26"/>
          <w:szCs w:val="26"/>
        </w:rPr>
        <w:t xml:space="preserve"> at C-2010-2204160 (water) and C-2010-2204217 (wastewater)</w:t>
      </w:r>
    </w:p>
    <w:p w:rsidR="00B2003C" w:rsidRPr="009A5E95" w:rsidRDefault="00B2003C" w:rsidP="00254E93">
      <w:pPr>
        <w:pStyle w:val="BodyText2"/>
        <w:spacing w:after="200" w:line="240" w:lineRule="auto"/>
        <w:ind w:left="2160" w:hanging="720"/>
        <w:rPr>
          <w:sz w:val="26"/>
          <w:szCs w:val="26"/>
        </w:rPr>
      </w:pPr>
      <w:proofErr w:type="spellStart"/>
      <w:proofErr w:type="gramStart"/>
      <w:r w:rsidRPr="009A5E95">
        <w:rPr>
          <w:sz w:val="26"/>
          <w:szCs w:val="26"/>
        </w:rPr>
        <w:t>jj</w:t>
      </w:r>
      <w:proofErr w:type="spellEnd"/>
      <w:proofErr w:type="gramEnd"/>
      <w:r w:rsidRPr="009A5E95">
        <w:rPr>
          <w:sz w:val="26"/>
          <w:szCs w:val="26"/>
        </w:rPr>
        <w:t>.</w:t>
      </w:r>
      <w:r w:rsidRPr="009A5E95">
        <w:rPr>
          <w:sz w:val="26"/>
          <w:szCs w:val="26"/>
        </w:rPr>
        <w:tab/>
        <w:t xml:space="preserve">Gary Schneider at C-2010-2200430 (water) </w:t>
      </w:r>
    </w:p>
    <w:p w:rsidR="00B2003C" w:rsidRPr="009A5E95" w:rsidRDefault="00B2003C" w:rsidP="00254E93">
      <w:pPr>
        <w:pStyle w:val="BodyText2"/>
        <w:spacing w:after="200" w:line="240" w:lineRule="auto"/>
        <w:ind w:left="2160" w:hanging="720"/>
        <w:rPr>
          <w:sz w:val="26"/>
          <w:szCs w:val="26"/>
        </w:rPr>
      </w:pPr>
      <w:proofErr w:type="spellStart"/>
      <w:proofErr w:type="gramStart"/>
      <w:r w:rsidRPr="009A5E95">
        <w:rPr>
          <w:sz w:val="26"/>
          <w:szCs w:val="26"/>
        </w:rPr>
        <w:t>kk</w:t>
      </w:r>
      <w:proofErr w:type="spellEnd"/>
      <w:proofErr w:type="gramEnd"/>
      <w:r w:rsidRPr="009A5E95">
        <w:rPr>
          <w:sz w:val="26"/>
          <w:szCs w:val="26"/>
        </w:rPr>
        <w:t>.</w:t>
      </w:r>
      <w:r w:rsidRPr="009A5E95">
        <w:rPr>
          <w:sz w:val="26"/>
          <w:szCs w:val="26"/>
        </w:rPr>
        <w:tab/>
        <w:t xml:space="preserve">William </w:t>
      </w:r>
      <w:proofErr w:type="spellStart"/>
      <w:r w:rsidRPr="009A5E95">
        <w:rPr>
          <w:sz w:val="26"/>
          <w:szCs w:val="26"/>
        </w:rPr>
        <w:t>Shugarts</w:t>
      </w:r>
      <w:proofErr w:type="spellEnd"/>
      <w:r w:rsidRPr="009A5E95">
        <w:rPr>
          <w:sz w:val="26"/>
          <w:szCs w:val="26"/>
        </w:rPr>
        <w:t xml:space="preserve"> at C-2010-2204218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ll</w:t>
      </w:r>
      <w:proofErr w:type="gramEnd"/>
      <w:r w:rsidRPr="009A5E95">
        <w:rPr>
          <w:sz w:val="26"/>
          <w:szCs w:val="26"/>
        </w:rPr>
        <w:t>.</w:t>
      </w:r>
      <w:r w:rsidRPr="009A5E95">
        <w:rPr>
          <w:sz w:val="26"/>
          <w:szCs w:val="26"/>
        </w:rPr>
        <w:tab/>
        <w:t>Gary L. Smith at C-2010-2204107 (water) and C-2010-2204288 (wastewater)</w:t>
      </w:r>
    </w:p>
    <w:p w:rsidR="00B2003C" w:rsidRPr="009A5E95" w:rsidRDefault="00B2003C" w:rsidP="00254E93">
      <w:pPr>
        <w:pStyle w:val="BodyText2"/>
        <w:spacing w:after="200" w:line="240" w:lineRule="auto"/>
        <w:ind w:left="2160" w:hanging="720"/>
        <w:rPr>
          <w:sz w:val="26"/>
          <w:szCs w:val="26"/>
        </w:rPr>
      </w:pPr>
      <w:proofErr w:type="gramStart"/>
      <w:r w:rsidRPr="009A5E95">
        <w:rPr>
          <w:sz w:val="26"/>
          <w:szCs w:val="26"/>
        </w:rPr>
        <w:t>mm</w:t>
      </w:r>
      <w:proofErr w:type="gramEnd"/>
      <w:r w:rsidRPr="009A5E95">
        <w:rPr>
          <w:sz w:val="26"/>
          <w:szCs w:val="26"/>
        </w:rPr>
        <w:t>.</w:t>
      </w:r>
      <w:r w:rsidRPr="009A5E95">
        <w:rPr>
          <w:sz w:val="26"/>
          <w:szCs w:val="26"/>
        </w:rPr>
        <w:tab/>
        <w:t xml:space="preserve">Charles Snyder at C-2010-2198668 (water) </w:t>
      </w:r>
    </w:p>
    <w:p w:rsidR="00B2003C" w:rsidRPr="009A5E95" w:rsidRDefault="00B2003C" w:rsidP="00254E93">
      <w:pPr>
        <w:pStyle w:val="BodyText2"/>
        <w:spacing w:after="200" w:line="240" w:lineRule="auto"/>
        <w:ind w:left="2160" w:hanging="720"/>
        <w:rPr>
          <w:sz w:val="26"/>
          <w:szCs w:val="26"/>
        </w:rPr>
      </w:pPr>
      <w:proofErr w:type="spellStart"/>
      <w:proofErr w:type="gramStart"/>
      <w:r w:rsidRPr="009A5E95">
        <w:rPr>
          <w:sz w:val="26"/>
          <w:szCs w:val="26"/>
        </w:rPr>
        <w:t>nn</w:t>
      </w:r>
      <w:proofErr w:type="spellEnd"/>
      <w:proofErr w:type="gramEnd"/>
      <w:r w:rsidRPr="009A5E95">
        <w:rPr>
          <w:sz w:val="26"/>
          <w:szCs w:val="26"/>
        </w:rPr>
        <w:t>.</w:t>
      </w:r>
      <w:r w:rsidRPr="009A5E95">
        <w:rPr>
          <w:sz w:val="26"/>
          <w:szCs w:val="26"/>
        </w:rPr>
        <w:tab/>
        <w:t>Treasure Lake Property Owners Association at C-2010-2198622 (water) and C-2010-2198616 (wastewater)</w:t>
      </w:r>
    </w:p>
    <w:p w:rsidR="00B2003C" w:rsidRDefault="00B2003C" w:rsidP="00254E93">
      <w:pPr>
        <w:pStyle w:val="BodyText2"/>
        <w:spacing w:after="200" w:line="240" w:lineRule="auto"/>
        <w:ind w:left="2160" w:hanging="720"/>
        <w:rPr>
          <w:sz w:val="26"/>
          <w:szCs w:val="26"/>
        </w:rPr>
      </w:pPr>
      <w:proofErr w:type="spellStart"/>
      <w:proofErr w:type="gramStart"/>
      <w:r w:rsidRPr="009A5E95">
        <w:rPr>
          <w:sz w:val="26"/>
          <w:szCs w:val="26"/>
        </w:rPr>
        <w:t>oo</w:t>
      </w:r>
      <w:proofErr w:type="spellEnd"/>
      <w:proofErr w:type="gramEnd"/>
      <w:r w:rsidRPr="009A5E95">
        <w:rPr>
          <w:sz w:val="26"/>
          <w:szCs w:val="26"/>
        </w:rPr>
        <w:t>.</w:t>
      </w:r>
      <w:r w:rsidRPr="009A5E95">
        <w:rPr>
          <w:sz w:val="26"/>
          <w:szCs w:val="26"/>
        </w:rPr>
        <w:tab/>
        <w:t xml:space="preserve">Steve </w:t>
      </w:r>
      <w:proofErr w:type="spellStart"/>
      <w:r w:rsidRPr="009A5E95">
        <w:rPr>
          <w:sz w:val="26"/>
          <w:szCs w:val="26"/>
        </w:rPr>
        <w:t>Tuller</w:t>
      </w:r>
      <w:proofErr w:type="spellEnd"/>
      <w:r w:rsidRPr="009A5E95">
        <w:rPr>
          <w:sz w:val="26"/>
          <w:szCs w:val="26"/>
        </w:rPr>
        <w:t xml:space="preserve"> at C-2010-2197915 (water) and C-2010-2197286 (wastewater)</w:t>
      </w:r>
    </w:p>
    <w:p w:rsidR="00254E93" w:rsidRPr="009A5E95" w:rsidRDefault="00254E93" w:rsidP="00254E93">
      <w:pPr>
        <w:pStyle w:val="BodyText2"/>
        <w:spacing w:after="200" w:line="240" w:lineRule="auto"/>
        <w:ind w:left="2160" w:hanging="720"/>
        <w:rPr>
          <w:sz w:val="26"/>
          <w:szCs w:val="26"/>
        </w:rPr>
      </w:pPr>
    </w:p>
    <w:p w:rsidR="00E019A1" w:rsidRPr="00F31410" w:rsidRDefault="00F31410" w:rsidP="00B15C41">
      <w:pPr>
        <w:keepNext/>
        <w:rPr>
          <w:szCs w:val="24"/>
        </w:rPr>
      </w:pPr>
      <w:r>
        <w:rPr>
          <w:szCs w:val="24"/>
        </w:rPr>
        <w:lastRenderedPageBreak/>
        <w:t>1</w:t>
      </w:r>
      <w:r w:rsidR="00E16DAB">
        <w:rPr>
          <w:szCs w:val="24"/>
        </w:rPr>
        <w:t>2</w:t>
      </w:r>
      <w:r>
        <w:rPr>
          <w:szCs w:val="24"/>
        </w:rPr>
        <w:t>.</w:t>
      </w:r>
      <w:r>
        <w:rPr>
          <w:szCs w:val="24"/>
        </w:rPr>
        <w:tab/>
      </w:r>
      <w:r w:rsidR="00E019A1" w:rsidRPr="00F31410">
        <w:rPr>
          <w:szCs w:val="24"/>
        </w:rPr>
        <w:t>That after acceptance and approval by the Commission of the tariff revisions filed by Total Environmental Solutions, Inc. – Treasure Lake Water Division and Total Environmental Solutions, Inc. – Treasure Lake Wastewater Division, the investigation at Docket Nos. R-</w:t>
      </w:r>
      <w:r w:rsidR="0091759D" w:rsidRPr="00F31410">
        <w:rPr>
          <w:szCs w:val="24"/>
        </w:rPr>
        <w:t xml:space="preserve"> 2010-2171918 and</w:t>
      </w:r>
      <w:r w:rsidR="00E019A1" w:rsidRPr="00F31410">
        <w:rPr>
          <w:szCs w:val="24"/>
        </w:rPr>
        <w:t xml:space="preserve"> R-</w:t>
      </w:r>
      <w:r w:rsidR="0091759D" w:rsidRPr="00F31410">
        <w:rPr>
          <w:szCs w:val="24"/>
        </w:rPr>
        <w:t>2010-2171924</w:t>
      </w:r>
      <w:r w:rsidR="00E019A1" w:rsidRPr="00F31410">
        <w:rPr>
          <w:szCs w:val="24"/>
        </w:rPr>
        <w:t xml:space="preserve"> shall be terminated and the record shall be marked closed.</w:t>
      </w:r>
    </w:p>
    <w:p w:rsidR="00750BC4" w:rsidRDefault="00750BC4" w:rsidP="00750BC4"/>
    <w:p w:rsidR="003B029C" w:rsidRPr="00556738" w:rsidRDefault="00E0366A" w:rsidP="003B029C">
      <w:pPr>
        <w:ind w:left="4320" w:firstLine="0"/>
        <w:rPr>
          <w:color w:val="000000"/>
        </w:rPr>
      </w:pPr>
      <w:r>
        <w:rPr>
          <w:b/>
          <w:noProof/>
          <w:color w:val="000000"/>
        </w:rPr>
        <w:drawing>
          <wp:anchor distT="0" distB="0" distL="114300" distR="114300" simplePos="0" relativeHeight="251658240" behindDoc="1" locked="0" layoutInCell="1" allowOverlap="1">
            <wp:simplePos x="0" y="0"/>
            <wp:positionH relativeFrom="column">
              <wp:posOffset>2590800</wp:posOffset>
            </wp:positionH>
            <wp:positionV relativeFrom="paragraph">
              <wp:posOffset>131445</wp:posOffset>
            </wp:positionV>
            <wp:extent cx="2200275" cy="834390"/>
            <wp:effectExtent l="19050" t="0" r="9525" b="0"/>
            <wp:wrapNone/>
            <wp:docPr id="14" name="Picture 1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4390"/>
                    </a:xfrm>
                    <a:prstGeom prst="rect">
                      <a:avLst/>
                    </a:prstGeom>
                    <a:noFill/>
                    <a:ln w="9525">
                      <a:noFill/>
                      <a:miter lim="800000"/>
                      <a:headEnd/>
                      <a:tailEnd/>
                    </a:ln>
                  </pic:spPr>
                </pic:pic>
              </a:graphicData>
            </a:graphic>
          </wp:anchor>
        </w:drawing>
      </w:r>
      <w:r w:rsidR="003B029C" w:rsidRPr="00556738">
        <w:rPr>
          <w:b/>
          <w:color w:val="000000"/>
        </w:rPr>
        <w:t>BY THE COMMISSION</w:t>
      </w:r>
      <w:r w:rsidR="003B029C" w:rsidRPr="00556738">
        <w:rPr>
          <w:color w:val="000000"/>
        </w:rPr>
        <w:t>,</w:t>
      </w:r>
    </w:p>
    <w:p w:rsidR="003B029C" w:rsidRPr="00556738" w:rsidRDefault="003B029C" w:rsidP="003B029C">
      <w:pPr>
        <w:rPr>
          <w:color w:val="000000"/>
        </w:rPr>
      </w:pPr>
    </w:p>
    <w:p w:rsidR="003B029C" w:rsidRPr="00556738" w:rsidRDefault="003B029C" w:rsidP="003B029C">
      <w:pPr>
        <w:rPr>
          <w:color w:val="000000"/>
        </w:rPr>
      </w:pPr>
    </w:p>
    <w:p w:rsidR="003B029C" w:rsidRPr="00556738" w:rsidRDefault="003B029C" w:rsidP="003B029C">
      <w:pPr>
        <w:rPr>
          <w:color w:val="000000"/>
        </w:rPr>
      </w:pPr>
    </w:p>
    <w:p w:rsidR="003B029C" w:rsidRPr="00556738" w:rsidRDefault="003B029C" w:rsidP="003B029C">
      <w:pPr>
        <w:spacing w:line="240" w:lineRule="auto"/>
        <w:ind w:left="4320" w:firstLine="0"/>
        <w:rPr>
          <w:color w:val="000000"/>
        </w:rPr>
      </w:pPr>
      <w:r>
        <w:rPr>
          <w:color w:val="000000"/>
        </w:rPr>
        <w:t>Rosemary Chiavetta</w:t>
      </w:r>
    </w:p>
    <w:p w:rsidR="003B029C" w:rsidRPr="00556738" w:rsidRDefault="003B029C" w:rsidP="003B029C">
      <w:pPr>
        <w:ind w:left="4320" w:firstLine="0"/>
        <w:rPr>
          <w:color w:val="000000"/>
        </w:rPr>
      </w:pPr>
      <w:r w:rsidRPr="00556738">
        <w:rPr>
          <w:color w:val="000000"/>
        </w:rPr>
        <w:t>Secretary</w:t>
      </w:r>
    </w:p>
    <w:p w:rsidR="003B029C" w:rsidRDefault="003B029C" w:rsidP="003B029C">
      <w:pPr>
        <w:ind w:firstLine="0"/>
        <w:rPr>
          <w:color w:val="000000"/>
        </w:rPr>
      </w:pPr>
    </w:p>
    <w:p w:rsidR="003B029C" w:rsidRPr="00556738" w:rsidRDefault="003B029C" w:rsidP="003B029C">
      <w:pPr>
        <w:ind w:firstLine="0"/>
        <w:rPr>
          <w:color w:val="000000"/>
        </w:rPr>
      </w:pPr>
      <w:r w:rsidRPr="00556738">
        <w:rPr>
          <w:color w:val="000000"/>
        </w:rPr>
        <w:t>(SEAL)</w:t>
      </w:r>
    </w:p>
    <w:p w:rsidR="003B029C" w:rsidRPr="00556738" w:rsidRDefault="003B029C" w:rsidP="003B029C">
      <w:pPr>
        <w:ind w:firstLine="0"/>
        <w:rPr>
          <w:color w:val="000000"/>
        </w:rPr>
      </w:pPr>
      <w:r>
        <w:rPr>
          <w:color w:val="000000"/>
        </w:rPr>
        <w:t>ORDER ADOPTED:  March 17, 2011</w:t>
      </w:r>
    </w:p>
    <w:p w:rsidR="003B029C" w:rsidRPr="001E4143" w:rsidRDefault="003B029C" w:rsidP="003B029C">
      <w:pPr>
        <w:ind w:firstLine="0"/>
      </w:pPr>
      <w:r>
        <w:rPr>
          <w:color w:val="000000"/>
        </w:rPr>
        <w:t xml:space="preserve">ORDER ENTERED: </w:t>
      </w:r>
      <w:r w:rsidR="00E0366A">
        <w:rPr>
          <w:color w:val="000000"/>
        </w:rPr>
        <w:t>March 17, 2011</w:t>
      </w:r>
    </w:p>
    <w:p w:rsidR="003B029C" w:rsidRPr="00750BC4" w:rsidRDefault="003B029C" w:rsidP="00750BC4"/>
    <w:sectPr w:rsidR="003B029C" w:rsidRPr="00750BC4" w:rsidSect="005431FA">
      <w:footerReference w:type="default" r:id="rId9"/>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D9F" w:rsidRDefault="00785D9F" w:rsidP="00865951">
      <w:pPr>
        <w:spacing w:line="240" w:lineRule="auto"/>
      </w:pPr>
      <w:r>
        <w:separator/>
      </w:r>
    </w:p>
  </w:endnote>
  <w:endnote w:type="continuationSeparator" w:id="0">
    <w:p w:rsidR="00785D9F" w:rsidRDefault="00785D9F" w:rsidP="008659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77612"/>
      <w:docPartObj>
        <w:docPartGallery w:val="Page Numbers (Bottom of Page)"/>
        <w:docPartUnique/>
      </w:docPartObj>
    </w:sdtPr>
    <w:sdtContent>
      <w:p w:rsidR="00444955" w:rsidRDefault="00C71509" w:rsidP="005431FA">
        <w:pPr>
          <w:pStyle w:val="Footer"/>
          <w:ind w:firstLine="0"/>
          <w:jc w:val="center"/>
        </w:pPr>
        <w:fldSimple w:instr=" PAGE   \* MERGEFORMAT ">
          <w:r w:rsidR="00E0366A">
            <w:rPr>
              <w:noProof/>
            </w:rPr>
            <w:t>30</w:t>
          </w:r>
        </w:fldSimple>
      </w:p>
    </w:sdtContent>
  </w:sdt>
  <w:p w:rsidR="00444955" w:rsidRDefault="00444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D9F" w:rsidRDefault="00785D9F" w:rsidP="00865951">
      <w:pPr>
        <w:spacing w:line="240" w:lineRule="auto"/>
      </w:pPr>
      <w:r>
        <w:separator/>
      </w:r>
    </w:p>
  </w:footnote>
  <w:footnote w:type="continuationSeparator" w:id="0">
    <w:p w:rsidR="00785D9F" w:rsidRDefault="00785D9F" w:rsidP="00865951">
      <w:pPr>
        <w:spacing w:line="240" w:lineRule="auto"/>
      </w:pPr>
      <w:r>
        <w:continuationSeparator/>
      </w:r>
    </w:p>
  </w:footnote>
  <w:footnote w:id="1">
    <w:p w:rsidR="00444955" w:rsidRDefault="00444955" w:rsidP="009A14BC">
      <w:pPr>
        <w:pStyle w:val="FootnoteText"/>
        <w:ind w:firstLine="720"/>
        <w:rPr>
          <w:sz w:val="26"/>
          <w:szCs w:val="26"/>
        </w:rPr>
      </w:pPr>
      <w:r w:rsidRPr="009A14BC">
        <w:rPr>
          <w:rStyle w:val="FootnoteReference"/>
          <w:sz w:val="26"/>
          <w:szCs w:val="26"/>
        </w:rPr>
        <w:footnoteRef/>
      </w:r>
      <w:r w:rsidRPr="009A14BC">
        <w:rPr>
          <w:sz w:val="26"/>
          <w:szCs w:val="26"/>
        </w:rPr>
        <w:t xml:space="preserve"> </w:t>
      </w:r>
      <w:r w:rsidRPr="009A14BC">
        <w:rPr>
          <w:sz w:val="26"/>
          <w:szCs w:val="26"/>
        </w:rPr>
        <w:tab/>
        <w:t>Individual Settlements were filed for the water and wastewater tariff filings.</w:t>
      </w:r>
    </w:p>
    <w:p w:rsidR="00861BB0" w:rsidRPr="009A14BC" w:rsidRDefault="00861BB0" w:rsidP="009A14BC">
      <w:pPr>
        <w:pStyle w:val="FootnoteText"/>
        <w:ind w:firstLine="720"/>
        <w:rPr>
          <w:sz w:val="26"/>
          <w:szCs w:val="26"/>
        </w:rPr>
      </w:pPr>
    </w:p>
  </w:footnote>
  <w:footnote w:id="2">
    <w:p w:rsidR="00444955" w:rsidRPr="0003202C" w:rsidRDefault="00444955" w:rsidP="0003202C">
      <w:pPr>
        <w:pStyle w:val="FootnoteText"/>
        <w:spacing w:after="120"/>
        <w:ind w:firstLine="720"/>
        <w:rPr>
          <w:sz w:val="26"/>
          <w:szCs w:val="26"/>
        </w:rPr>
      </w:pPr>
      <w:r w:rsidRPr="0003202C">
        <w:rPr>
          <w:rStyle w:val="FootnoteReference"/>
          <w:sz w:val="26"/>
          <w:szCs w:val="26"/>
        </w:rPr>
        <w:footnoteRef/>
      </w:r>
      <w:r w:rsidRPr="0003202C">
        <w:rPr>
          <w:sz w:val="26"/>
          <w:szCs w:val="26"/>
        </w:rPr>
        <w:t xml:space="preserve"> </w:t>
      </w:r>
      <w:r>
        <w:tab/>
      </w:r>
      <w:r w:rsidRPr="0003202C">
        <w:rPr>
          <w:sz w:val="26"/>
          <w:szCs w:val="26"/>
        </w:rPr>
        <w:t>The net increase of the five rate classes presented in Paragraph 14(a) of the Wastewater</w:t>
      </w:r>
      <w:r>
        <w:rPr>
          <w:sz w:val="26"/>
          <w:szCs w:val="26"/>
        </w:rPr>
        <w:t xml:space="preserve"> </w:t>
      </w:r>
      <w:r w:rsidRPr="0003202C">
        <w:rPr>
          <w:sz w:val="26"/>
          <w:szCs w:val="26"/>
        </w:rPr>
        <w:t xml:space="preserve">Settlement total $104,988, a difference of $71.  </w:t>
      </w:r>
    </w:p>
  </w:footnote>
  <w:footnote w:id="3">
    <w:p w:rsidR="00444955" w:rsidRPr="009010FE" w:rsidRDefault="00444955" w:rsidP="009010FE">
      <w:pPr>
        <w:pStyle w:val="FootnoteText"/>
        <w:ind w:firstLine="720"/>
        <w:rPr>
          <w:sz w:val="26"/>
          <w:szCs w:val="26"/>
        </w:rPr>
      </w:pPr>
      <w:r w:rsidRPr="009010FE">
        <w:rPr>
          <w:rStyle w:val="FootnoteReference"/>
          <w:sz w:val="26"/>
          <w:szCs w:val="26"/>
        </w:rPr>
        <w:footnoteRef/>
      </w:r>
      <w:r w:rsidRPr="009010FE">
        <w:rPr>
          <w:sz w:val="26"/>
          <w:szCs w:val="26"/>
        </w:rPr>
        <w:t xml:space="preserve"> </w:t>
      </w:r>
      <w:r w:rsidRPr="009010FE">
        <w:rPr>
          <w:sz w:val="26"/>
          <w:szCs w:val="26"/>
        </w:rPr>
        <w:tab/>
        <w:t xml:space="preserve">A credit of $1.00 per month is applied to bills to each customer providing electric power to operate a grinder pump on the customer’s premises. </w:t>
      </w:r>
    </w:p>
  </w:footnote>
  <w:footnote w:id="4">
    <w:p w:rsidR="00444955" w:rsidRPr="00371144" w:rsidRDefault="00444955" w:rsidP="00371144">
      <w:pPr>
        <w:pStyle w:val="FootnoteText"/>
        <w:ind w:firstLine="720"/>
        <w:rPr>
          <w:sz w:val="26"/>
          <w:szCs w:val="26"/>
        </w:rPr>
      </w:pPr>
      <w:r w:rsidRPr="00371144">
        <w:rPr>
          <w:rStyle w:val="FootnoteReference"/>
          <w:sz w:val="26"/>
          <w:szCs w:val="26"/>
        </w:rPr>
        <w:footnoteRef/>
      </w:r>
      <w:r w:rsidRPr="00371144">
        <w:rPr>
          <w:sz w:val="26"/>
          <w:szCs w:val="26"/>
        </w:rPr>
        <w:t xml:space="preserve"> </w:t>
      </w:r>
      <w:r>
        <w:tab/>
      </w:r>
      <w:r w:rsidRPr="00371144">
        <w:rPr>
          <w:i/>
          <w:sz w:val="26"/>
          <w:szCs w:val="26"/>
        </w:rPr>
        <w:t>2008 Rate Order</w:t>
      </w:r>
      <w:r w:rsidRPr="00371144">
        <w:rPr>
          <w:sz w:val="26"/>
          <w:szCs w:val="26"/>
        </w:rPr>
        <w:t xml:space="preserve"> at 94-105.</w:t>
      </w:r>
    </w:p>
  </w:footnote>
  <w:footnote w:id="5">
    <w:p w:rsidR="00444955" w:rsidRPr="009547F6" w:rsidRDefault="00444955" w:rsidP="009547F6">
      <w:pPr>
        <w:pStyle w:val="FootnoteText"/>
        <w:ind w:firstLine="720"/>
        <w:rPr>
          <w:sz w:val="26"/>
          <w:szCs w:val="26"/>
        </w:rPr>
      </w:pPr>
      <w:r w:rsidRPr="009547F6">
        <w:rPr>
          <w:rStyle w:val="FootnoteReference"/>
          <w:sz w:val="26"/>
          <w:szCs w:val="26"/>
        </w:rPr>
        <w:footnoteRef/>
      </w:r>
      <w:r w:rsidRPr="009547F6">
        <w:rPr>
          <w:sz w:val="26"/>
          <w:szCs w:val="26"/>
        </w:rPr>
        <w:t xml:space="preserve"> </w:t>
      </w:r>
      <w:r>
        <w:rPr>
          <w:sz w:val="26"/>
          <w:szCs w:val="26"/>
        </w:rPr>
        <w:tab/>
      </w:r>
      <w:r w:rsidRPr="009547F6">
        <w:rPr>
          <w:sz w:val="26"/>
          <w:szCs w:val="26"/>
        </w:rPr>
        <w:t>Our regulation governing the accuracy of water meters</w:t>
      </w:r>
      <w:r>
        <w:rPr>
          <w:sz w:val="26"/>
          <w:szCs w:val="26"/>
        </w:rPr>
        <w:t>,</w:t>
      </w:r>
      <w:r w:rsidRPr="009547F6">
        <w:rPr>
          <w:sz w:val="26"/>
          <w:szCs w:val="26"/>
        </w:rPr>
        <w:t xml:space="preserve"> at 52 Pa. Code </w:t>
      </w:r>
      <w:r>
        <w:rPr>
          <w:sz w:val="26"/>
          <w:szCs w:val="26"/>
        </w:rPr>
        <w:br/>
      </w:r>
      <w:r w:rsidRPr="009547F6">
        <w:rPr>
          <w:rFonts w:cs="Times New Roman"/>
          <w:sz w:val="26"/>
          <w:szCs w:val="26"/>
        </w:rPr>
        <w:t>§</w:t>
      </w:r>
      <w:r w:rsidRPr="009547F6">
        <w:rPr>
          <w:sz w:val="26"/>
          <w:szCs w:val="26"/>
        </w:rPr>
        <w:t xml:space="preserve"> 65.8(a)</w:t>
      </w:r>
      <w:r>
        <w:rPr>
          <w:sz w:val="26"/>
          <w:szCs w:val="26"/>
        </w:rPr>
        <w:t>,</w:t>
      </w:r>
      <w:r w:rsidRPr="009547F6">
        <w:rPr>
          <w:sz w:val="26"/>
          <w:szCs w:val="26"/>
        </w:rPr>
        <w:t xml:space="preserve"> state</w:t>
      </w:r>
      <w:r>
        <w:rPr>
          <w:sz w:val="26"/>
          <w:szCs w:val="26"/>
        </w:rPr>
        <w:t>s</w:t>
      </w:r>
      <w:r w:rsidRPr="009547F6">
        <w:rPr>
          <w:sz w:val="26"/>
          <w:szCs w:val="26"/>
        </w:rPr>
        <w:t xml:space="preserve"> that a water meter that has an error in registration of more than four percent shall not remain in service. </w:t>
      </w:r>
    </w:p>
  </w:footnote>
  <w:footnote w:id="6">
    <w:p w:rsidR="00444955" w:rsidRPr="00796BE0" w:rsidRDefault="00444955" w:rsidP="00311E50">
      <w:pPr>
        <w:pStyle w:val="FootnoteText"/>
        <w:spacing w:after="120"/>
        <w:ind w:firstLine="720"/>
        <w:rPr>
          <w:sz w:val="26"/>
          <w:szCs w:val="26"/>
        </w:rPr>
      </w:pPr>
      <w:r w:rsidRPr="00F14A40">
        <w:rPr>
          <w:rStyle w:val="FootnoteReference"/>
          <w:sz w:val="26"/>
          <w:szCs w:val="26"/>
        </w:rPr>
        <w:footnoteRef/>
      </w:r>
      <w:r w:rsidRPr="00F14A40">
        <w:rPr>
          <w:sz w:val="26"/>
          <w:szCs w:val="26"/>
        </w:rPr>
        <w:t xml:space="preserve"> </w:t>
      </w:r>
      <w:r>
        <w:tab/>
      </w:r>
      <w:r w:rsidRPr="00796BE0">
        <w:rPr>
          <w:sz w:val="26"/>
          <w:szCs w:val="26"/>
        </w:rPr>
        <w:t xml:space="preserve">Our Statement of Policy on </w:t>
      </w:r>
      <w:r>
        <w:rPr>
          <w:sz w:val="26"/>
          <w:szCs w:val="26"/>
        </w:rPr>
        <w:t>w</w:t>
      </w:r>
      <w:r w:rsidRPr="00796BE0">
        <w:rPr>
          <w:sz w:val="26"/>
          <w:szCs w:val="26"/>
        </w:rPr>
        <w:t xml:space="preserve">ater </w:t>
      </w:r>
      <w:r>
        <w:rPr>
          <w:sz w:val="26"/>
          <w:szCs w:val="26"/>
        </w:rPr>
        <w:t>c</w:t>
      </w:r>
      <w:r w:rsidRPr="00796BE0">
        <w:rPr>
          <w:sz w:val="26"/>
          <w:szCs w:val="26"/>
        </w:rPr>
        <w:t xml:space="preserve">onservation measures at 52 Pa. Code </w:t>
      </w:r>
      <w:r>
        <w:rPr>
          <w:sz w:val="26"/>
          <w:szCs w:val="26"/>
        </w:rPr>
        <w:br/>
      </w:r>
      <w:r w:rsidRPr="00796BE0">
        <w:rPr>
          <w:rFonts w:cs="Times New Roman"/>
          <w:sz w:val="26"/>
          <w:szCs w:val="26"/>
        </w:rPr>
        <w:t>§ 65.20(4) states that a system of leak detection should be utilized on a regular basis, with leaks being repaired as expedi</w:t>
      </w:r>
      <w:r>
        <w:rPr>
          <w:rFonts w:cs="Times New Roman"/>
          <w:sz w:val="26"/>
          <w:szCs w:val="26"/>
        </w:rPr>
        <w:t>ti</w:t>
      </w:r>
      <w:r w:rsidRPr="00796BE0">
        <w:rPr>
          <w:rFonts w:cs="Times New Roman"/>
          <w:sz w:val="26"/>
          <w:szCs w:val="26"/>
        </w:rPr>
        <w:t xml:space="preserve">ously and economically as possible. </w:t>
      </w:r>
    </w:p>
  </w:footnote>
  <w:footnote w:id="7">
    <w:p w:rsidR="00444955" w:rsidRPr="00B7587E" w:rsidRDefault="00444955" w:rsidP="00311E50">
      <w:pPr>
        <w:pStyle w:val="FootnoteText"/>
        <w:ind w:firstLine="720"/>
        <w:rPr>
          <w:sz w:val="26"/>
          <w:szCs w:val="26"/>
        </w:rPr>
      </w:pPr>
      <w:r w:rsidRPr="00F14A40">
        <w:rPr>
          <w:rStyle w:val="FootnoteReference"/>
          <w:sz w:val="26"/>
          <w:szCs w:val="26"/>
        </w:rPr>
        <w:footnoteRef/>
      </w:r>
      <w:r w:rsidRPr="00F14A40">
        <w:rPr>
          <w:sz w:val="26"/>
          <w:szCs w:val="26"/>
        </w:rPr>
        <w:t xml:space="preserve"> </w:t>
      </w:r>
      <w:r>
        <w:tab/>
      </w:r>
      <w:r w:rsidRPr="00B7587E">
        <w:rPr>
          <w:sz w:val="26"/>
          <w:szCs w:val="26"/>
        </w:rPr>
        <w:t xml:space="preserve">Our regulation regarding periodic meter testing at 52 Pa. Code </w:t>
      </w:r>
      <w:r>
        <w:rPr>
          <w:sz w:val="26"/>
          <w:szCs w:val="26"/>
        </w:rPr>
        <w:br/>
      </w:r>
      <w:r w:rsidRPr="00B7587E">
        <w:rPr>
          <w:rFonts w:cs="Times New Roman"/>
          <w:sz w:val="26"/>
          <w:szCs w:val="26"/>
        </w:rPr>
        <w:t>§</w:t>
      </w:r>
      <w:r w:rsidRPr="00B7587E">
        <w:rPr>
          <w:sz w:val="26"/>
          <w:szCs w:val="26"/>
        </w:rPr>
        <w:t xml:space="preserve"> 65.8(b) requires, </w:t>
      </w:r>
      <w:r w:rsidRPr="00B7587E">
        <w:rPr>
          <w:i/>
          <w:sz w:val="26"/>
          <w:szCs w:val="26"/>
        </w:rPr>
        <w:t>inter alia</w:t>
      </w:r>
      <w:r w:rsidRPr="00B7587E">
        <w:rPr>
          <w:sz w:val="26"/>
          <w:szCs w:val="26"/>
        </w:rPr>
        <w:t xml:space="preserve">, that a utility may not permit a water meter of one inch or less to remain in service for more than twenty years without testing for accuracy and meters greater than one inch must be tested within eight years.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01EC"/>
    <w:multiLevelType w:val="hybridMultilevel"/>
    <w:tmpl w:val="CAA6C9CA"/>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96E6016"/>
    <w:multiLevelType w:val="hybridMultilevel"/>
    <w:tmpl w:val="E092E4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970CE"/>
    <w:multiLevelType w:val="hybridMultilevel"/>
    <w:tmpl w:val="D33C4232"/>
    <w:lvl w:ilvl="0" w:tplc="BE80E9C4">
      <w:start w:val="1"/>
      <w:numFmt w:val="lowerLetter"/>
      <w:lvlText w:val="(%1)"/>
      <w:lvlJc w:val="left"/>
      <w:pPr>
        <w:ind w:left="2880" w:hanging="360"/>
      </w:pPr>
      <w:rPr>
        <w:rFonts w:hint="default"/>
        <w:sz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16B6341"/>
    <w:multiLevelType w:val="hybridMultilevel"/>
    <w:tmpl w:val="F4C6DA00"/>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AA32758"/>
    <w:multiLevelType w:val="hybridMultilevel"/>
    <w:tmpl w:val="0D26E492"/>
    <w:lvl w:ilvl="0" w:tplc="0409000F">
      <w:start w:val="1"/>
      <w:numFmt w:val="decimal"/>
      <w:lvlText w:val="%1."/>
      <w:lvlJc w:val="left"/>
      <w:pPr>
        <w:ind w:left="2880" w:hanging="360"/>
      </w:pPr>
      <w:rPr>
        <w:rFonts w:hint="default"/>
        <w:sz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8A208E0"/>
    <w:multiLevelType w:val="hybridMultilevel"/>
    <w:tmpl w:val="57C49164"/>
    <w:lvl w:ilvl="0" w:tplc="53E86940">
      <w:start w:val="1"/>
      <w:numFmt w:val="decimal"/>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FDF2F87"/>
    <w:multiLevelType w:val="hybridMultilevel"/>
    <w:tmpl w:val="3B14EBA4"/>
    <w:lvl w:ilvl="0" w:tplc="47AE5DF2">
      <w:start w:val="1"/>
      <w:numFmt w:val="lowerRoman"/>
      <w:pStyle w:val="Heading5"/>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9AC4A08"/>
    <w:multiLevelType w:val="hybridMultilevel"/>
    <w:tmpl w:val="C81C813E"/>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A66081B"/>
    <w:multiLevelType w:val="hybridMultilevel"/>
    <w:tmpl w:val="098804CC"/>
    <w:lvl w:ilvl="0" w:tplc="1176560E">
      <w:start w:val="1"/>
      <w:numFmt w:val="lowerLetter"/>
      <w:pStyle w:val="Heading4"/>
      <w:lvlText w:val="%1."/>
      <w:lvlJc w:val="right"/>
      <w:pPr>
        <w:ind w:left="2880" w:hanging="360"/>
      </w:pPr>
      <w:rPr>
        <w:rFonts w:hint="default"/>
        <w:sz w:val="28"/>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3B142548"/>
    <w:multiLevelType w:val="hybridMultilevel"/>
    <w:tmpl w:val="F8EAE0C8"/>
    <w:lvl w:ilvl="0" w:tplc="089A50EC">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993AA1"/>
    <w:multiLevelType w:val="hybridMultilevel"/>
    <w:tmpl w:val="CA7449C8"/>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54FA2"/>
    <w:multiLevelType w:val="hybridMultilevel"/>
    <w:tmpl w:val="21F41126"/>
    <w:lvl w:ilvl="0" w:tplc="863AD6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32A9F"/>
    <w:multiLevelType w:val="hybridMultilevel"/>
    <w:tmpl w:val="859652F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1FB71AB"/>
    <w:multiLevelType w:val="hybridMultilevel"/>
    <w:tmpl w:val="DBF03A48"/>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87376"/>
    <w:multiLevelType w:val="hybridMultilevel"/>
    <w:tmpl w:val="7C066586"/>
    <w:lvl w:ilvl="0" w:tplc="9AA40FA6">
      <w:start w:val="3"/>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E66F4"/>
    <w:multiLevelType w:val="hybridMultilevel"/>
    <w:tmpl w:val="E500D03C"/>
    <w:lvl w:ilvl="0" w:tplc="53E869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73116A"/>
    <w:multiLevelType w:val="hybridMultilevel"/>
    <w:tmpl w:val="6498877C"/>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A7C7ECB"/>
    <w:multiLevelType w:val="hybridMultilevel"/>
    <w:tmpl w:val="1FF680F0"/>
    <w:lvl w:ilvl="0" w:tplc="F29E16B0">
      <w:start w:val="6"/>
      <w:numFmt w:val="decimal"/>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F31185"/>
    <w:multiLevelType w:val="hybridMultilevel"/>
    <w:tmpl w:val="B1246554"/>
    <w:lvl w:ilvl="0" w:tplc="53E8694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67045822"/>
    <w:multiLevelType w:val="hybridMultilevel"/>
    <w:tmpl w:val="AFCEE9A6"/>
    <w:lvl w:ilvl="0" w:tplc="CA84CF9E">
      <w:start w:val="1"/>
      <w:numFmt w:val="lowerLetter"/>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70B93ADE"/>
    <w:multiLevelType w:val="hybridMultilevel"/>
    <w:tmpl w:val="19D8FDE2"/>
    <w:lvl w:ilvl="0" w:tplc="3B6ACD6A">
      <w:start w:val="1"/>
      <w:numFmt w:val="decimal"/>
      <w:pStyle w:val="Heading3"/>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BEF61BB"/>
    <w:multiLevelType w:val="hybridMultilevel"/>
    <w:tmpl w:val="9B545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1"/>
  </w:num>
  <w:num w:numId="4">
    <w:abstractNumId w:val="20"/>
  </w:num>
  <w:num w:numId="5">
    <w:abstractNumId w:val="8"/>
  </w:num>
  <w:num w:numId="6">
    <w:abstractNumId w:val="6"/>
  </w:num>
  <w:num w:numId="7">
    <w:abstractNumId w:val="12"/>
  </w:num>
  <w:num w:numId="8">
    <w:abstractNumId w:val="1"/>
  </w:num>
  <w:num w:numId="9">
    <w:abstractNumId w:val="2"/>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13"/>
  </w:num>
  <w:num w:numId="17">
    <w:abstractNumId w:val="15"/>
  </w:num>
  <w:num w:numId="18">
    <w:abstractNumId w:val="11"/>
  </w:num>
  <w:num w:numId="19">
    <w:abstractNumId w:val="16"/>
  </w:num>
  <w:num w:numId="20">
    <w:abstractNumId w:val="3"/>
  </w:num>
  <w:num w:numId="21">
    <w:abstractNumId w:val="7"/>
  </w:num>
  <w:num w:numId="22">
    <w:abstractNumId w:val="18"/>
  </w:num>
  <w:num w:numId="23">
    <w:abstractNumId w:val="5"/>
  </w:num>
  <w:num w:numId="24">
    <w:abstractNumId w:val="14"/>
  </w:num>
  <w:num w:numId="25">
    <w:abstractNumId w:val="0"/>
  </w:num>
  <w:num w:numId="26">
    <w:abstractNumId w:val="8"/>
    <w:lvlOverride w:ilvl="0">
      <w:startOverride w:val="1"/>
    </w:lvlOverride>
  </w:num>
  <w:num w:numId="27">
    <w:abstractNumId w:val="8"/>
    <w:lvlOverride w:ilvl="0">
      <w:startOverride w:val="1"/>
    </w:lvlOverride>
  </w:num>
  <w:num w:numId="28">
    <w:abstractNumId w:val="4"/>
  </w:num>
  <w:num w:numId="29">
    <w:abstractNumId w:val="19"/>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footnotePr>
    <w:footnote w:id="-1"/>
    <w:footnote w:id="0"/>
  </w:footnotePr>
  <w:endnotePr>
    <w:endnote w:id="-1"/>
    <w:endnote w:id="0"/>
  </w:endnotePr>
  <w:compat/>
  <w:rsids>
    <w:rsidRoot w:val="00580B38"/>
    <w:rsid w:val="00000257"/>
    <w:rsid w:val="00003B33"/>
    <w:rsid w:val="00003C43"/>
    <w:rsid w:val="00004203"/>
    <w:rsid w:val="000049E8"/>
    <w:rsid w:val="00006B71"/>
    <w:rsid w:val="00007413"/>
    <w:rsid w:val="00007AC9"/>
    <w:rsid w:val="00007BFC"/>
    <w:rsid w:val="000117FD"/>
    <w:rsid w:val="00013AF8"/>
    <w:rsid w:val="000142CD"/>
    <w:rsid w:val="00014DF2"/>
    <w:rsid w:val="00014DF5"/>
    <w:rsid w:val="000160E5"/>
    <w:rsid w:val="00017065"/>
    <w:rsid w:val="00017CAA"/>
    <w:rsid w:val="00021518"/>
    <w:rsid w:val="00022DE0"/>
    <w:rsid w:val="00023F09"/>
    <w:rsid w:val="000248C3"/>
    <w:rsid w:val="0002581F"/>
    <w:rsid w:val="00025D39"/>
    <w:rsid w:val="000274AE"/>
    <w:rsid w:val="0003067D"/>
    <w:rsid w:val="00030FAF"/>
    <w:rsid w:val="00031FC9"/>
    <w:rsid w:val="0003202C"/>
    <w:rsid w:val="00033184"/>
    <w:rsid w:val="00037AD4"/>
    <w:rsid w:val="00037D23"/>
    <w:rsid w:val="000404A2"/>
    <w:rsid w:val="00041A97"/>
    <w:rsid w:val="00041C82"/>
    <w:rsid w:val="00041D7E"/>
    <w:rsid w:val="00042033"/>
    <w:rsid w:val="00042AA5"/>
    <w:rsid w:val="000459FB"/>
    <w:rsid w:val="000502F4"/>
    <w:rsid w:val="00051111"/>
    <w:rsid w:val="0005165D"/>
    <w:rsid w:val="0005202A"/>
    <w:rsid w:val="000522D7"/>
    <w:rsid w:val="00052C21"/>
    <w:rsid w:val="00054307"/>
    <w:rsid w:val="00054B1C"/>
    <w:rsid w:val="00054B7E"/>
    <w:rsid w:val="000550FA"/>
    <w:rsid w:val="000568C5"/>
    <w:rsid w:val="00057ED8"/>
    <w:rsid w:val="00057FAE"/>
    <w:rsid w:val="00060197"/>
    <w:rsid w:val="00061699"/>
    <w:rsid w:val="000623D6"/>
    <w:rsid w:val="00064695"/>
    <w:rsid w:val="00064997"/>
    <w:rsid w:val="00064BF4"/>
    <w:rsid w:val="00065306"/>
    <w:rsid w:val="000653B2"/>
    <w:rsid w:val="00065842"/>
    <w:rsid w:val="00066079"/>
    <w:rsid w:val="00066548"/>
    <w:rsid w:val="00071085"/>
    <w:rsid w:val="000710FA"/>
    <w:rsid w:val="00071481"/>
    <w:rsid w:val="00074E1A"/>
    <w:rsid w:val="00075592"/>
    <w:rsid w:val="00075F6A"/>
    <w:rsid w:val="00077039"/>
    <w:rsid w:val="000776B1"/>
    <w:rsid w:val="000777A2"/>
    <w:rsid w:val="0007794F"/>
    <w:rsid w:val="00077B38"/>
    <w:rsid w:val="00080C2E"/>
    <w:rsid w:val="000815E0"/>
    <w:rsid w:val="0008258A"/>
    <w:rsid w:val="0008293D"/>
    <w:rsid w:val="00082C0F"/>
    <w:rsid w:val="00085A45"/>
    <w:rsid w:val="00086750"/>
    <w:rsid w:val="000872ED"/>
    <w:rsid w:val="000929B6"/>
    <w:rsid w:val="00092DCF"/>
    <w:rsid w:val="00092EC4"/>
    <w:rsid w:val="00093EE8"/>
    <w:rsid w:val="0009450A"/>
    <w:rsid w:val="00096BBE"/>
    <w:rsid w:val="00096BF3"/>
    <w:rsid w:val="00096EB4"/>
    <w:rsid w:val="0009717B"/>
    <w:rsid w:val="00097334"/>
    <w:rsid w:val="000A0C2D"/>
    <w:rsid w:val="000A2781"/>
    <w:rsid w:val="000A33CB"/>
    <w:rsid w:val="000A38AF"/>
    <w:rsid w:val="000A3EB6"/>
    <w:rsid w:val="000A3ECF"/>
    <w:rsid w:val="000A4304"/>
    <w:rsid w:val="000A4DE5"/>
    <w:rsid w:val="000A4E81"/>
    <w:rsid w:val="000A5061"/>
    <w:rsid w:val="000A5D75"/>
    <w:rsid w:val="000A60B8"/>
    <w:rsid w:val="000A6414"/>
    <w:rsid w:val="000A6B75"/>
    <w:rsid w:val="000A6C6F"/>
    <w:rsid w:val="000B00E0"/>
    <w:rsid w:val="000B0309"/>
    <w:rsid w:val="000B10B6"/>
    <w:rsid w:val="000B1A7F"/>
    <w:rsid w:val="000B1D0F"/>
    <w:rsid w:val="000B1D84"/>
    <w:rsid w:val="000B1E8C"/>
    <w:rsid w:val="000B206E"/>
    <w:rsid w:val="000B21F1"/>
    <w:rsid w:val="000B2E78"/>
    <w:rsid w:val="000B3AF4"/>
    <w:rsid w:val="000B3FF3"/>
    <w:rsid w:val="000B40B9"/>
    <w:rsid w:val="000B4D7F"/>
    <w:rsid w:val="000B4F70"/>
    <w:rsid w:val="000B5480"/>
    <w:rsid w:val="000B7BF2"/>
    <w:rsid w:val="000C0958"/>
    <w:rsid w:val="000C188B"/>
    <w:rsid w:val="000C2117"/>
    <w:rsid w:val="000C2C62"/>
    <w:rsid w:val="000C2F53"/>
    <w:rsid w:val="000C3B20"/>
    <w:rsid w:val="000C50F5"/>
    <w:rsid w:val="000C6D8D"/>
    <w:rsid w:val="000C76AD"/>
    <w:rsid w:val="000D1F6C"/>
    <w:rsid w:val="000D3556"/>
    <w:rsid w:val="000D3D76"/>
    <w:rsid w:val="000D4DB4"/>
    <w:rsid w:val="000D57D6"/>
    <w:rsid w:val="000D58AD"/>
    <w:rsid w:val="000D70BC"/>
    <w:rsid w:val="000D74E7"/>
    <w:rsid w:val="000D7C1A"/>
    <w:rsid w:val="000E0E78"/>
    <w:rsid w:val="000E1050"/>
    <w:rsid w:val="000E25CC"/>
    <w:rsid w:val="000E2A3D"/>
    <w:rsid w:val="000E2F0F"/>
    <w:rsid w:val="000E446F"/>
    <w:rsid w:val="000E4B00"/>
    <w:rsid w:val="000E4EE5"/>
    <w:rsid w:val="000E50E9"/>
    <w:rsid w:val="000E54A2"/>
    <w:rsid w:val="000E6CE9"/>
    <w:rsid w:val="000E7406"/>
    <w:rsid w:val="000F0A46"/>
    <w:rsid w:val="000F0F58"/>
    <w:rsid w:val="000F26CA"/>
    <w:rsid w:val="000F5F96"/>
    <w:rsid w:val="000F7334"/>
    <w:rsid w:val="0010012B"/>
    <w:rsid w:val="00100287"/>
    <w:rsid w:val="0010052C"/>
    <w:rsid w:val="001006FE"/>
    <w:rsid w:val="0010125C"/>
    <w:rsid w:val="00101FF1"/>
    <w:rsid w:val="001035DC"/>
    <w:rsid w:val="001048BF"/>
    <w:rsid w:val="00105C56"/>
    <w:rsid w:val="00110035"/>
    <w:rsid w:val="00110969"/>
    <w:rsid w:val="00111739"/>
    <w:rsid w:val="00111E7C"/>
    <w:rsid w:val="00112D42"/>
    <w:rsid w:val="001131AE"/>
    <w:rsid w:val="00113A35"/>
    <w:rsid w:val="001149AD"/>
    <w:rsid w:val="00115DB5"/>
    <w:rsid w:val="001211B5"/>
    <w:rsid w:val="00121368"/>
    <w:rsid w:val="00121F45"/>
    <w:rsid w:val="001230D5"/>
    <w:rsid w:val="001244C2"/>
    <w:rsid w:val="001246DA"/>
    <w:rsid w:val="001255A9"/>
    <w:rsid w:val="00125750"/>
    <w:rsid w:val="00125AAA"/>
    <w:rsid w:val="00125B95"/>
    <w:rsid w:val="00125EED"/>
    <w:rsid w:val="001272BF"/>
    <w:rsid w:val="00130045"/>
    <w:rsid w:val="001313C9"/>
    <w:rsid w:val="0013184D"/>
    <w:rsid w:val="0013295B"/>
    <w:rsid w:val="00132E33"/>
    <w:rsid w:val="001332E8"/>
    <w:rsid w:val="00133384"/>
    <w:rsid w:val="00133E33"/>
    <w:rsid w:val="00135028"/>
    <w:rsid w:val="0013739D"/>
    <w:rsid w:val="0014187D"/>
    <w:rsid w:val="0014267E"/>
    <w:rsid w:val="0014459D"/>
    <w:rsid w:val="001445A7"/>
    <w:rsid w:val="00144E27"/>
    <w:rsid w:val="00145F94"/>
    <w:rsid w:val="00146750"/>
    <w:rsid w:val="0014781B"/>
    <w:rsid w:val="00150058"/>
    <w:rsid w:val="001505D1"/>
    <w:rsid w:val="00150756"/>
    <w:rsid w:val="001507C8"/>
    <w:rsid w:val="001508A6"/>
    <w:rsid w:val="00150C1D"/>
    <w:rsid w:val="00151B6E"/>
    <w:rsid w:val="00152BD0"/>
    <w:rsid w:val="0015317E"/>
    <w:rsid w:val="0015364D"/>
    <w:rsid w:val="001537AF"/>
    <w:rsid w:val="00153E95"/>
    <w:rsid w:val="0016020A"/>
    <w:rsid w:val="00160B73"/>
    <w:rsid w:val="00161455"/>
    <w:rsid w:val="00163822"/>
    <w:rsid w:val="001648B2"/>
    <w:rsid w:val="00165196"/>
    <w:rsid w:val="001655CF"/>
    <w:rsid w:val="0016761D"/>
    <w:rsid w:val="00167626"/>
    <w:rsid w:val="00170D76"/>
    <w:rsid w:val="0017112A"/>
    <w:rsid w:val="00172364"/>
    <w:rsid w:val="001735D8"/>
    <w:rsid w:val="0017426E"/>
    <w:rsid w:val="00176421"/>
    <w:rsid w:val="0017738A"/>
    <w:rsid w:val="001774C8"/>
    <w:rsid w:val="00177F08"/>
    <w:rsid w:val="00177F8C"/>
    <w:rsid w:val="00180323"/>
    <w:rsid w:val="00180720"/>
    <w:rsid w:val="00181EE8"/>
    <w:rsid w:val="00182D30"/>
    <w:rsid w:val="0018316A"/>
    <w:rsid w:val="001837A6"/>
    <w:rsid w:val="00183A28"/>
    <w:rsid w:val="00184ED3"/>
    <w:rsid w:val="00185438"/>
    <w:rsid w:val="00187BD2"/>
    <w:rsid w:val="00187C02"/>
    <w:rsid w:val="00187F73"/>
    <w:rsid w:val="00190317"/>
    <w:rsid w:val="00192593"/>
    <w:rsid w:val="00192B09"/>
    <w:rsid w:val="00192BE7"/>
    <w:rsid w:val="0019361D"/>
    <w:rsid w:val="00194670"/>
    <w:rsid w:val="00194B11"/>
    <w:rsid w:val="00194D12"/>
    <w:rsid w:val="00194DFD"/>
    <w:rsid w:val="0019581F"/>
    <w:rsid w:val="00195D62"/>
    <w:rsid w:val="00196DD8"/>
    <w:rsid w:val="001A0FC2"/>
    <w:rsid w:val="001A13A0"/>
    <w:rsid w:val="001A13F7"/>
    <w:rsid w:val="001A226F"/>
    <w:rsid w:val="001A25B4"/>
    <w:rsid w:val="001A2DD8"/>
    <w:rsid w:val="001A2F9C"/>
    <w:rsid w:val="001A312D"/>
    <w:rsid w:val="001A3599"/>
    <w:rsid w:val="001A384F"/>
    <w:rsid w:val="001B0130"/>
    <w:rsid w:val="001B0FCA"/>
    <w:rsid w:val="001B0FCF"/>
    <w:rsid w:val="001B153D"/>
    <w:rsid w:val="001B190A"/>
    <w:rsid w:val="001B22F2"/>
    <w:rsid w:val="001B2979"/>
    <w:rsid w:val="001B4BCE"/>
    <w:rsid w:val="001B4C51"/>
    <w:rsid w:val="001B5124"/>
    <w:rsid w:val="001B58BA"/>
    <w:rsid w:val="001B5FBE"/>
    <w:rsid w:val="001C1907"/>
    <w:rsid w:val="001C26AB"/>
    <w:rsid w:val="001C2B22"/>
    <w:rsid w:val="001C5A5B"/>
    <w:rsid w:val="001C5BD1"/>
    <w:rsid w:val="001C77B6"/>
    <w:rsid w:val="001D0037"/>
    <w:rsid w:val="001D16FA"/>
    <w:rsid w:val="001D1AED"/>
    <w:rsid w:val="001D2F21"/>
    <w:rsid w:val="001D4A6A"/>
    <w:rsid w:val="001D7042"/>
    <w:rsid w:val="001D7439"/>
    <w:rsid w:val="001D746A"/>
    <w:rsid w:val="001E081A"/>
    <w:rsid w:val="001E4376"/>
    <w:rsid w:val="001E5B69"/>
    <w:rsid w:val="001E5F73"/>
    <w:rsid w:val="001E7141"/>
    <w:rsid w:val="001E7446"/>
    <w:rsid w:val="001E7755"/>
    <w:rsid w:val="001E7B75"/>
    <w:rsid w:val="001F0394"/>
    <w:rsid w:val="001F05CE"/>
    <w:rsid w:val="001F14A5"/>
    <w:rsid w:val="001F17F2"/>
    <w:rsid w:val="001F2665"/>
    <w:rsid w:val="001F3C03"/>
    <w:rsid w:val="001F5CD5"/>
    <w:rsid w:val="001F6130"/>
    <w:rsid w:val="001F6CCE"/>
    <w:rsid w:val="001F74D8"/>
    <w:rsid w:val="00201772"/>
    <w:rsid w:val="00202F3E"/>
    <w:rsid w:val="002049DB"/>
    <w:rsid w:val="002064E2"/>
    <w:rsid w:val="00207D74"/>
    <w:rsid w:val="002101DC"/>
    <w:rsid w:val="00211111"/>
    <w:rsid w:val="002112A3"/>
    <w:rsid w:val="002134A2"/>
    <w:rsid w:val="00215CD6"/>
    <w:rsid w:val="0021644D"/>
    <w:rsid w:val="00216CB4"/>
    <w:rsid w:val="0021719C"/>
    <w:rsid w:val="002179C3"/>
    <w:rsid w:val="00220A2B"/>
    <w:rsid w:val="00220CA6"/>
    <w:rsid w:val="00223527"/>
    <w:rsid w:val="00223BFC"/>
    <w:rsid w:val="00224C6B"/>
    <w:rsid w:val="00224D02"/>
    <w:rsid w:val="00226542"/>
    <w:rsid w:val="00230C08"/>
    <w:rsid w:val="00232076"/>
    <w:rsid w:val="002336BA"/>
    <w:rsid w:val="00235CCF"/>
    <w:rsid w:val="0023639A"/>
    <w:rsid w:val="00236E76"/>
    <w:rsid w:val="00236FBF"/>
    <w:rsid w:val="002378D5"/>
    <w:rsid w:val="00237E22"/>
    <w:rsid w:val="00242C95"/>
    <w:rsid w:val="0024398A"/>
    <w:rsid w:val="0024549D"/>
    <w:rsid w:val="002454F5"/>
    <w:rsid w:val="00245557"/>
    <w:rsid w:val="00245D29"/>
    <w:rsid w:val="00247AA6"/>
    <w:rsid w:val="00251A3D"/>
    <w:rsid w:val="00253BFC"/>
    <w:rsid w:val="00254960"/>
    <w:rsid w:val="00254E93"/>
    <w:rsid w:val="00254F41"/>
    <w:rsid w:val="00254F83"/>
    <w:rsid w:val="00255750"/>
    <w:rsid w:val="002567D4"/>
    <w:rsid w:val="0026001C"/>
    <w:rsid w:val="00260C0D"/>
    <w:rsid w:val="00260F03"/>
    <w:rsid w:val="00262F59"/>
    <w:rsid w:val="00263462"/>
    <w:rsid w:val="002634E9"/>
    <w:rsid w:val="00263B9B"/>
    <w:rsid w:val="00263CD8"/>
    <w:rsid w:val="0026484C"/>
    <w:rsid w:val="00264A7E"/>
    <w:rsid w:val="00267A50"/>
    <w:rsid w:val="00270C1A"/>
    <w:rsid w:val="00270CE0"/>
    <w:rsid w:val="00270D79"/>
    <w:rsid w:val="00271410"/>
    <w:rsid w:val="002714F8"/>
    <w:rsid w:val="00271D72"/>
    <w:rsid w:val="00272C47"/>
    <w:rsid w:val="002734F2"/>
    <w:rsid w:val="0027509D"/>
    <w:rsid w:val="00275B4E"/>
    <w:rsid w:val="002779AE"/>
    <w:rsid w:val="002826C9"/>
    <w:rsid w:val="0028362E"/>
    <w:rsid w:val="00283C80"/>
    <w:rsid w:val="00284235"/>
    <w:rsid w:val="002860B1"/>
    <w:rsid w:val="002862C7"/>
    <w:rsid w:val="00286A61"/>
    <w:rsid w:val="00287AC1"/>
    <w:rsid w:val="00290B60"/>
    <w:rsid w:val="00291EE7"/>
    <w:rsid w:val="00293ED7"/>
    <w:rsid w:val="00294974"/>
    <w:rsid w:val="002A0B17"/>
    <w:rsid w:val="002A0D1D"/>
    <w:rsid w:val="002A1786"/>
    <w:rsid w:val="002A1835"/>
    <w:rsid w:val="002A3FD6"/>
    <w:rsid w:val="002A4716"/>
    <w:rsid w:val="002A4B77"/>
    <w:rsid w:val="002A5684"/>
    <w:rsid w:val="002A615A"/>
    <w:rsid w:val="002A6DD4"/>
    <w:rsid w:val="002A77A7"/>
    <w:rsid w:val="002B03B6"/>
    <w:rsid w:val="002B12BE"/>
    <w:rsid w:val="002B181E"/>
    <w:rsid w:val="002B2072"/>
    <w:rsid w:val="002B37C5"/>
    <w:rsid w:val="002B6ACA"/>
    <w:rsid w:val="002B7354"/>
    <w:rsid w:val="002C043B"/>
    <w:rsid w:val="002C056A"/>
    <w:rsid w:val="002C0D84"/>
    <w:rsid w:val="002C1A8F"/>
    <w:rsid w:val="002C1FD6"/>
    <w:rsid w:val="002C2424"/>
    <w:rsid w:val="002C3189"/>
    <w:rsid w:val="002C3821"/>
    <w:rsid w:val="002C3D03"/>
    <w:rsid w:val="002C3F14"/>
    <w:rsid w:val="002C5560"/>
    <w:rsid w:val="002C5B49"/>
    <w:rsid w:val="002C637F"/>
    <w:rsid w:val="002C6E2C"/>
    <w:rsid w:val="002C7CB4"/>
    <w:rsid w:val="002D2DED"/>
    <w:rsid w:val="002D3309"/>
    <w:rsid w:val="002D39C1"/>
    <w:rsid w:val="002D4909"/>
    <w:rsid w:val="002D5512"/>
    <w:rsid w:val="002D5DF6"/>
    <w:rsid w:val="002D6A25"/>
    <w:rsid w:val="002E0E28"/>
    <w:rsid w:val="002E1155"/>
    <w:rsid w:val="002E3699"/>
    <w:rsid w:val="002E3AFF"/>
    <w:rsid w:val="002E6B1C"/>
    <w:rsid w:val="002E7002"/>
    <w:rsid w:val="002F07FE"/>
    <w:rsid w:val="002F0AEC"/>
    <w:rsid w:val="002F1278"/>
    <w:rsid w:val="002F1623"/>
    <w:rsid w:val="002F26E2"/>
    <w:rsid w:val="002F2E00"/>
    <w:rsid w:val="002F346C"/>
    <w:rsid w:val="002F3A94"/>
    <w:rsid w:val="002F52D7"/>
    <w:rsid w:val="003005A9"/>
    <w:rsid w:val="0030097D"/>
    <w:rsid w:val="00301680"/>
    <w:rsid w:val="00301C83"/>
    <w:rsid w:val="0030391C"/>
    <w:rsid w:val="00304714"/>
    <w:rsid w:val="003052A4"/>
    <w:rsid w:val="003060AA"/>
    <w:rsid w:val="003071D1"/>
    <w:rsid w:val="00307DE2"/>
    <w:rsid w:val="00310035"/>
    <w:rsid w:val="00310443"/>
    <w:rsid w:val="00310C28"/>
    <w:rsid w:val="00310C48"/>
    <w:rsid w:val="003117DF"/>
    <w:rsid w:val="003117E8"/>
    <w:rsid w:val="00311A3C"/>
    <w:rsid w:val="00311E50"/>
    <w:rsid w:val="00312795"/>
    <w:rsid w:val="003127E7"/>
    <w:rsid w:val="00313860"/>
    <w:rsid w:val="00314131"/>
    <w:rsid w:val="003149FC"/>
    <w:rsid w:val="00314B6F"/>
    <w:rsid w:val="00314D00"/>
    <w:rsid w:val="003157A4"/>
    <w:rsid w:val="003172D1"/>
    <w:rsid w:val="00317900"/>
    <w:rsid w:val="00320CB8"/>
    <w:rsid w:val="00320D69"/>
    <w:rsid w:val="00320FA1"/>
    <w:rsid w:val="00321BFD"/>
    <w:rsid w:val="00321D52"/>
    <w:rsid w:val="0032229F"/>
    <w:rsid w:val="003232BE"/>
    <w:rsid w:val="003232F4"/>
    <w:rsid w:val="00323AB9"/>
    <w:rsid w:val="00323BC6"/>
    <w:rsid w:val="00324166"/>
    <w:rsid w:val="00324620"/>
    <w:rsid w:val="0032475A"/>
    <w:rsid w:val="00324FE2"/>
    <w:rsid w:val="00325173"/>
    <w:rsid w:val="00325696"/>
    <w:rsid w:val="00331031"/>
    <w:rsid w:val="00331105"/>
    <w:rsid w:val="003320F1"/>
    <w:rsid w:val="00333988"/>
    <w:rsid w:val="00334A9B"/>
    <w:rsid w:val="00336755"/>
    <w:rsid w:val="0033742E"/>
    <w:rsid w:val="0033768C"/>
    <w:rsid w:val="00337C47"/>
    <w:rsid w:val="003401FC"/>
    <w:rsid w:val="0034042F"/>
    <w:rsid w:val="00340C1F"/>
    <w:rsid w:val="00342C93"/>
    <w:rsid w:val="00343167"/>
    <w:rsid w:val="003435BB"/>
    <w:rsid w:val="00345E2B"/>
    <w:rsid w:val="00347235"/>
    <w:rsid w:val="00352B02"/>
    <w:rsid w:val="003538DF"/>
    <w:rsid w:val="00353A2A"/>
    <w:rsid w:val="00355AFF"/>
    <w:rsid w:val="00355E91"/>
    <w:rsid w:val="0035644F"/>
    <w:rsid w:val="00356634"/>
    <w:rsid w:val="003571BD"/>
    <w:rsid w:val="00360783"/>
    <w:rsid w:val="00361E18"/>
    <w:rsid w:val="00364950"/>
    <w:rsid w:val="00365DC5"/>
    <w:rsid w:val="00366639"/>
    <w:rsid w:val="00370782"/>
    <w:rsid w:val="00371144"/>
    <w:rsid w:val="00371412"/>
    <w:rsid w:val="00371B0D"/>
    <w:rsid w:val="00371D73"/>
    <w:rsid w:val="00372D28"/>
    <w:rsid w:val="00373068"/>
    <w:rsid w:val="0037326E"/>
    <w:rsid w:val="00373437"/>
    <w:rsid w:val="0037405D"/>
    <w:rsid w:val="00376ADC"/>
    <w:rsid w:val="003774ED"/>
    <w:rsid w:val="00377585"/>
    <w:rsid w:val="00377E02"/>
    <w:rsid w:val="003805A3"/>
    <w:rsid w:val="00380671"/>
    <w:rsid w:val="00380E4F"/>
    <w:rsid w:val="003820A5"/>
    <w:rsid w:val="0038249A"/>
    <w:rsid w:val="00382F38"/>
    <w:rsid w:val="00382FF5"/>
    <w:rsid w:val="003832AC"/>
    <w:rsid w:val="0038440D"/>
    <w:rsid w:val="003859E1"/>
    <w:rsid w:val="003861AC"/>
    <w:rsid w:val="0038741D"/>
    <w:rsid w:val="00387BBB"/>
    <w:rsid w:val="00390978"/>
    <w:rsid w:val="00391A50"/>
    <w:rsid w:val="003924B6"/>
    <w:rsid w:val="003927E6"/>
    <w:rsid w:val="0039401B"/>
    <w:rsid w:val="00394067"/>
    <w:rsid w:val="00394D58"/>
    <w:rsid w:val="00396140"/>
    <w:rsid w:val="0039635D"/>
    <w:rsid w:val="00396B65"/>
    <w:rsid w:val="00396C0E"/>
    <w:rsid w:val="003976E1"/>
    <w:rsid w:val="003A0BF3"/>
    <w:rsid w:val="003A1FB7"/>
    <w:rsid w:val="003A1FE0"/>
    <w:rsid w:val="003A32FD"/>
    <w:rsid w:val="003A46BB"/>
    <w:rsid w:val="003A5704"/>
    <w:rsid w:val="003A75CC"/>
    <w:rsid w:val="003B029C"/>
    <w:rsid w:val="003B065C"/>
    <w:rsid w:val="003B142B"/>
    <w:rsid w:val="003B2055"/>
    <w:rsid w:val="003B270A"/>
    <w:rsid w:val="003B3977"/>
    <w:rsid w:val="003B6920"/>
    <w:rsid w:val="003B6E91"/>
    <w:rsid w:val="003B7172"/>
    <w:rsid w:val="003C0BFC"/>
    <w:rsid w:val="003C27C5"/>
    <w:rsid w:val="003C3A0E"/>
    <w:rsid w:val="003C3C05"/>
    <w:rsid w:val="003C4643"/>
    <w:rsid w:val="003C46BE"/>
    <w:rsid w:val="003C5300"/>
    <w:rsid w:val="003C562E"/>
    <w:rsid w:val="003C65AC"/>
    <w:rsid w:val="003C691B"/>
    <w:rsid w:val="003D2700"/>
    <w:rsid w:val="003D2A72"/>
    <w:rsid w:val="003D5DCF"/>
    <w:rsid w:val="003D6BDF"/>
    <w:rsid w:val="003D7BFB"/>
    <w:rsid w:val="003E03D5"/>
    <w:rsid w:val="003E2241"/>
    <w:rsid w:val="003E2D5D"/>
    <w:rsid w:val="003E5EC3"/>
    <w:rsid w:val="003E64B5"/>
    <w:rsid w:val="003E76AA"/>
    <w:rsid w:val="003F1AB8"/>
    <w:rsid w:val="003F1B3C"/>
    <w:rsid w:val="003F1B97"/>
    <w:rsid w:val="003F1CC7"/>
    <w:rsid w:val="003F1DDC"/>
    <w:rsid w:val="003F2D0D"/>
    <w:rsid w:val="003F35C8"/>
    <w:rsid w:val="003F3CB1"/>
    <w:rsid w:val="003F499C"/>
    <w:rsid w:val="003F6CC3"/>
    <w:rsid w:val="003F6D27"/>
    <w:rsid w:val="00401386"/>
    <w:rsid w:val="0040145B"/>
    <w:rsid w:val="0040236C"/>
    <w:rsid w:val="00402BC9"/>
    <w:rsid w:val="004034D4"/>
    <w:rsid w:val="004035F5"/>
    <w:rsid w:val="00403FF0"/>
    <w:rsid w:val="0040404B"/>
    <w:rsid w:val="00404B11"/>
    <w:rsid w:val="004110E9"/>
    <w:rsid w:val="00411146"/>
    <w:rsid w:val="004111CA"/>
    <w:rsid w:val="00411796"/>
    <w:rsid w:val="00412987"/>
    <w:rsid w:val="00413903"/>
    <w:rsid w:val="004141B8"/>
    <w:rsid w:val="00415091"/>
    <w:rsid w:val="004151BC"/>
    <w:rsid w:val="00416B04"/>
    <w:rsid w:val="00417199"/>
    <w:rsid w:val="00417251"/>
    <w:rsid w:val="00420344"/>
    <w:rsid w:val="004203B1"/>
    <w:rsid w:val="00420CA6"/>
    <w:rsid w:val="00420D3A"/>
    <w:rsid w:val="00421179"/>
    <w:rsid w:val="00421552"/>
    <w:rsid w:val="00422278"/>
    <w:rsid w:val="00422AC5"/>
    <w:rsid w:val="004236F5"/>
    <w:rsid w:val="00424509"/>
    <w:rsid w:val="00426308"/>
    <w:rsid w:val="00427392"/>
    <w:rsid w:val="004279FF"/>
    <w:rsid w:val="00431DC5"/>
    <w:rsid w:val="004327BC"/>
    <w:rsid w:val="00432DC1"/>
    <w:rsid w:val="0043388F"/>
    <w:rsid w:val="00434ABE"/>
    <w:rsid w:val="00435407"/>
    <w:rsid w:val="0043684D"/>
    <w:rsid w:val="00436EC5"/>
    <w:rsid w:val="00437A23"/>
    <w:rsid w:val="00437B04"/>
    <w:rsid w:val="00437CFD"/>
    <w:rsid w:val="004409D9"/>
    <w:rsid w:val="00440D6C"/>
    <w:rsid w:val="00440F45"/>
    <w:rsid w:val="00441160"/>
    <w:rsid w:val="00441DF4"/>
    <w:rsid w:val="00442D92"/>
    <w:rsid w:val="0044404A"/>
    <w:rsid w:val="00444955"/>
    <w:rsid w:val="004455F4"/>
    <w:rsid w:val="00445BE9"/>
    <w:rsid w:val="00446E8C"/>
    <w:rsid w:val="00447969"/>
    <w:rsid w:val="00447D7C"/>
    <w:rsid w:val="00450484"/>
    <w:rsid w:val="004510BE"/>
    <w:rsid w:val="00451275"/>
    <w:rsid w:val="004514C8"/>
    <w:rsid w:val="00451763"/>
    <w:rsid w:val="00453972"/>
    <w:rsid w:val="00454098"/>
    <w:rsid w:val="00454A8B"/>
    <w:rsid w:val="0045565C"/>
    <w:rsid w:val="004568BC"/>
    <w:rsid w:val="00460580"/>
    <w:rsid w:val="004614F2"/>
    <w:rsid w:val="004616B6"/>
    <w:rsid w:val="00462EED"/>
    <w:rsid w:val="00463083"/>
    <w:rsid w:val="0046311E"/>
    <w:rsid w:val="0046410E"/>
    <w:rsid w:val="004649EF"/>
    <w:rsid w:val="00465761"/>
    <w:rsid w:val="00465AC9"/>
    <w:rsid w:val="0047064B"/>
    <w:rsid w:val="00470FF3"/>
    <w:rsid w:val="00471A02"/>
    <w:rsid w:val="00472CE5"/>
    <w:rsid w:val="004754C9"/>
    <w:rsid w:val="004757CC"/>
    <w:rsid w:val="00477461"/>
    <w:rsid w:val="00480F9B"/>
    <w:rsid w:val="004815A5"/>
    <w:rsid w:val="00481703"/>
    <w:rsid w:val="0048223A"/>
    <w:rsid w:val="0048271C"/>
    <w:rsid w:val="00482D87"/>
    <w:rsid w:val="00483658"/>
    <w:rsid w:val="004838E3"/>
    <w:rsid w:val="00483DA4"/>
    <w:rsid w:val="004840D0"/>
    <w:rsid w:val="0048470A"/>
    <w:rsid w:val="00484989"/>
    <w:rsid w:val="00485510"/>
    <w:rsid w:val="004873FF"/>
    <w:rsid w:val="004877F1"/>
    <w:rsid w:val="00487D54"/>
    <w:rsid w:val="004903DA"/>
    <w:rsid w:val="004920B6"/>
    <w:rsid w:val="0049304A"/>
    <w:rsid w:val="0049466F"/>
    <w:rsid w:val="00497278"/>
    <w:rsid w:val="004A33A7"/>
    <w:rsid w:val="004A4D56"/>
    <w:rsid w:val="004A645A"/>
    <w:rsid w:val="004A6F29"/>
    <w:rsid w:val="004A7856"/>
    <w:rsid w:val="004B11A9"/>
    <w:rsid w:val="004B1BB5"/>
    <w:rsid w:val="004B2238"/>
    <w:rsid w:val="004B25B2"/>
    <w:rsid w:val="004B5F36"/>
    <w:rsid w:val="004B70D1"/>
    <w:rsid w:val="004B75AD"/>
    <w:rsid w:val="004B7A1E"/>
    <w:rsid w:val="004C1CF6"/>
    <w:rsid w:val="004C2071"/>
    <w:rsid w:val="004C2E54"/>
    <w:rsid w:val="004C3D88"/>
    <w:rsid w:val="004C60E9"/>
    <w:rsid w:val="004C6646"/>
    <w:rsid w:val="004C69F4"/>
    <w:rsid w:val="004C6E21"/>
    <w:rsid w:val="004C7024"/>
    <w:rsid w:val="004D0935"/>
    <w:rsid w:val="004D0DA0"/>
    <w:rsid w:val="004D3766"/>
    <w:rsid w:val="004D40FF"/>
    <w:rsid w:val="004D419A"/>
    <w:rsid w:val="004D63A7"/>
    <w:rsid w:val="004E0401"/>
    <w:rsid w:val="004E0480"/>
    <w:rsid w:val="004E1F23"/>
    <w:rsid w:val="004E29EE"/>
    <w:rsid w:val="004E3336"/>
    <w:rsid w:val="004E393B"/>
    <w:rsid w:val="004E4910"/>
    <w:rsid w:val="004E5758"/>
    <w:rsid w:val="004E5844"/>
    <w:rsid w:val="004E5B6E"/>
    <w:rsid w:val="004E60F8"/>
    <w:rsid w:val="004E6625"/>
    <w:rsid w:val="004F0C3F"/>
    <w:rsid w:val="004F0DAD"/>
    <w:rsid w:val="004F0E74"/>
    <w:rsid w:val="004F119C"/>
    <w:rsid w:val="004F185E"/>
    <w:rsid w:val="004F1A40"/>
    <w:rsid w:val="004F1B00"/>
    <w:rsid w:val="004F307A"/>
    <w:rsid w:val="004F5D5A"/>
    <w:rsid w:val="004F6A46"/>
    <w:rsid w:val="004F791A"/>
    <w:rsid w:val="004F79BE"/>
    <w:rsid w:val="004F7B4A"/>
    <w:rsid w:val="0050063C"/>
    <w:rsid w:val="00500F78"/>
    <w:rsid w:val="00502A12"/>
    <w:rsid w:val="00503D60"/>
    <w:rsid w:val="0050408D"/>
    <w:rsid w:val="005075F8"/>
    <w:rsid w:val="00507D2A"/>
    <w:rsid w:val="00507EB8"/>
    <w:rsid w:val="00512A98"/>
    <w:rsid w:val="00512FEF"/>
    <w:rsid w:val="005131E5"/>
    <w:rsid w:val="00515403"/>
    <w:rsid w:val="005158D5"/>
    <w:rsid w:val="005167BF"/>
    <w:rsid w:val="00517096"/>
    <w:rsid w:val="005172D7"/>
    <w:rsid w:val="00517622"/>
    <w:rsid w:val="00520F60"/>
    <w:rsid w:val="00522AC1"/>
    <w:rsid w:val="005230D9"/>
    <w:rsid w:val="00523274"/>
    <w:rsid w:val="005253A8"/>
    <w:rsid w:val="005253AB"/>
    <w:rsid w:val="00525433"/>
    <w:rsid w:val="00525B47"/>
    <w:rsid w:val="00526B94"/>
    <w:rsid w:val="005274CF"/>
    <w:rsid w:val="00530D31"/>
    <w:rsid w:val="00530FE9"/>
    <w:rsid w:val="00531176"/>
    <w:rsid w:val="00531379"/>
    <w:rsid w:val="005319AE"/>
    <w:rsid w:val="00531AA5"/>
    <w:rsid w:val="00532CD6"/>
    <w:rsid w:val="0053321A"/>
    <w:rsid w:val="00533519"/>
    <w:rsid w:val="00533C8C"/>
    <w:rsid w:val="0053466A"/>
    <w:rsid w:val="005346EF"/>
    <w:rsid w:val="00536C15"/>
    <w:rsid w:val="00536D36"/>
    <w:rsid w:val="00537107"/>
    <w:rsid w:val="005376FE"/>
    <w:rsid w:val="00537FFA"/>
    <w:rsid w:val="00541544"/>
    <w:rsid w:val="00541D17"/>
    <w:rsid w:val="005430E6"/>
    <w:rsid w:val="005431FA"/>
    <w:rsid w:val="0054375D"/>
    <w:rsid w:val="005437D2"/>
    <w:rsid w:val="00543F64"/>
    <w:rsid w:val="00544348"/>
    <w:rsid w:val="005454B5"/>
    <w:rsid w:val="00545D41"/>
    <w:rsid w:val="00546A08"/>
    <w:rsid w:val="00547854"/>
    <w:rsid w:val="00547993"/>
    <w:rsid w:val="00547B17"/>
    <w:rsid w:val="00550074"/>
    <w:rsid w:val="005509B2"/>
    <w:rsid w:val="00550F50"/>
    <w:rsid w:val="00551631"/>
    <w:rsid w:val="005523CE"/>
    <w:rsid w:val="00552968"/>
    <w:rsid w:val="00553D6C"/>
    <w:rsid w:val="00553E30"/>
    <w:rsid w:val="0055418D"/>
    <w:rsid w:val="00554CAF"/>
    <w:rsid w:val="00556756"/>
    <w:rsid w:val="00556AA2"/>
    <w:rsid w:val="005575B2"/>
    <w:rsid w:val="005576D7"/>
    <w:rsid w:val="00560EB4"/>
    <w:rsid w:val="0056278E"/>
    <w:rsid w:val="0056348C"/>
    <w:rsid w:val="00563CF7"/>
    <w:rsid w:val="00564026"/>
    <w:rsid w:val="0056427D"/>
    <w:rsid w:val="00564B48"/>
    <w:rsid w:val="0056571D"/>
    <w:rsid w:val="0056695D"/>
    <w:rsid w:val="00570FE1"/>
    <w:rsid w:val="00571AA7"/>
    <w:rsid w:val="00573071"/>
    <w:rsid w:val="00574FDE"/>
    <w:rsid w:val="00575475"/>
    <w:rsid w:val="00575F4F"/>
    <w:rsid w:val="005763E6"/>
    <w:rsid w:val="00577106"/>
    <w:rsid w:val="005771C0"/>
    <w:rsid w:val="005773EA"/>
    <w:rsid w:val="00580505"/>
    <w:rsid w:val="005805B6"/>
    <w:rsid w:val="0058061F"/>
    <w:rsid w:val="0058090A"/>
    <w:rsid w:val="00580B38"/>
    <w:rsid w:val="00585134"/>
    <w:rsid w:val="00585792"/>
    <w:rsid w:val="005868C4"/>
    <w:rsid w:val="005871F9"/>
    <w:rsid w:val="00591833"/>
    <w:rsid w:val="00591C2A"/>
    <w:rsid w:val="005926AE"/>
    <w:rsid w:val="00593C83"/>
    <w:rsid w:val="00594396"/>
    <w:rsid w:val="00594703"/>
    <w:rsid w:val="00594E7F"/>
    <w:rsid w:val="00595433"/>
    <w:rsid w:val="00595D61"/>
    <w:rsid w:val="0059653E"/>
    <w:rsid w:val="00596A90"/>
    <w:rsid w:val="005A040E"/>
    <w:rsid w:val="005A0B47"/>
    <w:rsid w:val="005A0CF6"/>
    <w:rsid w:val="005A1F3E"/>
    <w:rsid w:val="005A20EE"/>
    <w:rsid w:val="005A25CB"/>
    <w:rsid w:val="005A2724"/>
    <w:rsid w:val="005A2745"/>
    <w:rsid w:val="005A3F10"/>
    <w:rsid w:val="005A423D"/>
    <w:rsid w:val="005A4DB5"/>
    <w:rsid w:val="005A637B"/>
    <w:rsid w:val="005A6422"/>
    <w:rsid w:val="005A7017"/>
    <w:rsid w:val="005B054F"/>
    <w:rsid w:val="005B18F1"/>
    <w:rsid w:val="005B2DCC"/>
    <w:rsid w:val="005B388F"/>
    <w:rsid w:val="005B3BC3"/>
    <w:rsid w:val="005B3E26"/>
    <w:rsid w:val="005B3F1A"/>
    <w:rsid w:val="005B4BB3"/>
    <w:rsid w:val="005B565D"/>
    <w:rsid w:val="005B7C2C"/>
    <w:rsid w:val="005C033F"/>
    <w:rsid w:val="005C10D0"/>
    <w:rsid w:val="005C39A2"/>
    <w:rsid w:val="005C6C6C"/>
    <w:rsid w:val="005C77E7"/>
    <w:rsid w:val="005D02A6"/>
    <w:rsid w:val="005D05FD"/>
    <w:rsid w:val="005D0989"/>
    <w:rsid w:val="005D0A3B"/>
    <w:rsid w:val="005D0AA9"/>
    <w:rsid w:val="005D129D"/>
    <w:rsid w:val="005D156C"/>
    <w:rsid w:val="005D1571"/>
    <w:rsid w:val="005D1BC4"/>
    <w:rsid w:val="005D22E1"/>
    <w:rsid w:val="005D2782"/>
    <w:rsid w:val="005D3057"/>
    <w:rsid w:val="005D3CA2"/>
    <w:rsid w:val="005D46AA"/>
    <w:rsid w:val="005D6A3D"/>
    <w:rsid w:val="005D71D8"/>
    <w:rsid w:val="005D7F1D"/>
    <w:rsid w:val="005E08D7"/>
    <w:rsid w:val="005E0A3F"/>
    <w:rsid w:val="005E356F"/>
    <w:rsid w:val="005E6FD1"/>
    <w:rsid w:val="005E7C0D"/>
    <w:rsid w:val="005F01A9"/>
    <w:rsid w:val="005F0BC3"/>
    <w:rsid w:val="005F241C"/>
    <w:rsid w:val="005F33A1"/>
    <w:rsid w:val="005F366C"/>
    <w:rsid w:val="005F39E6"/>
    <w:rsid w:val="005F4009"/>
    <w:rsid w:val="005F48A4"/>
    <w:rsid w:val="005F4DD7"/>
    <w:rsid w:val="005F52B9"/>
    <w:rsid w:val="005F56AD"/>
    <w:rsid w:val="005F63D8"/>
    <w:rsid w:val="005F6487"/>
    <w:rsid w:val="005F765C"/>
    <w:rsid w:val="00600A0F"/>
    <w:rsid w:val="00601209"/>
    <w:rsid w:val="00601BEE"/>
    <w:rsid w:val="00601C08"/>
    <w:rsid w:val="00602FC9"/>
    <w:rsid w:val="006035B3"/>
    <w:rsid w:val="00604A63"/>
    <w:rsid w:val="00604DC8"/>
    <w:rsid w:val="00605DF0"/>
    <w:rsid w:val="00607817"/>
    <w:rsid w:val="00611CAD"/>
    <w:rsid w:val="00611D93"/>
    <w:rsid w:val="00612195"/>
    <w:rsid w:val="0061225B"/>
    <w:rsid w:val="00612CCC"/>
    <w:rsid w:val="00612FFD"/>
    <w:rsid w:val="00613AD3"/>
    <w:rsid w:val="00614CA4"/>
    <w:rsid w:val="00615403"/>
    <w:rsid w:val="00616782"/>
    <w:rsid w:val="00617208"/>
    <w:rsid w:val="0061765C"/>
    <w:rsid w:val="006210B3"/>
    <w:rsid w:val="00621A9E"/>
    <w:rsid w:val="00621ABD"/>
    <w:rsid w:val="00621FF3"/>
    <w:rsid w:val="00622B0E"/>
    <w:rsid w:val="00622F1B"/>
    <w:rsid w:val="00624DB2"/>
    <w:rsid w:val="006252F6"/>
    <w:rsid w:val="0062573F"/>
    <w:rsid w:val="006300EA"/>
    <w:rsid w:val="00630304"/>
    <w:rsid w:val="00630503"/>
    <w:rsid w:val="006306F9"/>
    <w:rsid w:val="00631293"/>
    <w:rsid w:val="0063283A"/>
    <w:rsid w:val="006337FA"/>
    <w:rsid w:val="00633ABA"/>
    <w:rsid w:val="00634760"/>
    <w:rsid w:val="00634A73"/>
    <w:rsid w:val="00636553"/>
    <w:rsid w:val="00640144"/>
    <w:rsid w:val="006407E5"/>
    <w:rsid w:val="00641B02"/>
    <w:rsid w:val="006422FA"/>
    <w:rsid w:val="006427AE"/>
    <w:rsid w:val="006438D7"/>
    <w:rsid w:val="0064587B"/>
    <w:rsid w:val="00646F6B"/>
    <w:rsid w:val="006477EE"/>
    <w:rsid w:val="00647B06"/>
    <w:rsid w:val="00650470"/>
    <w:rsid w:val="0065063F"/>
    <w:rsid w:val="00650916"/>
    <w:rsid w:val="00652AAA"/>
    <w:rsid w:val="00652CFB"/>
    <w:rsid w:val="006541A7"/>
    <w:rsid w:val="00654526"/>
    <w:rsid w:val="00654BCE"/>
    <w:rsid w:val="0065537C"/>
    <w:rsid w:val="00656443"/>
    <w:rsid w:val="0065650E"/>
    <w:rsid w:val="0066012F"/>
    <w:rsid w:val="00660A2D"/>
    <w:rsid w:val="006620F9"/>
    <w:rsid w:val="006621BB"/>
    <w:rsid w:val="006629D0"/>
    <w:rsid w:val="00664CDA"/>
    <w:rsid w:val="006656CE"/>
    <w:rsid w:val="00665768"/>
    <w:rsid w:val="00665DF9"/>
    <w:rsid w:val="006669DD"/>
    <w:rsid w:val="006677B7"/>
    <w:rsid w:val="00670BFF"/>
    <w:rsid w:val="00670ED4"/>
    <w:rsid w:val="00670F01"/>
    <w:rsid w:val="00671D58"/>
    <w:rsid w:val="00671FF6"/>
    <w:rsid w:val="006721BE"/>
    <w:rsid w:val="00673FAE"/>
    <w:rsid w:val="006746A5"/>
    <w:rsid w:val="00674A60"/>
    <w:rsid w:val="00674D41"/>
    <w:rsid w:val="00675021"/>
    <w:rsid w:val="0067502A"/>
    <w:rsid w:val="00675138"/>
    <w:rsid w:val="00675851"/>
    <w:rsid w:val="006802ED"/>
    <w:rsid w:val="00680DFD"/>
    <w:rsid w:val="00685DE3"/>
    <w:rsid w:val="00685FC0"/>
    <w:rsid w:val="00687837"/>
    <w:rsid w:val="006909E0"/>
    <w:rsid w:val="00694143"/>
    <w:rsid w:val="0069432D"/>
    <w:rsid w:val="00696425"/>
    <w:rsid w:val="006A0081"/>
    <w:rsid w:val="006A0A5A"/>
    <w:rsid w:val="006A117F"/>
    <w:rsid w:val="006A4B0D"/>
    <w:rsid w:val="006A61BC"/>
    <w:rsid w:val="006A65CD"/>
    <w:rsid w:val="006A68A5"/>
    <w:rsid w:val="006A70B0"/>
    <w:rsid w:val="006B181D"/>
    <w:rsid w:val="006B1E7C"/>
    <w:rsid w:val="006B2823"/>
    <w:rsid w:val="006B71F7"/>
    <w:rsid w:val="006C02CD"/>
    <w:rsid w:val="006C0923"/>
    <w:rsid w:val="006C24AA"/>
    <w:rsid w:val="006C286C"/>
    <w:rsid w:val="006C2E00"/>
    <w:rsid w:val="006C38A7"/>
    <w:rsid w:val="006C3EB4"/>
    <w:rsid w:val="006C428A"/>
    <w:rsid w:val="006C58C8"/>
    <w:rsid w:val="006C5B4F"/>
    <w:rsid w:val="006C75AE"/>
    <w:rsid w:val="006C7794"/>
    <w:rsid w:val="006D129F"/>
    <w:rsid w:val="006D1711"/>
    <w:rsid w:val="006D21E4"/>
    <w:rsid w:val="006D29C0"/>
    <w:rsid w:val="006D2A49"/>
    <w:rsid w:val="006D2C97"/>
    <w:rsid w:val="006D3587"/>
    <w:rsid w:val="006D5638"/>
    <w:rsid w:val="006D6166"/>
    <w:rsid w:val="006D729E"/>
    <w:rsid w:val="006D7778"/>
    <w:rsid w:val="006D78A9"/>
    <w:rsid w:val="006D7DF0"/>
    <w:rsid w:val="006E04CB"/>
    <w:rsid w:val="006E129F"/>
    <w:rsid w:val="006E2EC6"/>
    <w:rsid w:val="006E36AB"/>
    <w:rsid w:val="006E6E5A"/>
    <w:rsid w:val="006E7985"/>
    <w:rsid w:val="006F0904"/>
    <w:rsid w:val="006F3055"/>
    <w:rsid w:val="006F3572"/>
    <w:rsid w:val="006F3AD9"/>
    <w:rsid w:val="006F4458"/>
    <w:rsid w:val="006F54EF"/>
    <w:rsid w:val="006F582C"/>
    <w:rsid w:val="006F68D3"/>
    <w:rsid w:val="006F6CA4"/>
    <w:rsid w:val="006F70B3"/>
    <w:rsid w:val="006F772A"/>
    <w:rsid w:val="00700312"/>
    <w:rsid w:val="00700A2D"/>
    <w:rsid w:val="00701333"/>
    <w:rsid w:val="00703993"/>
    <w:rsid w:val="0070402F"/>
    <w:rsid w:val="007043B2"/>
    <w:rsid w:val="00705FDE"/>
    <w:rsid w:val="0070755C"/>
    <w:rsid w:val="00707C26"/>
    <w:rsid w:val="00707CBF"/>
    <w:rsid w:val="00711272"/>
    <w:rsid w:val="007118C1"/>
    <w:rsid w:val="00711F8B"/>
    <w:rsid w:val="00712B96"/>
    <w:rsid w:val="00712EE9"/>
    <w:rsid w:val="00713C61"/>
    <w:rsid w:val="007162E3"/>
    <w:rsid w:val="00716914"/>
    <w:rsid w:val="00716DB7"/>
    <w:rsid w:val="00721307"/>
    <w:rsid w:val="00721EBC"/>
    <w:rsid w:val="00722944"/>
    <w:rsid w:val="007230A6"/>
    <w:rsid w:val="007234F6"/>
    <w:rsid w:val="0072407E"/>
    <w:rsid w:val="007246E0"/>
    <w:rsid w:val="00725AF4"/>
    <w:rsid w:val="00732B76"/>
    <w:rsid w:val="00733AB1"/>
    <w:rsid w:val="007348F3"/>
    <w:rsid w:val="007354B6"/>
    <w:rsid w:val="0073621E"/>
    <w:rsid w:val="00736C12"/>
    <w:rsid w:val="00736F60"/>
    <w:rsid w:val="00736FBD"/>
    <w:rsid w:val="00740503"/>
    <w:rsid w:val="0074058A"/>
    <w:rsid w:val="00740F0A"/>
    <w:rsid w:val="0074151D"/>
    <w:rsid w:val="00741ABA"/>
    <w:rsid w:val="007427CC"/>
    <w:rsid w:val="00744608"/>
    <w:rsid w:val="00744CB9"/>
    <w:rsid w:val="0074523E"/>
    <w:rsid w:val="00745854"/>
    <w:rsid w:val="00745D49"/>
    <w:rsid w:val="00745D4A"/>
    <w:rsid w:val="00750BC4"/>
    <w:rsid w:val="00751271"/>
    <w:rsid w:val="00751877"/>
    <w:rsid w:val="00753B18"/>
    <w:rsid w:val="00753F50"/>
    <w:rsid w:val="0075537D"/>
    <w:rsid w:val="00755410"/>
    <w:rsid w:val="007559A5"/>
    <w:rsid w:val="00755AD4"/>
    <w:rsid w:val="00755CFD"/>
    <w:rsid w:val="00755D7B"/>
    <w:rsid w:val="00757027"/>
    <w:rsid w:val="007571E7"/>
    <w:rsid w:val="00760DF1"/>
    <w:rsid w:val="00761DC6"/>
    <w:rsid w:val="00762933"/>
    <w:rsid w:val="0076372B"/>
    <w:rsid w:val="007641AD"/>
    <w:rsid w:val="00764F65"/>
    <w:rsid w:val="00765A77"/>
    <w:rsid w:val="00766022"/>
    <w:rsid w:val="007674F2"/>
    <w:rsid w:val="00770D0E"/>
    <w:rsid w:val="007715F5"/>
    <w:rsid w:val="007721A4"/>
    <w:rsid w:val="00772F3E"/>
    <w:rsid w:val="00774574"/>
    <w:rsid w:val="007748CF"/>
    <w:rsid w:val="007767EB"/>
    <w:rsid w:val="00776AC5"/>
    <w:rsid w:val="00776ADF"/>
    <w:rsid w:val="00776F51"/>
    <w:rsid w:val="00777655"/>
    <w:rsid w:val="00777EE1"/>
    <w:rsid w:val="00780716"/>
    <w:rsid w:val="007808EE"/>
    <w:rsid w:val="007813DB"/>
    <w:rsid w:val="007818D5"/>
    <w:rsid w:val="00781E44"/>
    <w:rsid w:val="00782C83"/>
    <w:rsid w:val="007844F2"/>
    <w:rsid w:val="00784682"/>
    <w:rsid w:val="0078543B"/>
    <w:rsid w:val="007856AC"/>
    <w:rsid w:val="00785D9F"/>
    <w:rsid w:val="00785F91"/>
    <w:rsid w:val="007869E3"/>
    <w:rsid w:val="00790DFF"/>
    <w:rsid w:val="007917BA"/>
    <w:rsid w:val="00791D94"/>
    <w:rsid w:val="0079214D"/>
    <w:rsid w:val="007934D1"/>
    <w:rsid w:val="007939F1"/>
    <w:rsid w:val="00795CE5"/>
    <w:rsid w:val="00795D27"/>
    <w:rsid w:val="0079601A"/>
    <w:rsid w:val="00796737"/>
    <w:rsid w:val="00796BE0"/>
    <w:rsid w:val="007A0FF0"/>
    <w:rsid w:val="007A10FA"/>
    <w:rsid w:val="007A132B"/>
    <w:rsid w:val="007A13A6"/>
    <w:rsid w:val="007A1598"/>
    <w:rsid w:val="007A1A5A"/>
    <w:rsid w:val="007A1A84"/>
    <w:rsid w:val="007A313A"/>
    <w:rsid w:val="007A3218"/>
    <w:rsid w:val="007A3D00"/>
    <w:rsid w:val="007A42FC"/>
    <w:rsid w:val="007A4879"/>
    <w:rsid w:val="007A5404"/>
    <w:rsid w:val="007A567E"/>
    <w:rsid w:val="007A60F0"/>
    <w:rsid w:val="007A696B"/>
    <w:rsid w:val="007B0361"/>
    <w:rsid w:val="007B4093"/>
    <w:rsid w:val="007B4239"/>
    <w:rsid w:val="007B5468"/>
    <w:rsid w:val="007B5E64"/>
    <w:rsid w:val="007B5EF7"/>
    <w:rsid w:val="007C05E0"/>
    <w:rsid w:val="007C0FA1"/>
    <w:rsid w:val="007C1313"/>
    <w:rsid w:val="007C2D53"/>
    <w:rsid w:val="007C30D9"/>
    <w:rsid w:val="007C3857"/>
    <w:rsid w:val="007C395F"/>
    <w:rsid w:val="007C3E5F"/>
    <w:rsid w:val="007C45FF"/>
    <w:rsid w:val="007C4701"/>
    <w:rsid w:val="007C57CD"/>
    <w:rsid w:val="007C59AA"/>
    <w:rsid w:val="007C61F5"/>
    <w:rsid w:val="007C69ED"/>
    <w:rsid w:val="007C6C47"/>
    <w:rsid w:val="007C7579"/>
    <w:rsid w:val="007C7DBC"/>
    <w:rsid w:val="007D0331"/>
    <w:rsid w:val="007D128D"/>
    <w:rsid w:val="007D1835"/>
    <w:rsid w:val="007D1FD1"/>
    <w:rsid w:val="007D20A9"/>
    <w:rsid w:val="007D2359"/>
    <w:rsid w:val="007D25CB"/>
    <w:rsid w:val="007D3007"/>
    <w:rsid w:val="007D317E"/>
    <w:rsid w:val="007D3C75"/>
    <w:rsid w:val="007D46D3"/>
    <w:rsid w:val="007D4909"/>
    <w:rsid w:val="007D4AA3"/>
    <w:rsid w:val="007D561F"/>
    <w:rsid w:val="007D5709"/>
    <w:rsid w:val="007E1B2F"/>
    <w:rsid w:val="007E2540"/>
    <w:rsid w:val="007E3465"/>
    <w:rsid w:val="007E4171"/>
    <w:rsid w:val="007E45E0"/>
    <w:rsid w:val="007E5CBB"/>
    <w:rsid w:val="007E62F6"/>
    <w:rsid w:val="007E6433"/>
    <w:rsid w:val="007E6676"/>
    <w:rsid w:val="007F05A7"/>
    <w:rsid w:val="007F099C"/>
    <w:rsid w:val="007F30D4"/>
    <w:rsid w:val="007F31F6"/>
    <w:rsid w:val="007F3584"/>
    <w:rsid w:val="007F4673"/>
    <w:rsid w:val="007F650C"/>
    <w:rsid w:val="007F786B"/>
    <w:rsid w:val="007F7B6B"/>
    <w:rsid w:val="007F7DE1"/>
    <w:rsid w:val="00802772"/>
    <w:rsid w:val="008032ED"/>
    <w:rsid w:val="00803391"/>
    <w:rsid w:val="008033A4"/>
    <w:rsid w:val="00803F97"/>
    <w:rsid w:val="0080405F"/>
    <w:rsid w:val="008042AC"/>
    <w:rsid w:val="008042E0"/>
    <w:rsid w:val="008049C0"/>
    <w:rsid w:val="00804CD4"/>
    <w:rsid w:val="00805EC4"/>
    <w:rsid w:val="00806B92"/>
    <w:rsid w:val="00807647"/>
    <w:rsid w:val="00807A89"/>
    <w:rsid w:val="0081039B"/>
    <w:rsid w:val="00811EC8"/>
    <w:rsid w:val="008129C6"/>
    <w:rsid w:val="008146B7"/>
    <w:rsid w:val="0081512E"/>
    <w:rsid w:val="00816EB3"/>
    <w:rsid w:val="0081709E"/>
    <w:rsid w:val="00817E8D"/>
    <w:rsid w:val="00820174"/>
    <w:rsid w:val="008208FB"/>
    <w:rsid w:val="0082157B"/>
    <w:rsid w:val="00821634"/>
    <w:rsid w:val="00821769"/>
    <w:rsid w:val="008219D2"/>
    <w:rsid w:val="0082295E"/>
    <w:rsid w:val="0082404F"/>
    <w:rsid w:val="0082427E"/>
    <w:rsid w:val="00826974"/>
    <w:rsid w:val="00830185"/>
    <w:rsid w:val="00831AE5"/>
    <w:rsid w:val="008323D1"/>
    <w:rsid w:val="00833731"/>
    <w:rsid w:val="0083399E"/>
    <w:rsid w:val="008344F5"/>
    <w:rsid w:val="008358EF"/>
    <w:rsid w:val="00843308"/>
    <w:rsid w:val="008447D6"/>
    <w:rsid w:val="00844DCD"/>
    <w:rsid w:val="008452C8"/>
    <w:rsid w:val="008454A2"/>
    <w:rsid w:val="00846057"/>
    <w:rsid w:val="00846157"/>
    <w:rsid w:val="00846FB0"/>
    <w:rsid w:val="00850C6D"/>
    <w:rsid w:val="008512DE"/>
    <w:rsid w:val="00852EAD"/>
    <w:rsid w:val="00853AE9"/>
    <w:rsid w:val="008540CA"/>
    <w:rsid w:val="00854186"/>
    <w:rsid w:val="00854281"/>
    <w:rsid w:val="00854689"/>
    <w:rsid w:val="00855ADF"/>
    <w:rsid w:val="00855BC2"/>
    <w:rsid w:val="00856801"/>
    <w:rsid w:val="008573F4"/>
    <w:rsid w:val="00857C7D"/>
    <w:rsid w:val="00861628"/>
    <w:rsid w:val="00861BB0"/>
    <w:rsid w:val="008621D3"/>
    <w:rsid w:val="00863AC5"/>
    <w:rsid w:val="00864ACA"/>
    <w:rsid w:val="00865307"/>
    <w:rsid w:val="0086553E"/>
    <w:rsid w:val="00865951"/>
    <w:rsid w:val="00865E19"/>
    <w:rsid w:val="00867118"/>
    <w:rsid w:val="0086753C"/>
    <w:rsid w:val="00870C2E"/>
    <w:rsid w:val="0087124E"/>
    <w:rsid w:val="00871404"/>
    <w:rsid w:val="00871C26"/>
    <w:rsid w:val="0087247F"/>
    <w:rsid w:val="0087352C"/>
    <w:rsid w:val="00874062"/>
    <w:rsid w:val="008753EF"/>
    <w:rsid w:val="00876978"/>
    <w:rsid w:val="00876A99"/>
    <w:rsid w:val="00881B40"/>
    <w:rsid w:val="008825FC"/>
    <w:rsid w:val="0088270B"/>
    <w:rsid w:val="0088502D"/>
    <w:rsid w:val="00887A33"/>
    <w:rsid w:val="008903D5"/>
    <w:rsid w:val="00890A89"/>
    <w:rsid w:val="008913C9"/>
    <w:rsid w:val="00892257"/>
    <w:rsid w:val="008947D6"/>
    <w:rsid w:val="00895C9D"/>
    <w:rsid w:val="00896809"/>
    <w:rsid w:val="008970AC"/>
    <w:rsid w:val="008974D7"/>
    <w:rsid w:val="00897CDA"/>
    <w:rsid w:val="008A07E4"/>
    <w:rsid w:val="008A0C31"/>
    <w:rsid w:val="008A0F2C"/>
    <w:rsid w:val="008A1B7E"/>
    <w:rsid w:val="008A2A29"/>
    <w:rsid w:val="008A4331"/>
    <w:rsid w:val="008A49A5"/>
    <w:rsid w:val="008A518B"/>
    <w:rsid w:val="008A5386"/>
    <w:rsid w:val="008A5BA5"/>
    <w:rsid w:val="008A5DFF"/>
    <w:rsid w:val="008A5F2B"/>
    <w:rsid w:val="008A601F"/>
    <w:rsid w:val="008B091F"/>
    <w:rsid w:val="008B0D65"/>
    <w:rsid w:val="008B1D32"/>
    <w:rsid w:val="008B2B0D"/>
    <w:rsid w:val="008B39A4"/>
    <w:rsid w:val="008B4F90"/>
    <w:rsid w:val="008B5050"/>
    <w:rsid w:val="008B5946"/>
    <w:rsid w:val="008B71BC"/>
    <w:rsid w:val="008B7EDE"/>
    <w:rsid w:val="008C01E9"/>
    <w:rsid w:val="008C1043"/>
    <w:rsid w:val="008C12AD"/>
    <w:rsid w:val="008C25FF"/>
    <w:rsid w:val="008C2880"/>
    <w:rsid w:val="008C41A9"/>
    <w:rsid w:val="008C4E49"/>
    <w:rsid w:val="008C4F6B"/>
    <w:rsid w:val="008C50E2"/>
    <w:rsid w:val="008C590C"/>
    <w:rsid w:val="008C5F32"/>
    <w:rsid w:val="008C60EB"/>
    <w:rsid w:val="008C7F66"/>
    <w:rsid w:val="008D0AC4"/>
    <w:rsid w:val="008D2198"/>
    <w:rsid w:val="008D219D"/>
    <w:rsid w:val="008D3697"/>
    <w:rsid w:val="008D36EF"/>
    <w:rsid w:val="008D445B"/>
    <w:rsid w:val="008D4578"/>
    <w:rsid w:val="008D5328"/>
    <w:rsid w:val="008D78C2"/>
    <w:rsid w:val="008E07A7"/>
    <w:rsid w:val="008E2EA3"/>
    <w:rsid w:val="008E3D6D"/>
    <w:rsid w:val="008E49CC"/>
    <w:rsid w:val="008F2234"/>
    <w:rsid w:val="008F279C"/>
    <w:rsid w:val="008F6E08"/>
    <w:rsid w:val="008F782A"/>
    <w:rsid w:val="008F788B"/>
    <w:rsid w:val="009000B7"/>
    <w:rsid w:val="0090055A"/>
    <w:rsid w:val="00900764"/>
    <w:rsid w:val="00900D28"/>
    <w:rsid w:val="009010FE"/>
    <w:rsid w:val="0090158F"/>
    <w:rsid w:val="009015AF"/>
    <w:rsid w:val="009019CA"/>
    <w:rsid w:val="00902BA6"/>
    <w:rsid w:val="009055CE"/>
    <w:rsid w:val="00905677"/>
    <w:rsid w:val="00905698"/>
    <w:rsid w:val="0090578E"/>
    <w:rsid w:val="00905979"/>
    <w:rsid w:val="009078E4"/>
    <w:rsid w:val="0091010E"/>
    <w:rsid w:val="009107D0"/>
    <w:rsid w:val="0091125D"/>
    <w:rsid w:val="00911840"/>
    <w:rsid w:val="00911EE3"/>
    <w:rsid w:val="00912297"/>
    <w:rsid w:val="00912B6D"/>
    <w:rsid w:val="00912D85"/>
    <w:rsid w:val="00915275"/>
    <w:rsid w:val="00916084"/>
    <w:rsid w:val="00916AAA"/>
    <w:rsid w:val="0091759D"/>
    <w:rsid w:val="00917B58"/>
    <w:rsid w:val="00920499"/>
    <w:rsid w:val="009207CE"/>
    <w:rsid w:val="00921E22"/>
    <w:rsid w:val="009234E0"/>
    <w:rsid w:val="0092411E"/>
    <w:rsid w:val="00924B4E"/>
    <w:rsid w:val="0092548B"/>
    <w:rsid w:val="009268B1"/>
    <w:rsid w:val="009270AC"/>
    <w:rsid w:val="0093022C"/>
    <w:rsid w:val="00930796"/>
    <w:rsid w:val="0093102A"/>
    <w:rsid w:val="00931842"/>
    <w:rsid w:val="00932158"/>
    <w:rsid w:val="0093215C"/>
    <w:rsid w:val="00932348"/>
    <w:rsid w:val="0093545C"/>
    <w:rsid w:val="00940C3F"/>
    <w:rsid w:val="00941BB1"/>
    <w:rsid w:val="009436E5"/>
    <w:rsid w:val="00945D30"/>
    <w:rsid w:val="00947F5A"/>
    <w:rsid w:val="00950903"/>
    <w:rsid w:val="00950DE4"/>
    <w:rsid w:val="00951E52"/>
    <w:rsid w:val="00952051"/>
    <w:rsid w:val="00952CA7"/>
    <w:rsid w:val="009534A5"/>
    <w:rsid w:val="009542DE"/>
    <w:rsid w:val="009546BF"/>
    <w:rsid w:val="009547F6"/>
    <w:rsid w:val="009550E1"/>
    <w:rsid w:val="0095517B"/>
    <w:rsid w:val="009555B9"/>
    <w:rsid w:val="00955ADE"/>
    <w:rsid w:val="00955F50"/>
    <w:rsid w:val="00956329"/>
    <w:rsid w:val="00956861"/>
    <w:rsid w:val="00956A7F"/>
    <w:rsid w:val="00956EAA"/>
    <w:rsid w:val="00960227"/>
    <w:rsid w:val="00962C47"/>
    <w:rsid w:val="00962FBA"/>
    <w:rsid w:val="009630ED"/>
    <w:rsid w:val="00963167"/>
    <w:rsid w:val="00966F75"/>
    <w:rsid w:val="00967504"/>
    <w:rsid w:val="009675C2"/>
    <w:rsid w:val="009679E2"/>
    <w:rsid w:val="00970704"/>
    <w:rsid w:val="009717E7"/>
    <w:rsid w:val="00972832"/>
    <w:rsid w:val="00973685"/>
    <w:rsid w:val="00973AF3"/>
    <w:rsid w:val="00973E6B"/>
    <w:rsid w:val="00975A28"/>
    <w:rsid w:val="00975C15"/>
    <w:rsid w:val="00976147"/>
    <w:rsid w:val="009769AE"/>
    <w:rsid w:val="00976E6C"/>
    <w:rsid w:val="00983196"/>
    <w:rsid w:val="00984180"/>
    <w:rsid w:val="0098615E"/>
    <w:rsid w:val="00986786"/>
    <w:rsid w:val="00986A58"/>
    <w:rsid w:val="00986D31"/>
    <w:rsid w:val="00990552"/>
    <w:rsid w:val="0099162B"/>
    <w:rsid w:val="009936E6"/>
    <w:rsid w:val="009946C0"/>
    <w:rsid w:val="00996446"/>
    <w:rsid w:val="009A045A"/>
    <w:rsid w:val="009A14BC"/>
    <w:rsid w:val="009A431B"/>
    <w:rsid w:val="009A5E95"/>
    <w:rsid w:val="009A6FBD"/>
    <w:rsid w:val="009A748F"/>
    <w:rsid w:val="009B03BB"/>
    <w:rsid w:val="009B1679"/>
    <w:rsid w:val="009B250C"/>
    <w:rsid w:val="009B3D62"/>
    <w:rsid w:val="009B4415"/>
    <w:rsid w:val="009B4A7E"/>
    <w:rsid w:val="009B5C2C"/>
    <w:rsid w:val="009C0309"/>
    <w:rsid w:val="009C0772"/>
    <w:rsid w:val="009C0CCC"/>
    <w:rsid w:val="009C1264"/>
    <w:rsid w:val="009C1D06"/>
    <w:rsid w:val="009C224C"/>
    <w:rsid w:val="009C229D"/>
    <w:rsid w:val="009C318F"/>
    <w:rsid w:val="009C510F"/>
    <w:rsid w:val="009C5676"/>
    <w:rsid w:val="009C635A"/>
    <w:rsid w:val="009C6825"/>
    <w:rsid w:val="009D2CC4"/>
    <w:rsid w:val="009D3E2F"/>
    <w:rsid w:val="009D443C"/>
    <w:rsid w:val="009D4F1D"/>
    <w:rsid w:val="009D513F"/>
    <w:rsid w:val="009D62BF"/>
    <w:rsid w:val="009D63E9"/>
    <w:rsid w:val="009D681A"/>
    <w:rsid w:val="009D7A40"/>
    <w:rsid w:val="009D7DEA"/>
    <w:rsid w:val="009E122F"/>
    <w:rsid w:val="009E2272"/>
    <w:rsid w:val="009E3C0E"/>
    <w:rsid w:val="009E47D4"/>
    <w:rsid w:val="009E5A9F"/>
    <w:rsid w:val="009E5CF0"/>
    <w:rsid w:val="009E6235"/>
    <w:rsid w:val="009E7258"/>
    <w:rsid w:val="009E7678"/>
    <w:rsid w:val="009F0925"/>
    <w:rsid w:val="009F0D4A"/>
    <w:rsid w:val="009F21DB"/>
    <w:rsid w:val="009F3164"/>
    <w:rsid w:val="009F4ABA"/>
    <w:rsid w:val="009F50EC"/>
    <w:rsid w:val="009F52B9"/>
    <w:rsid w:val="009F63D6"/>
    <w:rsid w:val="009F6410"/>
    <w:rsid w:val="009F69C9"/>
    <w:rsid w:val="009F6AFF"/>
    <w:rsid w:val="00A0005E"/>
    <w:rsid w:val="00A0028E"/>
    <w:rsid w:val="00A023A8"/>
    <w:rsid w:val="00A02C26"/>
    <w:rsid w:val="00A03017"/>
    <w:rsid w:val="00A03DB8"/>
    <w:rsid w:val="00A06135"/>
    <w:rsid w:val="00A0639C"/>
    <w:rsid w:val="00A06E22"/>
    <w:rsid w:val="00A0740C"/>
    <w:rsid w:val="00A07F98"/>
    <w:rsid w:val="00A10BE1"/>
    <w:rsid w:val="00A10E84"/>
    <w:rsid w:val="00A13619"/>
    <w:rsid w:val="00A13D34"/>
    <w:rsid w:val="00A14098"/>
    <w:rsid w:val="00A151E6"/>
    <w:rsid w:val="00A155AD"/>
    <w:rsid w:val="00A158FF"/>
    <w:rsid w:val="00A15F24"/>
    <w:rsid w:val="00A1682E"/>
    <w:rsid w:val="00A16E21"/>
    <w:rsid w:val="00A175EE"/>
    <w:rsid w:val="00A1769C"/>
    <w:rsid w:val="00A179DB"/>
    <w:rsid w:val="00A205D8"/>
    <w:rsid w:val="00A220C3"/>
    <w:rsid w:val="00A23804"/>
    <w:rsid w:val="00A266AF"/>
    <w:rsid w:val="00A27041"/>
    <w:rsid w:val="00A2707C"/>
    <w:rsid w:val="00A27B2A"/>
    <w:rsid w:val="00A27C9E"/>
    <w:rsid w:val="00A30003"/>
    <w:rsid w:val="00A308CE"/>
    <w:rsid w:val="00A30CF4"/>
    <w:rsid w:val="00A32B4E"/>
    <w:rsid w:val="00A33FA4"/>
    <w:rsid w:val="00A34383"/>
    <w:rsid w:val="00A34FDB"/>
    <w:rsid w:val="00A35077"/>
    <w:rsid w:val="00A352AB"/>
    <w:rsid w:val="00A36777"/>
    <w:rsid w:val="00A36C17"/>
    <w:rsid w:val="00A3778D"/>
    <w:rsid w:val="00A4067D"/>
    <w:rsid w:val="00A426E5"/>
    <w:rsid w:val="00A4339E"/>
    <w:rsid w:val="00A43656"/>
    <w:rsid w:val="00A448FA"/>
    <w:rsid w:val="00A45C59"/>
    <w:rsid w:val="00A46768"/>
    <w:rsid w:val="00A46F2E"/>
    <w:rsid w:val="00A4707B"/>
    <w:rsid w:val="00A47EFE"/>
    <w:rsid w:val="00A50C15"/>
    <w:rsid w:val="00A50FCA"/>
    <w:rsid w:val="00A51345"/>
    <w:rsid w:val="00A51723"/>
    <w:rsid w:val="00A51DFE"/>
    <w:rsid w:val="00A52FE9"/>
    <w:rsid w:val="00A5477C"/>
    <w:rsid w:val="00A55500"/>
    <w:rsid w:val="00A55BCF"/>
    <w:rsid w:val="00A55EBD"/>
    <w:rsid w:val="00A561E5"/>
    <w:rsid w:val="00A563DC"/>
    <w:rsid w:val="00A566E6"/>
    <w:rsid w:val="00A567FB"/>
    <w:rsid w:val="00A57115"/>
    <w:rsid w:val="00A57AB1"/>
    <w:rsid w:val="00A60CE1"/>
    <w:rsid w:val="00A60EE0"/>
    <w:rsid w:val="00A61AA4"/>
    <w:rsid w:val="00A62095"/>
    <w:rsid w:val="00A62384"/>
    <w:rsid w:val="00A62659"/>
    <w:rsid w:val="00A64496"/>
    <w:rsid w:val="00A6489F"/>
    <w:rsid w:val="00A64A87"/>
    <w:rsid w:val="00A667A7"/>
    <w:rsid w:val="00A70185"/>
    <w:rsid w:val="00A70A70"/>
    <w:rsid w:val="00A70FD2"/>
    <w:rsid w:val="00A71D5B"/>
    <w:rsid w:val="00A72B64"/>
    <w:rsid w:val="00A73322"/>
    <w:rsid w:val="00A737AB"/>
    <w:rsid w:val="00A73CC5"/>
    <w:rsid w:val="00A74A35"/>
    <w:rsid w:val="00A752D8"/>
    <w:rsid w:val="00A753FE"/>
    <w:rsid w:val="00A766E2"/>
    <w:rsid w:val="00A8057A"/>
    <w:rsid w:val="00A81B2C"/>
    <w:rsid w:val="00A82F63"/>
    <w:rsid w:val="00A84807"/>
    <w:rsid w:val="00A84FFA"/>
    <w:rsid w:val="00A85940"/>
    <w:rsid w:val="00A85BA8"/>
    <w:rsid w:val="00A86672"/>
    <w:rsid w:val="00A86999"/>
    <w:rsid w:val="00A86F65"/>
    <w:rsid w:val="00A90113"/>
    <w:rsid w:val="00A906B0"/>
    <w:rsid w:val="00A90EC3"/>
    <w:rsid w:val="00A9136D"/>
    <w:rsid w:val="00A913CC"/>
    <w:rsid w:val="00A9156D"/>
    <w:rsid w:val="00A91ACD"/>
    <w:rsid w:val="00A91BF8"/>
    <w:rsid w:val="00A924B6"/>
    <w:rsid w:val="00A93CBE"/>
    <w:rsid w:val="00A9573F"/>
    <w:rsid w:val="00A9597C"/>
    <w:rsid w:val="00A95CBE"/>
    <w:rsid w:val="00A960CB"/>
    <w:rsid w:val="00A96C60"/>
    <w:rsid w:val="00A972C0"/>
    <w:rsid w:val="00A972EA"/>
    <w:rsid w:val="00A974B0"/>
    <w:rsid w:val="00A97FCF"/>
    <w:rsid w:val="00AA0004"/>
    <w:rsid w:val="00AA0988"/>
    <w:rsid w:val="00AA43A8"/>
    <w:rsid w:val="00AA6B1B"/>
    <w:rsid w:val="00AB089A"/>
    <w:rsid w:val="00AB29C2"/>
    <w:rsid w:val="00AB30D1"/>
    <w:rsid w:val="00AB3238"/>
    <w:rsid w:val="00AB3251"/>
    <w:rsid w:val="00AB3C46"/>
    <w:rsid w:val="00AB41F0"/>
    <w:rsid w:val="00AB4346"/>
    <w:rsid w:val="00AB4A72"/>
    <w:rsid w:val="00AB4A9E"/>
    <w:rsid w:val="00AB503A"/>
    <w:rsid w:val="00AB6738"/>
    <w:rsid w:val="00AB6E4B"/>
    <w:rsid w:val="00AC0D1B"/>
    <w:rsid w:val="00AC0E3D"/>
    <w:rsid w:val="00AC13DA"/>
    <w:rsid w:val="00AC25A8"/>
    <w:rsid w:val="00AC2EB8"/>
    <w:rsid w:val="00AC40EB"/>
    <w:rsid w:val="00AC540F"/>
    <w:rsid w:val="00AC6121"/>
    <w:rsid w:val="00AC6553"/>
    <w:rsid w:val="00AC7A54"/>
    <w:rsid w:val="00AD03C9"/>
    <w:rsid w:val="00AD149E"/>
    <w:rsid w:val="00AD1630"/>
    <w:rsid w:val="00AD1E09"/>
    <w:rsid w:val="00AD225D"/>
    <w:rsid w:val="00AD284F"/>
    <w:rsid w:val="00AD3124"/>
    <w:rsid w:val="00AD50B1"/>
    <w:rsid w:val="00AD55D3"/>
    <w:rsid w:val="00AD5DB2"/>
    <w:rsid w:val="00AD61E1"/>
    <w:rsid w:val="00AD716D"/>
    <w:rsid w:val="00AE0B1A"/>
    <w:rsid w:val="00AE0E48"/>
    <w:rsid w:val="00AE15F3"/>
    <w:rsid w:val="00AE19ED"/>
    <w:rsid w:val="00AE1DDB"/>
    <w:rsid w:val="00AE2847"/>
    <w:rsid w:val="00AE414E"/>
    <w:rsid w:val="00AE4F41"/>
    <w:rsid w:val="00AE557E"/>
    <w:rsid w:val="00AE62E1"/>
    <w:rsid w:val="00AF075E"/>
    <w:rsid w:val="00AF1AF6"/>
    <w:rsid w:val="00AF1BE4"/>
    <w:rsid w:val="00AF1D85"/>
    <w:rsid w:val="00AF1EA1"/>
    <w:rsid w:val="00AF1FD8"/>
    <w:rsid w:val="00AF24D9"/>
    <w:rsid w:val="00AF257A"/>
    <w:rsid w:val="00AF2CB4"/>
    <w:rsid w:val="00AF57EC"/>
    <w:rsid w:val="00AF5961"/>
    <w:rsid w:val="00AF5ED1"/>
    <w:rsid w:val="00AF66BA"/>
    <w:rsid w:val="00B02C13"/>
    <w:rsid w:val="00B0411F"/>
    <w:rsid w:val="00B05046"/>
    <w:rsid w:val="00B0537D"/>
    <w:rsid w:val="00B05595"/>
    <w:rsid w:val="00B06866"/>
    <w:rsid w:val="00B10B40"/>
    <w:rsid w:val="00B1315B"/>
    <w:rsid w:val="00B1367B"/>
    <w:rsid w:val="00B15C41"/>
    <w:rsid w:val="00B1628F"/>
    <w:rsid w:val="00B16890"/>
    <w:rsid w:val="00B173F5"/>
    <w:rsid w:val="00B2003C"/>
    <w:rsid w:val="00B21383"/>
    <w:rsid w:val="00B21BAC"/>
    <w:rsid w:val="00B22420"/>
    <w:rsid w:val="00B23A99"/>
    <w:rsid w:val="00B248F5"/>
    <w:rsid w:val="00B252B2"/>
    <w:rsid w:val="00B273EB"/>
    <w:rsid w:val="00B30273"/>
    <w:rsid w:val="00B30BF0"/>
    <w:rsid w:val="00B33D33"/>
    <w:rsid w:val="00B350CC"/>
    <w:rsid w:val="00B365ED"/>
    <w:rsid w:val="00B404BC"/>
    <w:rsid w:val="00B42890"/>
    <w:rsid w:val="00B42DBB"/>
    <w:rsid w:val="00B42F4B"/>
    <w:rsid w:val="00B43640"/>
    <w:rsid w:val="00B438E1"/>
    <w:rsid w:val="00B43A34"/>
    <w:rsid w:val="00B4453C"/>
    <w:rsid w:val="00B44F0B"/>
    <w:rsid w:val="00B4672E"/>
    <w:rsid w:val="00B46C1C"/>
    <w:rsid w:val="00B47E72"/>
    <w:rsid w:val="00B5010A"/>
    <w:rsid w:val="00B50240"/>
    <w:rsid w:val="00B504D3"/>
    <w:rsid w:val="00B51983"/>
    <w:rsid w:val="00B5222F"/>
    <w:rsid w:val="00B524D6"/>
    <w:rsid w:val="00B5279A"/>
    <w:rsid w:val="00B52EC2"/>
    <w:rsid w:val="00B53C94"/>
    <w:rsid w:val="00B54779"/>
    <w:rsid w:val="00B556F9"/>
    <w:rsid w:val="00B579CD"/>
    <w:rsid w:val="00B604DE"/>
    <w:rsid w:val="00B60915"/>
    <w:rsid w:val="00B61E36"/>
    <w:rsid w:val="00B61F87"/>
    <w:rsid w:val="00B628F2"/>
    <w:rsid w:val="00B63609"/>
    <w:rsid w:val="00B641AB"/>
    <w:rsid w:val="00B642F0"/>
    <w:rsid w:val="00B64313"/>
    <w:rsid w:val="00B650F2"/>
    <w:rsid w:val="00B66A21"/>
    <w:rsid w:val="00B70928"/>
    <w:rsid w:val="00B7136E"/>
    <w:rsid w:val="00B71A9B"/>
    <w:rsid w:val="00B72221"/>
    <w:rsid w:val="00B72D12"/>
    <w:rsid w:val="00B75264"/>
    <w:rsid w:val="00B75418"/>
    <w:rsid w:val="00B7587E"/>
    <w:rsid w:val="00B76390"/>
    <w:rsid w:val="00B7682C"/>
    <w:rsid w:val="00B76CC5"/>
    <w:rsid w:val="00B76F2A"/>
    <w:rsid w:val="00B779C3"/>
    <w:rsid w:val="00B817B1"/>
    <w:rsid w:val="00B826AA"/>
    <w:rsid w:val="00B83651"/>
    <w:rsid w:val="00B83777"/>
    <w:rsid w:val="00B854A8"/>
    <w:rsid w:val="00B863F0"/>
    <w:rsid w:val="00B8705C"/>
    <w:rsid w:val="00B87442"/>
    <w:rsid w:val="00B9509E"/>
    <w:rsid w:val="00B95392"/>
    <w:rsid w:val="00B9579F"/>
    <w:rsid w:val="00B962FA"/>
    <w:rsid w:val="00B96AF8"/>
    <w:rsid w:val="00B96D4C"/>
    <w:rsid w:val="00B97A64"/>
    <w:rsid w:val="00BA0C2F"/>
    <w:rsid w:val="00BA13DE"/>
    <w:rsid w:val="00BA29F2"/>
    <w:rsid w:val="00BA2F8B"/>
    <w:rsid w:val="00BA451E"/>
    <w:rsid w:val="00BA4526"/>
    <w:rsid w:val="00BA53C2"/>
    <w:rsid w:val="00BA7DB2"/>
    <w:rsid w:val="00BA7E35"/>
    <w:rsid w:val="00BA7F67"/>
    <w:rsid w:val="00BB17DC"/>
    <w:rsid w:val="00BB18B3"/>
    <w:rsid w:val="00BB211A"/>
    <w:rsid w:val="00BB2604"/>
    <w:rsid w:val="00BB27C1"/>
    <w:rsid w:val="00BB577E"/>
    <w:rsid w:val="00BB7822"/>
    <w:rsid w:val="00BB7F9A"/>
    <w:rsid w:val="00BC1F75"/>
    <w:rsid w:val="00BC3AEA"/>
    <w:rsid w:val="00BC3F85"/>
    <w:rsid w:val="00BC4169"/>
    <w:rsid w:val="00BC449A"/>
    <w:rsid w:val="00BC45E0"/>
    <w:rsid w:val="00BC4FDF"/>
    <w:rsid w:val="00BC51BF"/>
    <w:rsid w:val="00BC5D4B"/>
    <w:rsid w:val="00BC6164"/>
    <w:rsid w:val="00BC652C"/>
    <w:rsid w:val="00BC6B18"/>
    <w:rsid w:val="00BC7802"/>
    <w:rsid w:val="00BC7C31"/>
    <w:rsid w:val="00BD23CC"/>
    <w:rsid w:val="00BD3AAE"/>
    <w:rsid w:val="00BD7930"/>
    <w:rsid w:val="00BE0758"/>
    <w:rsid w:val="00BE0941"/>
    <w:rsid w:val="00BE0EEB"/>
    <w:rsid w:val="00BE1901"/>
    <w:rsid w:val="00BE3E35"/>
    <w:rsid w:val="00BE467B"/>
    <w:rsid w:val="00BE5C4B"/>
    <w:rsid w:val="00BE6B7A"/>
    <w:rsid w:val="00BE7D3B"/>
    <w:rsid w:val="00BF0B0C"/>
    <w:rsid w:val="00BF1846"/>
    <w:rsid w:val="00BF370D"/>
    <w:rsid w:val="00BF3DAA"/>
    <w:rsid w:val="00BF43D5"/>
    <w:rsid w:val="00BF591E"/>
    <w:rsid w:val="00BF65B0"/>
    <w:rsid w:val="00BF6C79"/>
    <w:rsid w:val="00C00BC4"/>
    <w:rsid w:val="00C019D7"/>
    <w:rsid w:val="00C03E07"/>
    <w:rsid w:val="00C04138"/>
    <w:rsid w:val="00C045D3"/>
    <w:rsid w:val="00C04F25"/>
    <w:rsid w:val="00C055A0"/>
    <w:rsid w:val="00C10044"/>
    <w:rsid w:val="00C104BB"/>
    <w:rsid w:val="00C119E9"/>
    <w:rsid w:val="00C11CC5"/>
    <w:rsid w:val="00C14757"/>
    <w:rsid w:val="00C14A3F"/>
    <w:rsid w:val="00C16015"/>
    <w:rsid w:val="00C1716A"/>
    <w:rsid w:val="00C17381"/>
    <w:rsid w:val="00C175AE"/>
    <w:rsid w:val="00C232A1"/>
    <w:rsid w:val="00C232D2"/>
    <w:rsid w:val="00C237F8"/>
    <w:rsid w:val="00C24E09"/>
    <w:rsid w:val="00C2708F"/>
    <w:rsid w:val="00C272E9"/>
    <w:rsid w:val="00C2785B"/>
    <w:rsid w:val="00C27FF5"/>
    <w:rsid w:val="00C30017"/>
    <w:rsid w:val="00C30E1D"/>
    <w:rsid w:val="00C31A60"/>
    <w:rsid w:val="00C31C64"/>
    <w:rsid w:val="00C321A7"/>
    <w:rsid w:val="00C32432"/>
    <w:rsid w:val="00C32595"/>
    <w:rsid w:val="00C32A44"/>
    <w:rsid w:val="00C32E64"/>
    <w:rsid w:val="00C350ED"/>
    <w:rsid w:val="00C35252"/>
    <w:rsid w:val="00C3527D"/>
    <w:rsid w:val="00C35671"/>
    <w:rsid w:val="00C37017"/>
    <w:rsid w:val="00C41332"/>
    <w:rsid w:val="00C4149F"/>
    <w:rsid w:val="00C41E81"/>
    <w:rsid w:val="00C44DBE"/>
    <w:rsid w:val="00C455E7"/>
    <w:rsid w:val="00C457BB"/>
    <w:rsid w:val="00C461D7"/>
    <w:rsid w:val="00C50D57"/>
    <w:rsid w:val="00C50E59"/>
    <w:rsid w:val="00C51535"/>
    <w:rsid w:val="00C51564"/>
    <w:rsid w:val="00C51D3A"/>
    <w:rsid w:val="00C52912"/>
    <w:rsid w:val="00C53127"/>
    <w:rsid w:val="00C53283"/>
    <w:rsid w:val="00C53952"/>
    <w:rsid w:val="00C55096"/>
    <w:rsid w:val="00C55A77"/>
    <w:rsid w:val="00C56664"/>
    <w:rsid w:val="00C566BF"/>
    <w:rsid w:val="00C567BF"/>
    <w:rsid w:val="00C577FC"/>
    <w:rsid w:val="00C607FB"/>
    <w:rsid w:val="00C60B5F"/>
    <w:rsid w:val="00C62A0C"/>
    <w:rsid w:val="00C638A8"/>
    <w:rsid w:val="00C64726"/>
    <w:rsid w:val="00C649AE"/>
    <w:rsid w:val="00C66ED4"/>
    <w:rsid w:val="00C671D7"/>
    <w:rsid w:val="00C67B32"/>
    <w:rsid w:val="00C70842"/>
    <w:rsid w:val="00C70F81"/>
    <w:rsid w:val="00C71509"/>
    <w:rsid w:val="00C7176F"/>
    <w:rsid w:val="00C717D1"/>
    <w:rsid w:val="00C71E10"/>
    <w:rsid w:val="00C721D3"/>
    <w:rsid w:val="00C736B3"/>
    <w:rsid w:val="00C7430C"/>
    <w:rsid w:val="00C750CE"/>
    <w:rsid w:val="00C77A12"/>
    <w:rsid w:val="00C800A2"/>
    <w:rsid w:val="00C816C5"/>
    <w:rsid w:val="00C81803"/>
    <w:rsid w:val="00C81DD9"/>
    <w:rsid w:val="00C823DC"/>
    <w:rsid w:val="00C83EC7"/>
    <w:rsid w:val="00C86A9D"/>
    <w:rsid w:val="00C879EE"/>
    <w:rsid w:val="00C92770"/>
    <w:rsid w:val="00C93220"/>
    <w:rsid w:val="00C95E17"/>
    <w:rsid w:val="00C9681E"/>
    <w:rsid w:val="00C96E86"/>
    <w:rsid w:val="00C9784A"/>
    <w:rsid w:val="00CA0B46"/>
    <w:rsid w:val="00CA1002"/>
    <w:rsid w:val="00CA1689"/>
    <w:rsid w:val="00CA1BDD"/>
    <w:rsid w:val="00CA3085"/>
    <w:rsid w:val="00CA336F"/>
    <w:rsid w:val="00CA3550"/>
    <w:rsid w:val="00CA3885"/>
    <w:rsid w:val="00CA4C25"/>
    <w:rsid w:val="00CA664C"/>
    <w:rsid w:val="00CA7367"/>
    <w:rsid w:val="00CB0648"/>
    <w:rsid w:val="00CB10C3"/>
    <w:rsid w:val="00CB1C2F"/>
    <w:rsid w:val="00CB2C6F"/>
    <w:rsid w:val="00CB7045"/>
    <w:rsid w:val="00CB7779"/>
    <w:rsid w:val="00CC0DB8"/>
    <w:rsid w:val="00CC0E8D"/>
    <w:rsid w:val="00CC4FB0"/>
    <w:rsid w:val="00CC61B3"/>
    <w:rsid w:val="00CC623C"/>
    <w:rsid w:val="00CC6BA5"/>
    <w:rsid w:val="00CC71A6"/>
    <w:rsid w:val="00CC7BA2"/>
    <w:rsid w:val="00CD07D4"/>
    <w:rsid w:val="00CD16EB"/>
    <w:rsid w:val="00CD3EF9"/>
    <w:rsid w:val="00CD4144"/>
    <w:rsid w:val="00CD50F2"/>
    <w:rsid w:val="00CD5F37"/>
    <w:rsid w:val="00CD7EBA"/>
    <w:rsid w:val="00CE0EB9"/>
    <w:rsid w:val="00CE2195"/>
    <w:rsid w:val="00CE24DE"/>
    <w:rsid w:val="00CE2E9F"/>
    <w:rsid w:val="00CE4AE8"/>
    <w:rsid w:val="00CE4D1E"/>
    <w:rsid w:val="00CE60E9"/>
    <w:rsid w:val="00CE64C6"/>
    <w:rsid w:val="00CF0D45"/>
    <w:rsid w:val="00CF0FFB"/>
    <w:rsid w:val="00CF1B30"/>
    <w:rsid w:val="00CF1F83"/>
    <w:rsid w:val="00CF2493"/>
    <w:rsid w:val="00CF270B"/>
    <w:rsid w:val="00CF28FF"/>
    <w:rsid w:val="00CF311D"/>
    <w:rsid w:val="00CF31C5"/>
    <w:rsid w:val="00CF35A7"/>
    <w:rsid w:val="00CF47CC"/>
    <w:rsid w:val="00CF6BBA"/>
    <w:rsid w:val="00CF7316"/>
    <w:rsid w:val="00CF750A"/>
    <w:rsid w:val="00CF7698"/>
    <w:rsid w:val="00D014AE"/>
    <w:rsid w:val="00D01B73"/>
    <w:rsid w:val="00D01FB9"/>
    <w:rsid w:val="00D03F56"/>
    <w:rsid w:val="00D04AF3"/>
    <w:rsid w:val="00D06802"/>
    <w:rsid w:val="00D10B13"/>
    <w:rsid w:val="00D118F4"/>
    <w:rsid w:val="00D12DC9"/>
    <w:rsid w:val="00D132A6"/>
    <w:rsid w:val="00D137E1"/>
    <w:rsid w:val="00D13C63"/>
    <w:rsid w:val="00D148A2"/>
    <w:rsid w:val="00D14D00"/>
    <w:rsid w:val="00D14F44"/>
    <w:rsid w:val="00D163C3"/>
    <w:rsid w:val="00D16A72"/>
    <w:rsid w:val="00D16AD1"/>
    <w:rsid w:val="00D17021"/>
    <w:rsid w:val="00D175FD"/>
    <w:rsid w:val="00D21EAA"/>
    <w:rsid w:val="00D23109"/>
    <w:rsid w:val="00D23364"/>
    <w:rsid w:val="00D23391"/>
    <w:rsid w:val="00D24C95"/>
    <w:rsid w:val="00D25C69"/>
    <w:rsid w:val="00D25F1B"/>
    <w:rsid w:val="00D261FF"/>
    <w:rsid w:val="00D30BB1"/>
    <w:rsid w:val="00D3276F"/>
    <w:rsid w:val="00D32F66"/>
    <w:rsid w:val="00D34020"/>
    <w:rsid w:val="00D364F6"/>
    <w:rsid w:val="00D36B01"/>
    <w:rsid w:val="00D41479"/>
    <w:rsid w:val="00D44EFE"/>
    <w:rsid w:val="00D45CC9"/>
    <w:rsid w:val="00D5097A"/>
    <w:rsid w:val="00D519D5"/>
    <w:rsid w:val="00D52717"/>
    <w:rsid w:val="00D52795"/>
    <w:rsid w:val="00D52BCB"/>
    <w:rsid w:val="00D5370A"/>
    <w:rsid w:val="00D5470B"/>
    <w:rsid w:val="00D55047"/>
    <w:rsid w:val="00D55E70"/>
    <w:rsid w:val="00D57F1B"/>
    <w:rsid w:val="00D602AF"/>
    <w:rsid w:val="00D6115D"/>
    <w:rsid w:val="00D62520"/>
    <w:rsid w:val="00D64494"/>
    <w:rsid w:val="00D64A7A"/>
    <w:rsid w:val="00D64F65"/>
    <w:rsid w:val="00D658F7"/>
    <w:rsid w:val="00D66CFB"/>
    <w:rsid w:val="00D66E04"/>
    <w:rsid w:val="00D67DD4"/>
    <w:rsid w:val="00D701F6"/>
    <w:rsid w:val="00D7086A"/>
    <w:rsid w:val="00D70B62"/>
    <w:rsid w:val="00D7462E"/>
    <w:rsid w:val="00D7536B"/>
    <w:rsid w:val="00D756C6"/>
    <w:rsid w:val="00D756DF"/>
    <w:rsid w:val="00D75C70"/>
    <w:rsid w:val="00D7653F"/>
    <w:rsid w:val="00D8180F"/>
    <w:rsid w:val="00D8236A"/>
    <w:rsid w:val="00D828E4"/>
    <w:rsid w:val="00D84B6A"/>
    <w:rsid w:val="00D84E53"/>
    <w:rsid w:val="00D85C45"/>
    <w:rsid w:val="00D86134"/>
    <w:rsid w:val="00D879B2"/>
    <w:rsid w:val="00D87ADC"/>
    <w:rsid w:val="00D87FD6"/>
    <w:rsid w:val="00D90133"/>
    <w:rsid w:val="00D906D8"/>
    <w:rsid w:val="00D907D9"/>
    <w:rsid w:val="00D9106B"/>
    <w:rsid w:val="00D92474"/>
    <w:rsid w:val="00D94988"/>
    <w:rsid w:val="00D968C3"/>
    <w:rsid w:val="00D97710"/>
    <w:rsid w:val="00DA05D2"/>
    <w:rsid w:val="00DA0968"/>
    <w:rsid w:val="00DA1E41"/>
    <w:rsid w:val="00DA2715"/>
    <w:rsid w:val="00DA2A76"/>
    <w:rsid w:val="00DA2CFE"/>
    <w:rsid w:val="00DA31CB"/>
    <w:rsid w:val="00DA3C5A"/>
    <w:rsid w:val="00DA3F9A"/>
    <w:rsid w:val="00DA4C29"/>
    <w:rsid w:val="00DA78CD"/>
    <w:rsid w:val="00DB015F"/>
    <w:rsid w:val="00DB078F"/>
    <w:rsid w:val="00DB2688"/>
    <w:rsid w:val="00DB435B"/>
    <w:rsid w:val="00DB5048"/>
    <w:rsid w:val="00DB5918"/>
    <w:rsid w:val="00DB5F52"/>
    <w:rsid w:val="00DB6763"/>
    <w:rsid w:val="00DB6DFE"/>
    <w:rsid w:val="00DB6F30"/>
    <w:rsid w:val="00DC0178"/>
    <w:rsid w:val="00DC0B60"/>
    <w:rsid w:val="00DC0FD1"/>
    <w:rsid w:val="00DC4C49"/>
    <w:rsid w:val="00DC5522"/>
    <w:rsid w:val="00DC705C"/>
    <w:rsid w:val="00DC7359"/>
    <w:rsid w:val="00DC7BDF"/>
    <w:rsid w:val="00DD0ACA"/>
    <w:rsid w:val="00DD0CB5"/>
    <w:rsid w:val="00DD11EE"/>
    <w:rsid w:val="00DD1429"/>
    <w:rsid w:val="00DD16D5"/>
    <w:rsid w:val="00DD1AC8"/>
    <w:rsid w:val="00DD2341"/>
    <w:rsid w:val="00DD306E"/>
    <w:rsid w:val="00DD3D34"/>
    <w:rsid w:val="00DD42B0"/>
    <w:rsid w:val="00DD72CA"/>
    <w:rsid w:val="00DD75F5"/>
    <w:rsid w:val="00DE0BC3"/>
    <w:rsid w:val="00DE0F53"/>
    <w:rsid w:val="00DE2ABD"/>
    <w:rsid w:val="00DE3835"/>
    <w:rsid w:val="00DE4652"/>
    <w:rsid w:val="00DE4B36"/>
    <w:rsid w:val="00DE722F"/>
    <w:rsid w:val="00DF0879"/>
    <w:rsid w:val="00DF0DD3"/>
    <w:rsid w:val="00DF2B3C"/>
    <w:rsid w:val="00DF3F44"/>
    <w:rsid w:val="00DF4DCF"/>
    <w:rsid w:val="00DF5623"/>
    <w:rsid w:val="00DF6F8F"/>
    <w:rsid w:val="00E0031D"/>
    <w:rsid w:val="00E019A1"/>
    <w:rsid w:val="00E02936"/>
    <w:rsid w:val="00E0366A"/>
    <w:rsid w:val="00E03CA4"/>
    <w:rsid w:val="00E03D06"/>
    <w:rsid w:val="00E04735"/>
    <w:rsid w:val="00E06406"/>
    <w:rsid w:val="00E066A6"/>
    <w:rsid w:val="00E0763F"/>
    <w:rsid w:val="00E07BCA"/>
    <w:rsid w:val="00E119ED"/>
    <w:rsid w:val="00E11BB8"/>
    <w:rsid w:val="00E12BC8"/>
    <w:rsid w:val="00E12C20"/>
    <w:rsid w:val="00E12C4B"/>
    <w:rsid w:val="00E13527"/>
    <w:rsid w:val="00E14635"/>
    <w:rsid w:val="00E152D4"/>
    <w:rsid w:val="00E164EB"/>
    <w:rsid w:val="00E16DAB"/>
    <w:rsid w:val="00E2134F"/>
    <w:rsid w:val="00E23039"/>
    <w:rsid w:val="00E236D6"/>
    <w:rsid w:val="00E24231"/>
    <w:rsid w:val="00E250D1"/>
    <w:rsid w:val="00E25B2E"/>
    <w:rsid w:val="00E2666B"/>
    <w:rsid w:val="00E26F57"/>
    <w:rsid w:val="00E277C1"/>
    <w:rsid w:val="00E307F3"/>
    <w:rsid w:val="00E30AB8"/>
    <w:rsid w:val="00E326E6"/>
    <w:rsid w:val="00E32F90"/>
    <w:rsid w:val="00E33B39"/>
    <w:rsid w:val="00E3414F"/>
    <w:rsid w:val="00E3496B"/>
    <w:rsid w:val="00E36C31"/>
    <w:rsid w:val="00E36CAC"/>
    <w:rsid w:val="00E37C67"/>
    <w:rsid w:val="00E417B6"/>
    <w:rsid w:val="00E42766"/>
    <w:rsid w:val="00E427E3"/>
    <w:rsid w:val="00E4330C"/>
    <w:rsid w:val="00E44F7F"/>
    <w:rsid w:val="00E44F98"/>
    <w:rsid w:val="00E45170"/>
    <w:rsid w:val="00E45CEB"/>
    <w:rsid w:val="00E46F69"/>
    <w:rsid w:val="00E47043"/>
    <w:rsid w:val="00E519EE"/>
    <w:rsid w:val="00E52718"/>
    <w:rsid w:val="00E530CC"/>
    <w:rsid w:val="00E53E5C"/>
    <w:rsid w:val="00E5404C"/>
    <w:rsid w:val="00E542EF"/>
    <w:rsid w:val="00E56B8F"/>
    <w:rsid w:val="00E570CD"/>
    <w:rsid w:val="00E57859"/>
    <w:rsid w:val="00E60245"/>
    <w:rsid w:val="00E61164"/>
    <w:rsid w:val="00E6247B"/>
    <w:rsid w:val="00E626EC"/>
    <w:rsid w:val="00E6323D"/>
    <w:rsid w:val="00E63DC3"/>
    <w:rsid w:val="00E64828"/>
    <w:rsid w:val="00E65908"/>
    <w:rsid w:val="00E659C1"/>
    <w:rsid w:val="00E70787"/>
    <w:rsid w:val="00E70A9B"/>
    <w:rsid w:val="00E71B82"/>
    <w:rsid w:val="00E72384"/>
    <w:rsid w:val="00E73458"/>
    <w:rsid w:val="00E73DDB"/>
    <w:rsid w:val="00E7480B"/>
    <w:rsid w:val="00E74820"/>
    <w:rsid w:val="00E75592"/>
    <w:rsid w:val="00E77438"/>
    <w:rsid w:val="00E80607"/>
    <w:rsid w:val="00E806E5"/>
    <w:rsid w:val="00E80D39"/>
    <w:rsid w:val="00E8164E"/>
    <w:rsid w:val="00E81A84"/>
    <w:rsid w:val="00E82AAA"/>
    <w:rsid w:val="00E82CA8"/>
    <w:rsid w:val="00E83832"/>
    <w:rsid w:val="00E83BD9"/>
    <w:rsid w:val="00E83F11"/>
    <w:rsid w:val="00E84BDF"/>
    <w:rsid w:val="00E85543"/>
    <w:rsid w:val="00E863DB"/>
    <w:rsid w:val="00E86524"/>
    <w:rsid w:val="00E86E1A"/>
    <w:rsid w:val="00E87814"/>
    <w:rsid w:val="00E90594"/>
    <w:rsid w:val="00E911B5"/>
    <w:rsid w:val="00E91C25"/>
    <w:rsid w:val="00E937E1"/>
    <w:rsid w:val="00E9389E"/>
    <w:rsid w:val="00E94027"/>
    <w:rsid w:val="00E95376"/>
    <w:rsid w:val="00E9590B"/>
    <w:rsid w:val="00E95B0C"/>
    <w:rsid w:val="00E96355"/>
    <w:rsid w:val="00EA1BA1"/>
    <w:rsid w:val="00EA2525"/>
    <w:rsid w:val="00EA27B4"/>
    <w:rsid w:val="00EA2BBD"/>
    <w:rsid w:val="00EA3894"/>
    <w:rsid w:val="00EA3B22"/>
    <w:rsid w:val="00EA3BD6"/>
    <w:rsid w:val="00EA753A"/>
    <w:rsid w:val="00EB1898"/>
    <w:rsid w:val="00EB3858"/>
    <w:rsid w:val="00EB3899"/>
    <w:rsid w:val="00EB4456"/>
    <w:rsid w:val="00EB66A7"/>
    <w:rsid w:val="00EB6DAE"/>
    <w:rsid w:val="00EB78C5"/>
    <w:rsid w:val="00EC0767"/>
    <w:rsid w:val="00EC0FCC"/>
    <w:rsid w:val="00EC3700"/>
    <w:rsid w:val="00EC3932"/>
    <w:rsid w:val="00EC3A64"/>
    <w:rsid w:val="00EC41BA"/>
    <w:rsid w:val="00EC6CA0"/>
    <w:rsid w:val="00EC7A81"/>
    <w:rsid w:val="00ED1F7E"/>
    <w:rsid w:val="00ED69A8"/>
    <w:rsid w:val="00ED741D"/>
    <w:rsid w:val="00EE0909"/>
    <w:rsid w:val="00EE153D"/>
    <w:rsid w:val="00EE17F2"/>
    <w:rsid w:val="00EE2922"/>
    <w:rsid w:val="00EE2EB6"/>
    <w:rsid w:val="00EE3172"/>
    <w:rsid w:val="00EE386F"/>
    <w:rsid w:val="00EE38BC"/>
    <w:rsid w:val="00EE6043"/>
    <w:rsid w:val="00EE6C02"/>
    <w:rsid w:val="00EE6FB5"/>
    <w:rsid w:val="00EF0085"/>
    <w:rsid w:val="00EF184F"/>
    <w:rsid w:val="00EF1FD2"/>
    <w:rsid w:val="00EF3A0F"/>
    <w:rsid w:val="00EF3DE6"/>
    <w:rsid w:val="00EF47EB"/>
    <w:rsid w:val="00EF4869"/>
    <w:rsid w:val="00EF4D04"/>
    <w:rsid w:val="00EF4DE9"/>
    <w:rsid w:val="00F018A9"/>
    <w:rsid w:val="00F022DE"/>
    <w:rsid w:val="00F02AEB"/>
    <w:rsid w:val="00F03215"/>
    <w:rsid w:val="00F04403"/>
    <w:rsid w:val="00F05A89"/>
    <w:rsid w:val="00F05B2B"/>
    <w:rsid w:val="00F05EB4"/>
    <w:rsid w:val="00F06568"/>
    <w:rsid w:val="00F06FED"/>
    <w:rsid w:val="00F07F97"/>
    <w:rsid w:val="00F10274"/>
    <w:rsid w:val="00F10310"/>
    <w:rsid w:val="00F103B8"/>
    <w:rsid w:val="00F11ED0"/>
    <w:rsid w:val="00F11F5B"/>
    <w:rsid w:val="00F14948"/>
    <w:rsid w:val="00F14A40"/>
    <w:rsid w:val="00F15836"/>
    <w:rsid w:val="00F15EA5"/>
    <w:rsid w:val="00F2031A"/>
    <w:rsid w:val="00F20857"/>
    <w:rsid w:val="00F20EB4"/>
    <w:rsid w:val="00F21BC3"/>
    <w:rsid w:val="00F21EDD"/>
    <w:rsid w:val="00F225A5"/>
    <w:rsid w:val="00F2407A"/>
    <w:rsid w:val="00F241E5"/>
    <w:rsid w:val="00F2589F"/>
    <w:rsid w:val="00F26622"/>
    <w:rsid w:val="00F26769"/>
    <w:rsid w:val="00F279D7"/>
    <w:rsid w:val="00F30482"/>
    <w:rsid w:val="00F308EE"/>
    <w:rsid w:val="00F31410"/>
    <w:rsid w:val="00F319A1"/>
    <w:rsid w:val="00F32225"/>
    <w:rsid w:val="00F32E20"/>
    <w:rsid w:val="00F330F6"/>
    <w:rsid w:val="00F34107"/>
    <w:rsid w:val="00F377D6"/>
    <w:rsid w:val="00F40151"/>
    <w:rsid w:val="00F40273"/>
    <w:rsid w:val="00F41FE2"/>
    <w:rsid w:val="00F43736"/>
    <w:rsid w:val="00F43D16"/>
    <w:rsid w:val="00F44E8B"/>
    <w:rsid w:val="00F45D53"/>
    <w:rsid w:val="00F469E1"/>
    <w:rsid w:val="00F50298"/>
    <w:rsid w:val="00F5161C"/>
    <w:rsid w:val="00F517D5"/>
    <w:rsid w:val="00F51A1F"/>
    <w:rsid w:val="00F51E81"/>
    <w:rsid w:val="00F52273"/>
    <w:rsid w:val="00F5308A"/>
    <w:rsid w:val="00F53D1C"/>
    <w:rsid w:val="00F53F85"/>
    <w:rsid w:val="00F548AE"/>
    <w:rsid w:val="00F54B6E"/>
    <w:rsid w:val="00F55AED"/>
    <w:rsid w:val="00F606F9"/>
    <w:rsid w:val="00F60B65"/>
    <w:rsid w:val="00F61579"/>
    <w:rsid w:val="00F644FF"/>
    <w:rsid w:val="00F64E7A"/>
    <w:rsid w:val="00F64EC5"/>
    <w:rsid w:val="00F65889"/>
    <w:rsid w:val="00F65940"/>
    <w:rsid w:val="00F65BA8"/>
    <w:rsid w:val="00F663E4"/>
    <w:rsid w:val="00F70BDF"/>
    <w:rsid w:val="00F70E0E"/>
    <w:rsid w:val="00F70E84"/>
    <w:rsid w:val="00F710A1"/>
    <w:rsid w:val="00F71CFE"/>
    <w:rsid w:val="00F729A0"/>
    <w:rsid w:val="00F72F22"/>
    <w:rsid w:val="00F73553"/>
    <w:rsid w:val="00F741F9"/>
    <w:rsid w:val="00F77167"/>
    <w:rsid w:val="00F80F8A"/>
    <w:rsid w:val="00F832CE"/>
    <w:rsid w:val="00F83336"/>
    <w:rsid w:val="00F84D2F"/>
    <w:rsid w:val="00F84FF8"/>
    <w:rsid w:val="00F8662D"/>
    <w:rsid w:val="00F905AE"/>
    <w:rsid w:val="00F909AC"/>
    <w:rsid w:val="00F94F30"/>
    <w:rsid w:val="00F95117"/>
    <w:rsid w:val="00F95321"/>
    <w:rsid w:val="00F954C5"/>
    <w:rsid w:val="00F957AE"/>
    <w:rsid w:val="00F9590F"/>
    <w:rsid w:val="00F96949"/>
    <w:rsid w:val="00F97C84"/>
    <w:rsid w:val="00F97CFD"/>
    <w:rsid w:val="00FA10B3"/>
    <w:rsid w:val="00FA15AD"/>
    <w:rsid w:val="00FA1856"/>
    <w:rsid w:val="00FA1F0B"/>
    <w:rsid w:val="00FA27C6"/>
    <w:rsid w:val="00FA39CB"/>
    <w:rsid w:val="00FA3FE3"/>
    <w:rsid w:val="00FA72A7"/>
    <w:rsid w:val="00FB0B7B"/>
    <w:rsid w:val="00FB1D5F"/>
    <w:rsid w:val="00FB1E9E"/>
    <w:rsid w:val="00FB31F0"/>
    <w:rsid w:val="00FB34BE"/>
    <w:rsid w:val="00FB5889"/>
    <w:rsid w:val="00FB61D9"/>
    <w:rsid w:val="00FB7766"/>
    <w:rsid w:val="00FB7D1F"/>
    <w:rsid w:val="00FB7F72"/>
    <w:rsid w:val="00FC0C4A"/>
    <w:rsid w:val="00FC1419"/>
    <w:rsid w:val="00FC168B"/>
    <w:rsid w:val="00FC21D3"/>
    <w:rsid w:val="00FC2A89"/>
    <w:rsid w:val="00FC4981"/>
    <w:rsid w:val="00FC6079"/>
    <w:rsid w:val="00FC70E9"/>
    <w:rsid w:val="00FD0CA1"/>
    <w:rsid w:val="00FD164F"/>
    <w:rsid w:val="00FD1D9B"/>
    <w:rsid w:val="00FD2656"/>
    <w:rsid w:val="00FD2B12"/>
    <w:rsid w:val="00FD4090"/>
    <w:rsid w:val="00FD45BC"/>
    <w:rsid w:val="00FD4A1B"/>
    <w:rsid w:val="00FD4C1D"/>
    <w:rsid w:val="00FD5162"/>
    <w:rsid w:val="00FD5F20"/>
    <w:rsid w:val="00FD6387"/>
    <w:rsid w:val="00FD6AC6"/>
    <w:rsid w:val="00FD7D70"/>
    <w:rsid w:val="00FE03E4"/>
    <w:rsid w:val="00FE0A44"/>
    <w:rsid w:val="00FE1F46"/>
    <w:rsid w:val="00FE21D6"/>
    <w:rsid w:val="00FE27B7"/>
    <w:rsid w:val="00FE29E0"/>
    <w:rsid w:val="00FE4709"/>
    <w:rsid w:val="00FE642B"/>
    <w:rsid w:val="00FF222A"/>
    <w:rsid w:val="00FF2B92"/>
    <w:rsid w:val="00FF4309"/>
    <w:rsid w:val="00FF444E"/>
    <w:rsid w:val="00FF5BDE"/>
    <w:rsid w:val="00FF7539"/>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360" w:lineRule="auto"/>
        <w:ind w:firstLine="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E1"/>
    <w:rPr>
      <w:rFonts w:cs="Mangal"/>
      <w:sz w:val="26"/>
      <w:szCs w:val="26"/>
    </w:rPr>
  </w:style>
  <w:style w:type="paragraph" w:styleId="Heading1">
    <w:name w:val="heading 1"/>
    <w:basedOn w:val="Normal"/>
    <w:next w:val="Normal"/>
    <w:link w:val="Heading1Char"/>
    <w:qFormat/>
    <w:rsid w:val="006C3EB4"/>
    <w:pPr>
      <w:keepNext/>
      <w:keepLines/>
      <w:spacing w:before="480"/>
      <w:ind w:firstLine="0"/>
      <w:outlineLvl w:val="0"/>
    </w:pPr>
    <w:rPr>
      <w:rFonts w:eastAsiaTheme="majorEastAsia" w:cstheme="majorBidi"/>
      <w:b/>
      <w:bCs/>
      <w:szCs w:val="28"/>
    </w:rPr>
  </w:style>
  <w:style w:type="paragraph" w:styleId="Heading2">
    <w:name w:val="heading 2"/>
    <w:basedOn w:val="Normal"/>
    <w:next w:val="Normal"/>
    <w:link w:val="Heading2Char"/>
    <w:qFormat/>
    <w:rsid w:val="00A3778D"/>
    <w:pPr>
      <w:keepNext/>
      <w:numPr>
        <w:numId w:val="1"/>
      </w:numPr>
      <w:ind w:left="1800"/>
      <w:outlineLvl w:val="1"/>
    </w:pPr>
    <w:rPr>
      <w:rFonts w:eastAsiaTheme="majorEastAsia" w:cstheme="majorBidi"/>
      <w:b/>
      <w:szCs w:val="20"/>
    </w:rPr>
  </w:style>
  <w:style w:type="paragraph" w:styleId="Heading3">
    <w:name w:val="heading 3"/>
    <w:basedOn w:val="Normal"/>
    <w:next w:val="Normal"/>
    <w:link w:val="Heading3Char"/>
    <w:qFormat/>
    <w:rsid w:val="00A3778D"/>
    <w:pPr>
      <w:keepNext/>
      <w:numPr>
        <w:numId w:val="4"/>
      </w:numPr>
      <w:ind w:left="2520"/>
      <w:outlineLvl w:val="2"/>
    </w:pPr>
    <w:rPr>
      <w:rFonts w:eastAsiaTheme="majorEastAsia" w:cstheme="majorBidi"/>
      <w:b/>
      <w:szCs w:val="20"/>
    </w:rPr>
  </w:style>
  <w:style w:type="paragraph" w:styleId="Heading4">
    <w:name w:val="heading 4"/>
    <w:basedOn w:val="Normal"/>
    <w:next w:val="Normal"/>
    <w:link w:val="Heading4Char"/>
    <w:unhideWhenUsed/>
    <w:qFormat/>
    <w:rsid w:val="00AE19ED"/>
    <w:pPr>
      <w:keepNext/>
      <w:numPr>
        <w:numId w:val="5"/>
      </w:numPr>
      <w:outlineLvl w:val="3"/>
    </w:pPr>
    <w:rPr>
      <w:rFonts w:eastAsiaTheme="minorEastAsia" w:cstheme="minorBidi"/>
      <w:b/>
      <w:bCs/>
      <w:szCs w:val="28"/>
    </w:rPr>
  </w:style>
  <w:style w:type="paragraph" w:styleId="Heading5">
    <w:name w:val="heading 5"/>
    <w:basedOn w:val="Normal"/>
    <w:next w:val="Normal"/>
    <w:link w:val="Heading5Char"/>
    <w:unhideWhenUsed/>
    <w:qFormat/>
    <w:rsid w:val="00A3778D"/>
    <w:pPr>
      <w:numPr>
        <w:numId w:val="6"/>
      </w:numPr>
      <w:ind w:left="4320" w:hanging="720"/>
      <w:outlineLvl w:val="4"/>
    </w:pPr>
    <w:rPr>
      <w:rFonts w:eastAsiaTheme="minorEastAsia" w:cstheme="minorBidi"/>
      <w:b/>
      <w:bCs/>
      <w:iCs/>
    </w:rPr>
  </w:style>
  <w:style w:type="paragraph" w:styleId="Heading6">
    <w:name w:val="heading 6"/>
    <w:basedOn w:val="Normal"/>
    <w:next w:val="Normal"/>
    <w:link w:val="Heading6Char"/>
    <w:semiHidden/>
    <w:unhideWhenUsed/>
    <w:qFormat/>
    <w:rsid w:val="006C24AA"/>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C1A8F"/>
    <w:rPr>
      <w:rFonts w:asciiTheme="majorHAnsi" w:eastAsiaTheme="majorEastAsia" w:hAnsiTheme="majorHAnsi"/>
      <w:szCs w:val="18"/>
    </w:rPr>
  </w:style>
  <w:style w:type="paragraph" w:styleId="EnvelopeAddress">
    <w:name w:val="envelope address"/>
    <w:basedOn w:val="Normal"/>
    <w:uiPriority w:val="99"/>
    <w:semiHidden/>
    <w:unhideWhenUsed/>
    <w:rsid w:val="002C1A8F"/>
    <w:pPr>
      <w:framePr w:w="7920" w:h="1980" w:hRule="exact" w:hSpace="180" w:wrap="auto" w:hAnchor="page" w:xAlign="center" w:yAlign="bottom"/>
      <w:ind w:left="2880"/>
    </w:pPr>
    <w:rPr>
      <w:rFonts w:ascii="Arial" w:eastAsiaTheme="majorEastAsia" w:hAnsi="Arial"/>
      <w:sz w:val="28"/>
      <w:szCs w:val="21"/>
    </w:rPr>
  </w:style>
  <w:style w:type="character" w:customStyle="1" w:styleId="Heading1Char">
    <w:name w:val="Heading 1 Char"/>
    <w:basedOn w:val="DefaultParagraphFont"/>
    <w:link w:val="Heading1"/>
    <w:rsid w:val="006C3EB4"/>
    <w:rPr>
      <w:rFonts w:eastAsiaTheme="majorEastAsia" w:cstheme="majorBidi"/>
      <w:b/>
      <w:bCs/>
      <w:sz w:val="26"/>
      <w:szCs w:val="28"/>
    </w:rPr>
  </w:style>
  <w:style w:type="character" w:customStyle="1" w:styleId="Heading2Char">
    <w:name w:val="Heading 2 Char"/>
    <w:basedOn w:val="DefaultParagraphFont"/>
    <w:link w:val="Heading2"/>
    <w:rsid w:val="00A3778D"/>
    <w:rPr>
      <w:rFonts w:eastAsiaTheme="majorEastAsia" w:cstheme="majorBidi"/>
      <w:b/>
      <w:sz w:val="26"/>
    </w:rPr>
  </w:style>
  <w:style w:type="character" w:customStyle="1" w:styleId="Heading3Char">
    <w:name w:val="Heading 3 Char"/>
    <w:basedOn w:val="DefaultParagraphFont"/>
    <w:link w:val="Heading3"/>
    <w:rsid w:val="00A3778D"/>
    <w:rPr>
      <w:rFonts w:eastAsiaTheme="majorEastAsia" w:cstheme="majorBidi"/>
      <w:b/>
      <w:sz w:val="26"/>
    </w:rPr>
  </w:style>
  <w:style w:type="character" w:customStyle="1" w:styleId="Heading4Char">
    <w:name w:val="Heading 4 Char"/>
    <w:basedOn w:val="DefaultParagraphFont"/>
    <w:link w:val="Heading4"/>
    <w:rsid w:val="00AE19ED"/>
    <w:rPr>
      <w:rFonts w:eastAsiaTheme="minorEastAsia" w:cstheme="minorBidi"/>
      <w:b/>
      <w:bCs/>
      <w:sz w:val="26"/>
      <w:szCs w:val="28"/>
    </w:rPr>
  </w:style>
  <w:style w:type="character" w:customStyle="1" w:styleId="Heading5Char">
    <w:name w:val="Heading 5 Char"/>
    <w:basedOn w:val="DefaultParagraphFont"/>
    <w:link w:val="Heading5"/>
    <w:rsid w:val="00A3778D"/>
    <w:rPr>
      <w:rFonts w:eastAsiaTheme="minorEastAsia" w:cstheme="minorBidi"/>
      <w:b/>
      <w:bCs/>
      <w:iCs/>
      <w:sz w:val="26"/>
      <w:szCs w:val="26"/>
    </w:rPr>
  </w:style>
  <w:style w:type="character" w:customStyle="1" w:styleId="Heading6Char">
    <w:name w:val="Heading 6 Char"/>
    <w:basedOn w:val="DefaultParagraphFont"/>
    <w:link w:val="Heading6"/>
    <w:semiHidden/>
    <w:rsid w:val="006C24AA"/>
    <w:rPr>
      <w:rFonts w:asciiTheme="minorHAnsi" w:eastAsiaTheme="minorEastAsia" w:hAnsiTheme="minorHAnsi" w:cstheme="minorBidi"/>
      <w:b/>
      <w:bCs/>
      <w:sz w:val="22"/>
      <w:szCs w:val="22"/>
    </w:rPr>
  </w:style>
  <w:style w:type="paragraph" w:styleId="TOC1">
    <w:name w:val="toc 1"/>
    <w:basedOn w:val="Normal"/>
    <w:next w:val="Normal"/>
    <w:autoRedefine/>
    <w:uiPriority w:val="39"/>
    <w:unhideWhenUsed/>
    <w:rsid w:val="006C24AA"/>
    <w:pPr>
      <w:spacing w:after="100"/>
    </w:pPr>
    <w:rPr>
      <w:rFonts w:cs="Times New Roman"/>
    </w:rPr>
  </w:style>
  <w:style w:type="paragraph" w:styleId="TOC2">
    <w:name w:val="toc 2"/>
    <w:basedOn w:val="Normal"/>
    <w:next w:val="Normal"/>
    <w:autoRedefine/>
    <w:uiPriority w:val="39"/>
    <w:unhideWhenUsed/>
    <w:rsid w:val="006C24AA"/>
    <w:pPr>
      <w:tabs>
        <w:tab w:val="left" w:pos="1080"/>
        <w:tab w:val="right" w:leader="dot" w:pos="9350"/>
      </w:tabs>
      <w:spacing w:after="100"/>
      <w:ind w:left="240"/>
    </w:pPr>
    <w:rPr>
      <w:rFonts w:cs="Times New Roman"/>
    </w:rPr>
  </w:style>
  <w:style w:type="paragraph" w:styleId="TOC3">
    <w:name w:val="toc 3"/>
    <w:basedOn w:val="Normal"/>
    <w:next w:val="Normal"/>
    <w:autoRedefine/>
    <w:uiPriority w:val="39"/>
    <w:unhideWhenUsed/>
    <w:rsid w:val="006C24AA"/>
    <w:pPr>
      <w:tabs>
        <w:tab w:val="left" w:pos="1440"/>
        <w:tab w:val="right" w:leader="dot" w:pos="9350"/>
      </w:tabs>
      <w:spacing w:after="100"/>
      <w:ind w:left="480"/>
    </w:pPr>
    <w:rPr>
      <w:rFonts w:cs="Times New Roman"/>
    </w:rPr>
  </w:style>
  <w:style w:type="character" w:styleId="Emphasis">
    <w:name w:val="Emphasis"/>
    <w:basedOn w:val="DefaultParagraphFont"/>
    <w:qFormat/>
    <w:rsid w:val="006C24AA"/>
    <w:rPr>
      <w:i/>
      <w:iCs/>
    </w:rPr>
  </w:style>
  <w:style w:type="paragraph" w:styleId="NoSpacing">
    <w:name w:val="No Spacing"/>
    <w:uiPriority w:val="1"/>
    <w:qFormat/>
    <w:rsid w:val="006C24AA"/>
    <w:rPr>
      <w:sz w:val="26"/>
      <w:szCs w:val="26"/>
    </w:rPr>
  </w:style>
  <w:style w:type="paragraph" w:styleId="ListParagraph">
    <w:name w:val="List Paragraph"/>
    <w:basedOn w:val="Normal"/>
    <w:uiPriority w:val="34"/>
    <w:qFormat/>
    <w:rsid w:val="006C24AA"/>
    <w:pPr>
      <w:ind w:left="720"/>
    </w:pPr>
    <w:rPr>
      <w:rFonts w:cs="Times New Roman"/>
    </w:rPr>
  </w:style>
  <w:style w:type="paragraph" w:styleId="TOCHeading">
    <w:name w:val="TOC Heading"/>
    <w:basedOn w:val="Heading1"/>
    <w:next w:val="Normal"/>
    <w:uiPriority w:val="39"/>
    <w:semiHidden/>
    <w:unhideWhenUsed/>
    <w:qFormat/>
    <w:rsid w:val="006C24AA"/>
    <w:pPr>
      <w:outlineLvl w:val="9"/>
    </w:p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semiHidden/>
    <w:unhideWhenUsed/>
    <w:qFormat/>
    <w:rsid w:val="00865951"/>
    <w:pPr>
      <w:spacing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semiHidden/>
    <w:rsid w:val="00865951"/>
    <w:rPr>
      <w:rFonts w:cs="Mangal"/>
    </w:rPr>
  </w:style>
  <w:style w:type="character" w:styleId="FootnoteReference">
    <w:name w:val="footnote reference"/>
    <w:basedOn w:val="DefaultParagraphFont"/>
    <w:uiPriority w:val="99"/>
    <w:semiHidden/>
    <w:unhideWhenUsed/>
    <w:rsid w:val="00865951"/>
    <w:rPr>
      <w:vertAlign w:val="superscript"/>
    </w:rPr>
  </w:style>
  <w:style w:type="paragraph" w:styleId="Header">
    <w:name w:val="header"/>
    <w:basedOn w:val="Normal"/>
    <w:link w:val="HeaderChar"/>
    <w:uiPriority w:val="99"/>
    <w:semiHidden/>
    <w:unhideWhenUsed/>
    <w:rsid w:val="00E45CE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45CEB"/>
    <w:rPr>
      <w:rFonts w:cs="Mangal"/>
      <w:sz w:val="26"/>
      <w:szCs w:val="26"/>
    </w:rPr>
  </w:style>
  <w:style w:type="paragraph" w:styleId="Footer">
    <w:name w:val="footer"/>
    <w:basedOn w:val="Normal"/>
    <w:link w:val="FooterChar"/>
    <w:uiPriority w:val="99"/>
    <w:unhideWhenUsed/>
    <w:rsid w:val="00E45CEB"/>
    <w:pPr>
      <w:tabs>
        <w:tab w:val="center" w:pos="4680"/>
        <w:tab w:val="right" w:pos="9360"/>
      </w:tabs>
      <w:spacing w:line="240" w:lineRule="auto"/>
    </w:pPr>
  </w:style>
  <w:style w:type="character" w:customStyle="1" w:styleId="FooterChar">
    <w:name w:val="Footer Char"/>
    <w:basedOn w:val="DefaultParagraphFont"/>
    <w:link w:val="Footer"/>
    <w:uiPriority w:val="99"/>
    <w:rsid w:val="00E45CEB"/>
    <w:rPr>
      <w:rFonts w:cs="Mangal"/>
      <w:sz w:val="26"/>
      <w:szCs w:val="26"/>
    </w:rPr>
  </w:style>
  <w:style w:type="table" w:styleId="TableGrid">
    <w:name w:val="Table Grid"/>
    <w:basedOn w:val="TableNormal"/>
    <w:uiPriority w:val="59"/>
    <w:rsid w:val="008461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2F3A94"/>
    <w:rPr>
      <w:rFonts w:cs="Times New Roman"/>
      <w:szCs w:val="20"/>
    </w:rPr>
  </w:style>
  <w:style w:type="character" w:customStyle="1" w:styleId="PlainTextChar">
    <w:name w:val="Plain Text Char"/>
    <w:basedOn w:val="DefaultParagraphFont"/>
    <w:link w:val="PlainText"/>
    <w:uiPriority w:val="99"/>
    <w:rsid w:val="002F3A94"/>
    <w:rPr>
      <w:sz w:val="26"/>
    </w:rPr>
  </w:style>
  <w:style w:type="paragraph" w:styleId="BodyText">
    <w:name w:val="Body Text"/>
    <w:basedOn w:val="Normal"/>
    <w:link w:val="BodyTextChar"/>
    <w:rsid w:val="00F65BA8"/>
    <w:pPr>
      <w:ind w:firstLine="0"/>
    </w:pPr>
    <w:rPr>
      <w:rFonts w:cs="Times New Roman"/>
      <w:szCs w:val="20"/>
    </w:rPr>
  </w:style>
  <w:style w:type="character" w:customStyle="1" w:styleId="BodyTextChar">
    <w:name w:val="Body Text Char"/>
    <w:basedOn w:val="DefaultParagraphFont"/>
    <w:link w:val="BodyText"/>
    <w:rsid w:val="00F65BA8"/>
    <w:rPr>
      <w:sz w:val="26"/>
    </w:rPr>
  </w:style>
  <w:style w:type="paragraph" w:styleId="BodyText2">
    <w:name w:val="Body Text 2"/>
    <w:basedOn w:val="Normal"/>
    <w:link w:val="BodyText2Char"/>
    <w:rsid w:val="00E019A1"/>
    <w:pPr>
      <w:spacing w:after="120" w:line="480" w:lineRule="auto"/>
      <w:ind w:firstLine="0"/>
    </w:pPr>
    <w:rPr>
      <w:rFonts w:cs="Times New Roman"/>
      <w:sz w:val="24"/>
      <w:szCs w:val="24"/>
    </w:rPr>
  </w:style>
  <w:style w:type="character" w:customStyle="1" w:styleId="BodyText2Char">
    <w:name w:val="Body Text 2 Char"/>
    <w:basedOn w:val="DefaultParagraphFont"/>
    <w:link w:val="BodyText2"/>
    <w:rsid w:val="00E019A1"/>
    <w:rPr>
      <w:sz w:val="24"/>
      <w:szCs w:val="24"/>
    </w:rPr>
  </w:style>
  <w:style w:type="paragraph" w:styleId="BodyText3">
    <w:name w:val="Body Text 3"/>
    <w:basedOn w:val="Normal"/>
    <w:link w:val="BodyText3Char"/>
    <w:rsid w:val="00E019A1"/>
    <w:pPr>
      <w:spacing w:after="120" w:line="240" w:lineRule="auto"/>
      <w:ind w:firstLine="0"/>
    </w:pPr>
    <w:rPr>
      <w:rFonts w:cs="Times New Roman"/>
      <w:sz w:val="16"/>
      <w:szCs w:val="16"/>
    </w:rPr>
  </w:style>
  <w:style w:type="character" w:customStyle="1" w:styleId="BodyText3Char">
    <w:name w:val="Body Text 3 Char"/>
    <w:basedOn w:val="DefaultParagraphFont"/>
    <w:link w:val="BodyText3"/>
    <w:rsid w:val="00E019A1"/>
    <w:rPr>
      <w:sz w:val="16"/>
      <w:szCs w:val="16"/>
    </w:rPr>
  </w:style>
  <w:style w:type="paragraph" w:styleId="BalloonText">
    <w:name w:val="Balloon Text"/>
    <w:basedOn w:val="Normal"/>
    <w:link w:val="BalloonTextChar"/>
    <w:uiPriority w:val="99"/>
    <w:semiHidden/>
    <w:unhideWhenUsed/>
    <w:rsid w:val="00E036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6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C9915C5-A318-4A69-8833-26684E83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2830</TotalTime>
  <Pages>32</Pages>
  <Words>7746</Words>
  <Characters>44153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Administrator</cp:lastModifiedBy>
  <cp:revision>54</cp:revision>
  <cp:lastPrinted>2011-03-17T15:17:00Z</cp:lastPrinted>
  <dcterms:created xsi:type="dcterms:W3CDTF">2011-02-14T16:39:00Z</dcterms:created>
  <dcterms:modified xsi:type="dcterms:W3CDTF">2011-03-17T15:17:00Z</dcterms:modified>
</cp:coreProperties>
</file>