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AE" w:rsidRPr="00581AEC" w:rsidRDefault="00E71EAE" w:rsidP="00E71EAE">
      <w:pPr>
        <w:jc w:val="center"/>
        <w:rPr>
          <w:b/>
        </w:rPr>
      </w:pPr>
      <w:r w:rsidRPr="00581AEC">
        <w:rPr>
          <w:b/>
        </w:rPr>
        <w:t>PENNSYLVANIA PUBLIC UTILITY COMMISSION</w:t>
      </w:r>
    </w:p>
    <w:p w:rsidR="00E71EAE" w:rsidRPr="00581AEC" w:rsidRDefault="00E71EAE" w:rsidP="00E71EAE">
      <w:pPr>
        <w:jc w:val="center"/>
        <w:rPr>
          <w:b/>
        </w:rPr>
      </w:pPr>
      <w:r w:rsidRPr="00581AEC">
        <w:rPr>
          <w:b/>
        </w:rPr>
        <w:t>HARRISBURG, PENNSYLVANIA 17105-3265</w:t>
      </w:r>
    </w:p>
    <w:p w:rsidR="00E71EAE" w:rsidRPr="00581AEC" w:rsidRDefault="00E71EAE" w:rsidP="00E71EA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788"/>
        <w:gridCol w:w="236"/>
        <w:gridCol w:w="4552"/>
      </w:tblGrid>
      <w:tr w:rsidR="00E71EAE" w:rsidRPr="00581AEC" w:rsidTr="00E71EAE">
        <w:tc>
          <w:tcPr>
            <w:tcW w:w="4788" w:type="dxa"/>
          </w:tcPr>
          <w:p w:rsidR="00E71EAE" w:rsidRPr="00581AEC" w:rsidRDefault="00581AEC">
            <w:pPr>
              <w:rPr>
                <w:b/>
                <w:sz w:val="24"/>
              </w:rPr>
            </w:pPr>
            <w:r w:rsidRPr="00581AEC">
              <w:rPr>
                <w:b/>
                <w:sz w:val="24"/>
              </w:rPr>
              <w:t xml:space="preserve">Constantine </w:t>
            </w:r>
            <w:proofErr w:type="spellStart"/>
            <w:r w:rsidRPr="00581AEC">
              <w:rPr>
                <w:b/>
                <w:sz w:val="24"/>
              </w:rPr>
              <w:t>Daskalakis</w:t>
            </w:r>
            <w:proofErr w:type="spellEnd"/>
          </w:p>
          <w:p w:rsidR="00E71EAE" w:rsidRPr="00581AEC" w:rsidRDefault="00E71EAE">
            <w:pPr>
              <w:rPr>
                <w:b/>
                <w:sz w:val="24"/>
              </w:rPr>
            </w:pPr>
          </w:p>
          <w:p w:rsidR="00E71EAE" w:rsidRPr="00581AEC" w:rsidRDefault="00E71EAE">
            <w:pPr>
              <w:rPr>
                <w:b/>
                <w:sz w:val="24"/>
              </w:rPr>
            </w:pPr>
            <w:r w:rsidRPr="00581AEC">
              <w:rPr>
                <w:b/>
                <w:sz w:val="24"/>
              </w:rPr>
              <w:t xml:space="preserve">                 </w:t>
            </w:r>
            <w:proofErr w:type="gramStart"/>
            <w:r w:rsidRPr="00581AEC">
              <w:rPr>
                <w:b/>
                <w:sz w:val="24"/>
              </w:rPr>
              <w:t>v</w:t>
            </w:r>
            <w:proofErr w:type="gramEnd"/>
            <w:r w:rsidRPr="00581AEC">
              <w:rPr>
                <w:b/>
                <w:sz w:val="24"/>
              </w:rPr>
              <w:t>.</w:t>
            </w:r>
          </w:p>
          <w:p w:rsidR="00E71EAE" w:rsidRPr="00581AEC" w:rsidRDefault="00E71EAE">
            <w:pPr>
              <w:rPr>
                <w:b/>
                <w:sz w:val="24"/>
              </w:rPr>
            </w:pPr>
          </w:p>
          <w:p w:rsidR="00E71EAE" w:rsidRPr="00581AEC" w:rsidRDefault="00581AEC">
            <w:pPr>
              <w:rPr>
                <w:b/>
                <w:sz w:val="24"/>
              </w:rPr>
            </w:pPr>
            <w:r w:rsidRPr="00581AEC">
              <w:rPr>
                <w:b/>
                <w:sz w:val="24"/>
              </w:rPr>
              <w:t>Verizon Pennsylvania Inc.</w:t>
            </w:r>
          </w:p>
          <w:p w:rsidR="00E71EAE" w:rsidRPr="00581AEC" w:rsidRDefault="00E71EAE">
            <w:pPr>
              <w:rPr>
                <w:b/>
                <w:sz w:val="24"/>
              </w:rPr>
            </w:pPr>
          </w:p>
        </w:tc>
        <w:tc>
          <w:tcPr>
            <w:tcW w:w="236" w:type="dxa"/>
          </w:tcPr>
          <w:p w:rsidR="00E71EAE" w:rsidRPr="00581AEC" w:rsidRDefault="00E71EAE">
            <w:pPr>
              <w:rPr>
                <w:b/>
                <w:sz w:val="24"/>
              </w:rPr>
            </w:pPr>
          </w:p>
        </w:tc>
        <w:tc>
          <w:tcPr>
            <w:tcW w:w="4552" w:type="dxa"/>
          </w:tcPr>
          <w:p w:rsidR="00E71EAE" w:rsidRPr="00581AEC" w:rsidRDefault="00E71EAE">
            <w:pPr>
              <w:rPr>
                <w:b/>
                <w:sz w:val="24"/>
              </w:rPr>
            </w:pPr>
            <w:r w:rsidRPr="00581AEC">
              <w:rPr>
                <w:b/>
                <w:sz w:val="24"/>
              </w:rPr>
              <w:t xml:space="preserve">PUBLIC </w:t>
            </w:r>
            <w:r w:rsidR="009100B7">
              <w:rPr>
                <w:b/>
                <w:sz w:val="24"/>
              </w:rPr>
              <w:t>MEETING: March 17, 2011</w:t>
            </w:r>
          </w:p>
          <w:p w:rsidR="00E71EAE" w:rsidRPr="00581AEC" w:rsidRDefault="00581AEC">
            <w:pPr>
              <w:rPr>
                <w:b/>
                <w:sz w:val="24"/>
              </w:rPr>
            </w:pPr>
            <w:r w:rsidRPr="00581AEC">
              <w:rPr>
                <w:b/>
                <w:sz w:val="24"/>
              </w:rPr>
              <w:t>2172222-OSA</w:t>
            </w:r>
          </w:p>
          <w:p w:rsidR="00E71EAE" w:rsidRPr="00581AEC" w:rsidRDefault="00E71EAE">
            <w:pPr>
              <w:rPr>
                <w:b/>
                <w:sz w:val="24"/>
              </w:rPr>
            </w:pPr>
          </w:p>
          <w:p w:rsidR="00E71EAE" w:rsidRPr="00581AEC" w:rsidRDefault="00581AEC">
            <w:pPr>
              <w:rPr>
                <w:b/>
                <w:sz w:val="24"/>
              </w:rPr>
            </w:pPr>
            <w:r w:rsidRPr="00581AEC">
              <w:rPr>
                <w:b/>
                <w:sz w:val="24"/>
              </w:rPr>
              <w:t>Docket No. C-2010-2172222</w:t>
            </w:r>
          </w:p>
          <w:p w:rsidR="00E71EAE" w:rsidRPr="00581AEC" w:rsidRDefault="00E71EAE">
            <w:pPr>
              <w:rPr>
                <w:b/>
                <w:sz w:val="24"/>
              </w:rPr>
            </w:pPr>
          </w:p>
        </w:tc>
      </w:tr>
    </w:tbl>
    <w:p w:rsidR="00E71EAE" w:rsidRPr="00581AEC" w:rsidRDefault="00E71EAE" w:rsidP="00E71EAE"/>
    <w:p w:rsidR="00E71EAE" w:rsidRPr="00581AEC" w:rsidRDefault="00AF5C7A" w:rsidP="00E71EAE">
      <w:pPr>
        <w:jc w:val="center"/>
        <w:rPr>
          <w:b/>
          <w:u w:val="single"/>
        </w:rPr>
      </w:pPr>
      <w:r>
        <w:rPr>
          <w:b/>
          <w:u w:val="single"/>
        </w:rPr>
        <w:t xml:space="preserve">MOTION OF </w:t>
      </w:r>
      <w:r w:rsidR="009100B7">
        <w:rPr>
          <w:b/>
          <w:u w:val="single"/>
        </w:rPr>
        <w:t>COMMISSIONER</w:t>
      </w:r>
      <w:r w:rsidR="00E71EAE" w:rsidRPr="00581AEC">
        <w:rPr>
          <w:b/>
          <w:u w:val="single"/>
        </w:rPr>
        <w:t xml:space="preserve"> JAMES H. CAWLEY</w:t>
      </w:r>
    </w:p>
    <w:p w:rsidR="00E71EAE" w:rsidRPr="00581AEC" w:rsidRDefault="00E71EAE" w:rsidP="00E71EAE"/>
    <w:p w:rsidR="004E6146" w:rsidRDefault="00BB26CD">
      <w:r>
        <w:tab/>
        <w:t xml:space="preserve">Before us for disposition are the Exceptions filed by Mr. Constantine </w:t>
      </w:r>
      <w:proofErr w:type="spellStart"/>
      <w:r>
        <w:t>Daskalakis</w:t>
      </w:r>
      <w:proofErr w:type="spellEnd"/>
      <w:r>
        <w:t xml:space="preserve"> (Mr. </w:t>
      </w:r>
      <w:proofErr w:type="spellStart"/>
      <w:r>
        <w:t>Daskalakis</w:t>
      </w:r>
      <w:proofErr w:type="spellEnd"/>
      <w:r>
        <w:t xml:space="preserve"> or Complainant) to the Initial Decision (I.D.) Granting Preliminary Objections of Administrative Law Judge (ALJ) Wayne L. Weismandel</w:t>
      </w:r>
      <w:r w:rsidR="00E26A19">
        <w:t>, and the Reply Exceptions that were filed by Verizon Pennsylvania Inc.</w:t>
      </w:r>
      <w:r w:rsidR="007522F6">
        <w:t xml:space="preserve"> (Verizon PA).</w:t>
      </w:r>
      <w:r w:rsidR="00E26A19">
        <w:t xml:space="preserve">  </w:t>
      </w:r>
      <w:r w:rsidR="00181043">
        <w:t>Th</w:t>
      </w:r>
      <w:r w:rsidR="002F24C0">
        <w:t>is adjudicated case</w:t>
      </w:r>
      <w:r w:rsidR="009100B7">
        <w:t xml:space="preserve"> raises certain</w:t>
      </w:r>
      <w:r w:rsidR="00181043">
        <w:t xml:space="preserve"> issues of first impression for the Commission.  However, because the initial disposition of this case </w:t>
      </w:r>
      <w:r w:rsidR="00AF5C7A">
        <w:t>has taken place on the basis of Preliminary Objections, many factual and legal issues remain unanswered</w:t>
      </w:r>
      <w:r w:rsidR="00501259">
        <w:t xml:space="preserve"> and the evidentiary record below is incomplete</w:t>
      </w:r>
      <w:r w:rsidR="004E6146">
        <w:t>.</w:t>
      </w:r>
    </w:p>
    <w:p w:rsidR="004E6146" w:rsidRDefault="004E6146"/>
    <w:p w:rsidR="009100B7" w:rsidRDefault="009100B7">
      <w:r>
        <w:tab/>
      </w:r>
      <w:r w:rsidR="008C0AA2">
        <w:t>We are called to decide the outcome of this case</w:t>
      </w:r>
      <w:r w:rsidR="007278E4">
        <w:t xml:space="preserve"> on the basis of limited information and analysis, due primarily to the procedural disposition of the Complaint that was dismissed via Preliminary Objections.</w:t>
      </w:r>
      <w:r w:rsidR="008C0AA2">
        <w:t xml:space="preserve">  I acknowledge that this case may and can have wider policy implications for the reliable and adequate provision of telecommunications services where those are provided as part of a competitively priced bundle that includes </w:t>
      </w:r>
      <w:r w:rsidR="007522F6">
        <w:t>a retail broadband access component to the Internet.  Similarly, this proceeding does not provide us with sufficient factual and legal detail in order to discern the exact corporate affiliate relationship between Verizon On-Line and the regulated operations of Verizon PA.</w:t>
      </w:r>
      <w:r w:rsidR="00432886">
        <w:rPr>
          <w:rStyle w:val="FootnoteReference"/>
        </w:rPr>
        <w:footnoteReference w:id="1"/>
      </w:r>
    </w:p>
    <w:p w:rsidR="00432886" w:rsidRDefault="00432886"/>
    <w:p w:rsidR="00432886" w:rsidRPr="00637C97" w:rsidRDefault="00432886">
      <w:r>
        <w:tab/>
        <w:t xml:space="preserve">To the extent that issues of installation, quality, adequacy, reliability, safety and privacy of jurisdictional public utility telecommunications services are implicated – whether those </w:t>
      </w:r>
      <w:r w:rsidR="00637C97">
        <w:t xml:space="preserve">are price regulated or not – and whether the associated facilities of a regulated public utility may be involved for the adequate, safe and reliable provision of such services, the Commission is statutorily obliged to maintain the appropriate degree of interest and regulatory oversight.  </w:t>
      </w:r>
      <w:r w:rsidR="00637C97">
        <w:rPr>
          <w:i/>
        </w:rPr>
        <w:t>See generally</w:t>
      </w:r>
      <w:r w:rsidR="00637C97">
        <w:t xml:space="preserve"> 66 Pa. C.S.</w:t>
      </w:r>
      <w:r w:rsidR="006A011C">
        <w:t xml:space="preserve"> §§ 102</w:t>
      </w:r>
      <w:r w:rsidR="00E00A70">
        <w:t xml:space="preserve"> and</w:t>
      </w:r>
      <w:r w:rsidR="006A011C">
        <w:t xml:space="preserve"> 3019(b</w:t>
      </w:r>
      <w:proofErr w:type="gramStart"/>
      <w:r w:rsidR="006A011C">
        <w:t>)(</w:t>
      </w:r>
      <w:proofErr w:type="gramEnd"/>
      <w:r w:rsidR="006A011C">
        <w:t>2)</w:t>
      </w:r>
      <w:r w:rsidR="00E00A70">
        <w:t>.</w:t>
      </w:r>
    </w:p>
    <w:p w:rsidR="009100B7" w:rsidRDefault="009100B7"/>
    <w:p w:rsidR="00CC60A9" w:rsidRPr="00E00A70" w:rsidRDefault="0034260B" w:rsidP="0034260B">
      <w:r>
        <w:tab/>
        <w:t xml:space="preserve">It appears from the various pleadings submitted by Complainant that the core issue centers on the reliability of Complainant’s retail </w:t>
      </w:r>
      <w:proofErr w:type="spellStart"/>
      <w:r>
        <w:t>xDSL</w:t>
      </w:r>
      <w:proofErr w:type="spellEnd"/>
      <w:r>
        <w:t xml:space="preserve"> broadband access component in his bundled service package.</w:t>
      </w:r>
      <w:r>
        <w:rPr>
          <w:rStyle w:val="FootnoteReference"/>
        </w:rPr>
        <w:footnoteReference w:id="2"/>
      </w:r>
      <w:r>
        <w:t xml:space="preserve">  However,</w:t>
      </w:r>
      <w:r w:rsidR="00E343FF">
        <w:t xml:space="preserve"> in reaching a decision, I note that Complainant’s allegations do not appear to involve the adequacy and reliability of any retail telecommunica</w:t>
      </w:r>
      <w:r w:rsidR="003406FA">
        <w:softHyphen/>
      </w:r>
      <w:r w:rsidR="00E343FF">
        <w:t>tions services that Complainant may also receive through a bundled service package.  N</w:t>
      </w:r>
      <w:r w:rsidR="003406FA">
        <w:t>o</w:t>
      </w:r>
      <w:r w:rsidR="00E343FF">
        <w:t xml:space="preserve">r do </w:t>
      </w:r>
      <w:r w:rsidR="00E343FF">
        <w:lastRenderedPageBreak/>
        <w:t xml:space="preserve">Complainant’s allegations appear to involve the adequacy and reliability </w:t>
      </w:r>
      <w:r w:rsidR="007278E4">
        <w:t>of jurisdictional public utility facilities that are utilized for the provision of such telecommunications services.</w:t>
      </w:r>
      <w:r>
        <w:t xml:space="preserve">  Because the retail broadband access services to the Internet are generally under the regulatory purview of the </w:t>
      </w:r>
      <w:r w:rsidR="00A172C1">
        <w:t>Federal Communications Commission (</w:t>
      </w:r>
      <w:r>
        <w:t>FCC</w:t>
      </w:r>
      <w:r w:rsidR="00A172C1">
        <w:t>)</w:t>
      </w:r>
      <w:r>
        <w:t xml:space="preserve">, we </w:t>
      </w:r>
      <w:r w:rsidR="007278E4">
        <w:t xml:space="preserve">should </w:t>
      </w:r>
      <w:r>
        <w:t xml:space="preserve">decline to </w:t>
      </w:r>
      <w:r w:rsidR="00A172C1">
        <w:t>sustain</w:t>
      </w:r>
      <w:r w:rsidR="007278E4">
        <w:t xml:space="preserve"> this Formal Complaint and should</w:t>
      </w:r>
      <w:r>
        <w:t xml:space="preserve"> dismiss it.</w:t>
      </w:r>
      <w:r w:rsidR="00E00A70">
        <w:t xml:space="preserve">  </w:t>
      </w:r>
      <w:r w:rsidR="00E00A70">
        <w:rPr>
          <w:i/>
        </w:rPr>
        <w:t>See also</w:t>
      </w:r>
      <w:r w:rsidR="00E00A70">
        <w:t xml:space="preserve"> 73 </w:t>
      </w:r>
      <w:proofErr w:type="spellStart"/>
      <w:r w:rsidR="00E00A70">
        <w:t>Pa.S</w:t>
      </w:r>
      <w:proofErr w:type="spellEnd"/>
      <w:r w:rsidR="00E00A70">
        <w:t>. § 2251.4.</w:t>
      </w:r>
    </w:p>
    <w:p w:rsidR="00A172C1" w:rsidRDefault="00A172C1" w:rsidP="0034260B"/>
    <w:p w:rsidR="00A172C1" w:rsidRDefault="00A172C1" w:rsidP="0034260B">
      <w:r>
        <w:tab/>
      </w:r>
      <w:r>
        <w:rPr>
          <w:b/>
        </w:rPr>
        <w:t>THEREFORE</w:t>
      </w:r>
      <w:r>
        <w:t>, I move that:</w:t>
      </w:r>
    </w:p>
    <w:p w:rsidR="00A172C1" w:rsidRDefault="00A172C1" w:rsidP="0034260B"/>
    <w:p w:rsidR="00A172C1" w:rsidRDefault="00A172C1" w:rsidP="00E4067A">
      <w:pPr>
        <w:pStyle w:val="ListParagraph"/>
        <w:numPr>
          <w:ilvl w:val="0"/>
          <w:numId w:val="2"/>
        </w:numPr>
        <w:ind w:left="0" w:firstLine="720"/>
      </w:pPr>
      <w:r>
        <w:t xml:space="preserve">The exceptions of Constantine </w:t>
      </w:r>
      <w:proofErr w:type="spellStart"/>
      <w:r>
        <w:t>Daskalakis</w:t>
      </w:r>
      <w:proofErr w:type="spellEnd"/>
      <w:r>
        <w:t xml:space="preserve"> </w:t>
      </w:r>
      <w:r w:rsidR="00E4067A">
        <w:t xml:space="preserve">to Administrative Law Judge Wayne L. </w:t>
      </w:r>
      <w:proofErr w:type="spellStart"/>
      <w:r w:rsidR="00E4067A">
        <w:t>Weismandel’s</w:t>
      </w:r>
      <w:proofErr w:type="spellEnd"/>
      <w:r w:rsidR="00E4067A">
        <w:t xml:space="preserve"> Initial Decision Gra</w:t>
      </w:r>
      <w:r w:rsidR="002F24C0">
        <w:t>nting Preliminary Objections should be</w:t>
      </w:r>
      <w:r w:rsidR="00E4067A">
        <w:t xml:space="preserve"> denied, consistent with this Motion.</w:t>
      </w:r>
    </w:p>
    <w:p w:rsidR="00E4067A" w:rsidRDefault="00E4067A" w:rsidP="00E4067A">
      <w:pPr>
        <w:ind w:left="720"/>
      </w:pPr>
    </w:p>
    <w:p w:rsidR="00E4067A" w:rsidRDefault="00E4067A" w:rsidP="00E4067A">
      <w:pPr>
        <w:pStyle w:val="ListParagraph"/>
        <w:numPr>
          <w:ilvl w:val="0"/>
          <w:numId w:val="2"/>
        </w:numPr>
        <w:ind w:left="0" w:firstLine="720"/>
      </w:pPr>
      <w:r>
        <w:t xml:space="preserve">The Initial Decision of Administrative </w:t>
      </w:r>
      <w:r w:rsidR="002F24C0">
        <w:t>Law Judge Wayne L. Weismandel should be</w:t>
      </w:r>
      <w:r>
        <w:t xml:space="preserve"> adopted consisted with this Motion.</w:t>
      </w:r>
    </w:p>
    <w:p w:rsidR="00E4067A" w:rsidRDefault="00E4067A" w:rsidP="00E4067A">
      <w:pPr>
        <w:pStyle w:val="ListParagraph"/>
      </w:pPr>
    </w:p>
    <w:p w:rsidR="00E4067A" w:rsidRDefault="00E4067A" w:rsidP="00E4067A">
      <w:pPr>
        <w:pStyle w:val="ListParagraph"/>
        <w:numPr>
          <w:ilvl w:val="0"/>
          <w:numId w:val="2"/>
        </w:numPr>
        <w:ind w:left="0" w:firstLine="720"/>
      </w:pPr>
      <w:r>
        <w:t>The Preliminary Objection filed</w:t>
      </w:r>
      <w:r w:rsidR="002F24C0">
        <w:t xml:space="preserve"> by Verizon Pennsylvania Inc. should be</w:t>
      </w:r>
      <w:r>
        <w:t xml:space="preserve"> granted in accordance with this Motion</w:t>
      </w:r>
      <w:r w:rsidR="00D03A8B">
        <w:t>.</w:t>
      </w:r>
    </w:p>
    <w:p w:rsidR="00D03A8B" w:rsidRDefault="00D03A8B" w:rsidP="00D03A8B">
      <w:pPr>
        <w:pStyle w:val="ListParagraph"/>
      </w:pPr>
    </w:p>
    <w:p w:rsidR="00D03A8B" w:rsidRDefault="00D03A8B" w:rsidP="00E4067A">
      <w:pPr>
        <w:pStyle w:val="ListParagraph"/>
        <w:numPr>
          <w:ilvl w:val="0"/>
          <w:numId w:val="2"/>
        </w:numPr>
        <w:ind w:left="0" w:firstLine="720"/>
      </w:pPr>
      <w:r>
        <w:t xml:space="preserve">The Complaint of Constantine </w:t>
      </w:r>
      <w:proofErr w:type="spellStart"/>
      <w:r>
        <w:t>Daskalakis</w:t>
      </w:r>
      <w:proofErr w:type="spellEnd"/>
      <w:r>
        <w:t xml:space="preserve"> </w:t>
      </w:r>
      <w:r w:rsidR="002F24C0">
        <w:t xml:space="preserve">should </w:t>
      </w:r>
      <w:r>
        <w:t>be dismissed in accordance with this Motion.</w:t>
      </w:r>
    </w:p>
    <w:p w:rsidR="00D03A8B" w:rsidRDefault="00D03A8B" w:rsidP="00D03A8B">
      <w:pPr>
        <w:pStyle w:val="ListParagraph"/>
      </w:pPr>
    </w:p>
    <w:p w:rsidR="00D03A8B" w:rsidRDefault="00D03A8B" w:rsidP="00E4067A">
      <w:pPr>
        <w:pStyle w:val="ListParagraph"/>
        <w:numPr>
          <w:ilvl w:val="0"/>
          <w:numId w:val="2"/>
        </w:numPr>
        <w:ind w:left="0" w:firstLine="720"/>
      </w:pPr>
      <w:r>
        <w:t xml:space="preserve">The Office of Special Assistants </w:t>
      </w:r>
      <w:proofErr w:type="gramStart"/>
      <w:r>
        <w:t>prepare</w:t>
      </w:r>
      <w:proofErr w:type="gramEnd"/>
      <w:r>
        <w:t xml:space="preserve"> the appropriate Order consistent with this Motion.</w:t>
      </w:r>
    </w:p>
    <w:p w:rsidR="00D03A8B" w:rsidRDefault="00D03A8B" w:rsidP="00D03A8B">
      <w:pPr>
        <w:pStyle w:val="ListParagraph"/>
      </w:pPr>
    </w:p>
    <w:p w:rsidR="00D03A8B" w:rsidRDefault="00D03A8B" w:rsidP="00D03A8B"/>
    <w:p w:rsidR="00D03A8B" w:rsidRDefault="00D03A8B" w:rsidP="00D03A8B"/>
    <w:p w:rsidR="00D03A8B" w:rsidRDefault="00D03A8B" w:rsidP="00D03A8B"/>
    <w:p w:rsidR="00D03A8B" w:rsidRDefault="00D03A8B" w:rsidP="00D03A8B"/>
    <w:p w:rsidR="00D03A8B" w:rsidRDefault="00D03A8B" w:rsidP="00D03A8B"/>
    <w:p w:rsidR="00D03A8B" w:rsidRDefault="00D03A8B" w:rsidP="00D03A8B"/>
    <w:p w:rsidR="00D03A8B" w:rsidRDefault="00D03A8B" w:rsidP="00D03A8B"/>
    <w:p w:rsidR="00D03A8B" w:rsidRDefault="00D03A8B" w:rsidP="00D03A8B"/>
    <w:p w:rsidR="00D03A8B" w:rsidRDefault="00D03A8B" w:rsidP="00D03A8B"/>
    <w:p w:rsidR="00D03A8B" w:rsidRDefault="00D03A8B" w:rsidP="00D03A8B">
      <w:r>
        <w:t>DATED:  March 17, 2011</w:t>
      </w:r>
      <w:r>
        <w:tab/>
      </w:r>
      <w:r>
        <w:tab/>
      </w:r>
      <w:r>
        <w:tab/>
      </w:r>
      <w:r>
        <w:tab/>
      </w:r>
      <w:r>
        <w:rPr>
          <w:u w:val="single"/>
        </w:rPr>
        <w:tab/>
      </w:r>
      <w:r>
        <w:rPr>
          <w:u w:val="single"/>
        </w:rPr>
        <w:tab/>
      </w:r>
      <w:r>
        <w:rPr>
          <w:u w:val="single"/>
        </w:rPr>
        <w:tab/>
      </w:r>
      <w:r>
        <w:rPr>
          <w:u w:val="single"/>
        </w:rPr>
        <w:tab/>
      </w:r>
      <w:r>
        <w:rPr>
          <w:u w:val="single"/>
        </w:rPr>
        <w:tab/>
      </w:r>
      <w:r>
        <w:rPr>
          <w:u w:val="single"/>
        </w:rPr>
        <w:tab/>
      </w:r>
    </w:p>
    <w:p w:rsidR="008A68C7" w:rsidRDefault="008A68C7" w:rsidP="00D03A8B">
      <w:r>
        <w:tab/>
      </w:r>
      <w:r>
        <w:tab/>
      </w:r>
      <w:r>
        <w:tab/>
      </w:r>
      <w:r>
        <w:tab/>
      </w:r>
      <w:r>
        <w:tab/>
      </w:r>
      <w:r>
        <w:tab/>
      </w:r>
      <w:r>
        <w:tab/>
      </w:r>
      <w:r>
        <w:tab/>
      </w:r>
      <w:r>
        <w:tab/>
        <w:t>James H. Cawley</w:t>
      </w:r>
    </w:p>
    <w:p w:rsidR="008A68C7" w:rsidRPr="008A68C7" w:rsidRDefault="008A68C7" w:rsidP="00D03A8B">
      <w:r>
        <w:tab/>
      </w:r>
      <w:r>
        <w:tab/>
      </w:r>
      <w:r>
        <w:tab/>
      </w:r>
      <w:r>
        <w:tab/>
      </w:r>
      <w:r>
        <w:tab/>
      </w:r>
      <w:r>
        <w:tab/>
      </w:r>
      <w:r>
        <w:tab/>
      </w:r>
      <w:r>
        <w:tab/>
      </w:r>
      <w:r>
        <w:tab/>
        <w:t xml:space="preserve">   Commissioner</w:t>
      </w:r>
    </w:p>
    <w:sectPr w:rsidR="008A68C7" w:rsidRPr="008A68C7" w:rsidSect="001C1786">
      <w:footerReference w:type="default" r:id="rId8"/>
      <w:pgSz w:w="12240" w:h="15840"/>
      <w:pgMar w:top="1008"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172" w:rsidRDefault="00433172" w:rsidP="00635B87">
      <w:r>
        <w:separator/>
      </w:r>
    </w:p>
  </w:endnote>
  <w:endnote w:type="continuationSeparator" w:id="0">
    <w:p w:rsidR="00433172" w:rsidRDefault="00433172" w:rsidP="00635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68329"/>
      <w:docPartObj>
        <w:docPartGallery w:val="Page Numbers (Bottom of Page)"/>
        <w:docPartUnique/>
      </w:docPartObj>
    </w:sdtPr>
    <w:sdtEndPr>
      <w:rPr>
        <w:sz w:val="20"/>
        <w:szCs w:val="20"/>
      </w:rPr>
    </w:sdtEndPr>
    <w:sdtContent>
      <w:p w:rsidR="00637C97" w:rsidRPr="00635B87" w:rsidRDefault="00637C97">
        <w:pPr>
          <w:pStyle w:val="Footer"/>
          <w:jc w:val="center"/>
          <w:rPr>
            <w:sz w:val="16"/>
            <w:szCs w:val="16"/>
          </w:rPr>
        </w:pPr>
      </w:p>
      <w:p w:rsidR="00637C97" w:rsidRPr="00635B87" w:rsidRDefault="00645580">
        <w:pPr>
          <w:pStyle w:val="Footer"/>
          <w:jc w:val="center"/>
          <w:rPr>
            <w:sz w:val="20"/>
            <w:szCs w:val="20"/>
          </w:rPr>
        </w:pPr>
        <w:r w:rsidRPr="00635B87">
          <w:rPr>
            <w:sz w:val="22"/>
            <w:szCs w:val="22"/>
          </w:rPr>
          <w:fldChar w:fldCharType="begin"/>
        </w:r>
        <w:r w:rsidR="00637C97" w:rsidRPr="00635B87">
          <w:rPr>
            <w:sz w:val="22"/>
            <w:szCs w:val="22"/>
          </w:rPr>
          <w:instrText xml:space="preserve"> PAGE   \* MERGEFORMAT </w:instrText>
        </w:r>
        <w:r w:rsidRPr="00635B87">
          <w:rPr>
            <w:sz w:val="22"/>
            <w:szCs w:val="22"/>
          </w:rPr>
          <w:fldChar w:fldCharType="separate"/>
        </w:r>
        <w:r w:rsidR="00DF2A09">
          <w:rPr>
            <w:noProof/>
            <w:sz w:val="22"/>
            <w:szCs w:val="22"/>
          </w:rPr>
          <w:t>1</w:t>
        </w:r>
        <w:r w:rsidRPr="00635B87">
          <w:rPr>
            <w:sz w:val="22"/>
            <w:szCs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172" w:rsidRDefault="00433172" w:rsidP="00635B87">
      <w:r>
        <w:separator/>
      </w:r>
    </w:p>
  </w:footnote>
  <w:footnote w:type="continuationSeparator" w:id="0">
    <w:p w:rsidR="00433172" w:rsidRDefault="00433172" w:rsidP="00635B87">
      <w:r>
        <w:continuationSeparator/>
      </w:r>
    </w:p>
  </w:footnote>
  <w:footnote w:id="1">
    <w:p w:rsidR="00637C97" w:rsidRPr="003B7568" w:rsidRDefault="00637C97" w:rsidP="00432886">
      <w:pPr>
        <w:pStyle w:val="FootnoteText"/>
      </w:pPr>
      <w:r w:rsidRPr="00432886">
        <w:rPr>
          <w:rStyle w:val="FootnoteReference"/>
        </w:rPr>
        <w:footnoteRef/>
      </w:r>
      <w:r w:rsidRPr="00432886">
        <w:t xml:space="preserve"> </w:t>
      </w:r>
      <w:r w:rsidR="002F24C0">
        <w:tab/>
      </w:r>
      <w:proofErr w:type="gramStart"/>
      <w:r w:rsidRPr="00432886">
        <w:t>Initial Decision Granting Preliminary Objections, issued July 13, 2010, Finding of Fact No. 3, at 2.</w:t>
      </w:r>
      <w:proofErr w:type="gramEnd"/>
      <w:r w:rsidRPr="00432886">
        <w:t xml:space="preserve">  </w:t>
      </w:r>
      <w:r w:rsidRPr="00432886">
        <w:rPr>
          <w:i/>
        </w:rPr>
        <w:t xml:space="preserve">See also </w:t>
      </w:r>
      <w:r w:rsidRPr="00432886">
        <w:t>Answer and New Matter of Verizon Pennsylvania Inc</w:t>
      </w:r>
      <w:proofErr w:type="gramStart"/>
      <w:r w:rsidRPr="00432886">
        <w:t>.,</w:t>
      </w:r>
      <w:proofErr w:type="gramEnd"/>
      <w:r w:rsidRPr="00432886">
        <w:t xml:space="preserve"> filed May 25, 2010, ¶ 4 at 1-2.  Although Verizon PA “admits that its affiliate Verizon On-Line has provided DSL service to Complainant since November 2007,” it does not precisely explain which Verizon company responded to Complainant’s quality of service related inquiries and also dispatched technicians to Complainant’s premises.</w:t>
      </w:r>
      <w:r w:rsidR="003B7568">
        <w:t xml:space="preserve">  </w:t>
      </w:r>
      <w:r w:rsidR="003B7568">
        <w:rPr>
          <w:i/>
        </w:rPr>
        <w:t>Contrast</w:t>
      </w:r>
      <w:r w:rsidR="003B7568">
        <w:t xml:space="preserve"> </w:t>
      </w:r>
      <w:proofErr w:type="spellStart"/>
      <w:r w:rsidR="003B7568">
        <w:rPr>
          <w:i/>
        </w:rPr>
        <w:t>Babatunde</w:t>
      </w:r>
      <w:proofErr w:type="spellEnd"/>
      <w:r w:rsidR="003B7568">
        <w:rPr>
          <w:i/>
        </w:rPr>
        <w:t xml:space="preserve"> </w:t>
      </w:r>
      <w:proofErr w:type="spellStart"/>
      <w:r w:rsidR="003B7568">
        <w:rPr>
          <w:i/>
        </w:rPr>
        <w:t>Olubanjo</w:t>
      </w:r>
      <w:proofErr w:type="spellEnd"/>
      <w:r w:rsidR="003B7568">
        <w:rPr>
          <w:i/>
        </w:rPr>
        <w:t xml:space="preserve"> v. Verizon Pennsylvania Inc.</w:t>
      </w:r>
      <w:r w:rsidR="003B7568">
        <w:t xml:space="preserve">, Docket No. </w:t>
      </w:r>
      <w:proofErr w:type="gramStart"/>
      <w:r w:rsidR="0034260B">
        <w:t>C-2009-2123326.</w:t>
      </w:r>
      <w:proofErr w:type="gramEnd"/>
    </w:p>
  </w:footnote>
  <w:footnote w:id="2">
    <w:p w:rsidR="0034260B" w:rsidRPr="00D24390" w:rsidRDefault="0034260B" w:rsidP="0034260B">
      <w:pPr>
        <w:pStyle w:val="FootnoteText"/>
      </w:pPr>
      <w:r w:rsidRPr="00A172C1">
        <w:rPr>
          <w:rStyle w:val="FootnoteReference"/>
        </w:rPr>
        <w:footnoteRef/>
      </w:r>
      <w:r w:rsidRPr="00A172C1">
        <w:t xml:space="preserve"> </w:t>
      </w:r>
      <w:r w:rsidRPr="00A172C1">
        <w:tab/>
        <w:t xml:space="preserve">The Original Complaint specifically states: “My internet connection (DSL line) has been unreliable and slow for about 2 months.”  </w:t>
      </w:r>
      <w:proofErr w:type="gramStart"/>
      <w:r w:rsidRPr="00A172C1">
        <w:t>Original Complaint, Sec. 4.B at 6.</w:t>
      </w:r>
      <w:proofErr w:type="gramEnd"/>
      <w:r w:rsidR="00D24390">
        <w:t xml:space="preserve">  </w:t>
      </w:r>
      <w:r w:rsidR="00D24390">
        <w:rPr>
          <w:i/>
        </w:rPr>
        <w:t xml:space="preserve">See also </w:t>
      </w:r>
      <w:r w:rsidR="00D24390">
        <w:t>Complainant’s Exceptions, ¶ 2, filed on or about July 30, 2011 (use of Verizon bundled service package).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D0F53"/>
    <w:multiLevelType w:val="hybridMultilevel"/>
    <w:tmpl w:val="6A9EC990"/>
    <w:lvl w:ilvl="0" w:tplc="F67ED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47188D"/>
    <w:multiLevelType w:val="hybridMultilevel"/>
    <w:tmpl w:val="BA5A91C8"/>
    <w:lvl w:ilvl="0" w:tplc="034E0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71EAE"/>
    <w:rsid w:val="00005C5F"/>
    <w:rsid w:val="000A08E9"/>
    <w:rsid w:val="00127C48"/>
    <w:rsid w:val="00181043"/>
    <w:rsid w:val="001A20F4"/>
    <w:rsid w:val="001C1786"/>
    <w:rsid w:val="00232963"/>
    <w:rsid w:val="002F24C0"/>
    <w:rsid w:val="003406FA"/>
    <w:rsid w:val="0034260B"/>
    <w:rsid w:val="003B7568"/>
    <w:rsid w:val="003F5527"/>
    <w:rsid w:val="00432886"/>
    <w:rsid w:val="00433172"/>
    <w:rsid w:val="00487869"/>
    <w:rsid w:val="00496EE2"/>
    <w:rsid w:val="004E6146"/>
    <w:rsid w:val="00501259"/>
    <w:rsid w:val="0056297E"/>
    <w:rsid w:val="00581AEC"/>
    <w:rsid w:val="0061778B"/>
    <w:rsid w:val="00635B87"/>
    <w:rsid w:val="00637C97"/>
    <w:rsid w:val="00645580"/>
    <w:rsid w:val="006A011C"/>
    <w:rsid w:val="006C0894"/>
    <w:rsid w:val="006D02DD"/>
    <w:rsid w:val="007278E4"/>
    <w:rsid w:val="007522F6"/>
    <w:rsid w:val="007649AA"/>
    <w:rsid w:val="008A68C7"/>
    <w:rsid w:val="008C0AA2"/>
    <w:rsid w:val="009100B7"/>
    <w:rsid w:val="00966578"/>
    <w:rsid w:val="00A172C1"/>
    <w:rsid w:val="00A84805"/>
    <w:rsid w:val="00AA6638"/>
    <w:rsid w:val="00AD4C2F"/>
    <w:rsid w:val="00AF5C7A"/>
    <w:rsid w:val="00B10AC3"/>
    <w:rsid w:val="00BB07BA"/>
    <w:rsid w:val="00BB26CD"/>
    <w:rsid w:val="00C23F6B"/>
    <w:rsid w:val="00CC60A9"/>
    <w:rsid w:val="00D03A8B"/>
    <w:rsid w:val="00D24390"/>
    <w:rsid w:val="00D87CA8"/>
    <w:rsid w:val="00DF2A09"/>
    <w:rsid w:val="00E00A70"/>
    <w:rsid w:val="00E26A19"/>
    <w:rsid w:val="00E343FF"/>
    <w:rsid w:val="00E4067A"/>
    <w:rsid w:val="00E71EAE"/>
    <w:rsid w:val="00E93636"/>
    <w:rsid w:val="00F423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EAE"/>
    <w:pPr>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1EAE"/>
    <w:pPr>
      <w:spacing w:after="0"/>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35B87"/>
    <w:pPr>
      <w:tabs>
        <w:tab w:val="center" w:pos="4680"/>
        <w:tab w:val="right" w:pos="9360"/>
      </w:tabs>
    </w:pPr>
  </w:style>
  <w:style w:type="character" w:customStyle="1" w:styleId="HeaderChar">
    <w:name w:val="Header Char"/>
    <w:basedOn w:val="DefaultParagraphFont"/>
    <w:link w:val="Header"/>
    <w:uiPriority w:val="99"/>
    <w:rsid w:val="00635B87"/>
    <w:rPr>
      <w:rFonts w:eastAsia="Times New Roman" w:cs="Times New Roman"/>
      <w:szCs w:val="24"/>
    </w:rPr>
  </w:style>
  <w:style w:type="paragraph" w:styleId="Footer">
    <w:name w:val="footer"/>
    <w:basedOn w:val="Normal"/>
    <w:link w:val="FooterChar"/>
    <w:uiPriority w:val="99"/>
    <w:unhideWhenUsed/>
    <w:rsid w:val="00635B87"/>
    <w:pPr>
      <w:tabs>
        <w:tab w:val="center" w:pos="4680"/>
        <w:tab w:val="right" w:pos="9360"/>
      </w:tabs>
    </w:pPr>
  </w:style>
  <w:style w:type="character" w:customStyle="1" w:styleId="FooterChar">
    <w:name w:val="Footer Char"/>
    <w:basedOn w:val="DefaultParagraphFont"/>
    <w:link w:val="Footer"/>
    <w:uiPriority w:val="99"/>
    <w:rsid w:val="00635B87"/>
    <w:rPr>
      <w:rFonts w:eastAsia="Times New Roman" w:cs="Times New Roman"/>
      <w:szCs w:val="24"/>
    </w:rPr>
  </w:style>
  <w:style w:type="paragraph" w:styleId="FootnoteText">
    <w:name w:val="footnote text"/>
    <w:basedOn w:val="Normal"/>
    <w:link w:val="FootnoteTextChar"/>
    <w:semiHidden/>
    <w:unhideWhenUsed/>
    <w:rsid w:val="00432886"/>
    <w:rPr>
      <w:sz w:val="20"/>
      <w:szCs w:val="20"/>
    </w:rPr>
  </w:style>
  <w:style w:type="character" w:customStyle="1" w:styleId="FootnoteTextChar">
    <w:name w:val="Footnote Text Char"/>
    <w:basedOn w:val="DefaultParagraphFont"/>
    <w:link w:val="FootnoteText"/>
    <w:uiPriority w:val="99"/>
    <w:semiHidden/>
    <w:rsid w:val="00432886"/>
    <w:rPr>
      <w:rFonts w:eastAsia="Times New Roman" w:cs="Times New Roman"/>
      <w:sz w:val="20"/>
      <w:szCs w:val="20"/>
    </w:rPr>
  </w:style>
  <w:style w:type="character" w:styleId="FootnoteReference">
    <w:name w:val="footnote reference"/>
    <w:basedOn w:val="DefaultParagraphFont"/>
    <w:semiHidden/>
    <w:unhideWhenUsed/>
    <w:rsid w:val="00432886"/>
    <w:rPr>
      <w:vertAlign w:val="superscript"/>
    </w:rPr>
  </w:style>
  <w:style w:type="paragraph" w:styleId="ListParagraph">
    <w:name w:val="List Paragraph"/>
    <w:basedOn w:val="Normal"/>
    <w:uiPriority w:val="34"/>
    <w:qFormat/>
    <w:rsid w:val="00A172C1"/>
    <w:pPr>
      <w:ind w:left="720"/>
      <w:contextualSpacing/>
    </w:pPr>
  </w:style>
  <w:style w:type="paragraph" w:styleId="BalloonText">
    <w:name w:val="Balloon Text"/>
    <w:basedOn w:val="Normal"/>
    <w:link w:val="BalloonTextChar"/>
    <w:uiPriority w:val="99"/>
    <w:semiHidden/>
    <w:unhideWhenUsed/>
    <w:rsid w:val="008A68C7"/>
    <w:rPr>
      <w:rFonts w:ascii="Tahoma" w:hAnsi="Tahoma" w:cs="Tahoma"/>
      <w:sz w:val="16"/>
      <w:szCs w:val="16"/>
    </w:rPr>
  </w:style>
  <w:style w:type="character" w:customStyle="1" w:styleId="BalloonTextChar">
    <w:name w:val="Balloon Text Char"/>
    <w:basedOn w:val="DefaultParagraphFont"/>
    <w:link w:val="BalloonText"/>
    <w:uiPriority w:val="99"/>
    <w:semiHidden/>
    <w:rsid w:val="008A68C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873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1FC77-0B34-4F28-87DA-C8A4A5045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lpilalis</dc:creator>
  <cp:keywords/>
  <dc:description/>
  <cp:lastModifiedBy>mmuth</cp:lastModifiedBy>
  <cp:revision>2</cp:revision>
  <cp:lastPrinted>2011-03-16T21:12:00Z</cp:lastPrinted>
  <dcterms:created xsi:type="dcterms:W3CDTF">2011-03-17T15:28:00Z</dcterms:created>
  <dcterms:modified xsi:type="dcterms:W3CDTF">2011-03-17T15:28:00Z</dcterms:modified>
</cp:coreProperties>
</file>