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1D16DA">
        <w:rPr>
          <w:sz w:val="26"/>
          <w:szCs w:val="26"/>
        </w:rPr>
        <w:t>March 17</w:t>
      </w:r>
      <w:r w:rsidR="00BC321A">
        <w:rPr>
          <w:sz w:val="26"/>
          <w:szCs w:val="26"/>
        </w:rPr>
        <w:t>,</w:t>
      </w:r>
      <w:r w:rsidRPr="00B01CA9">
        <w:rPr>
          <w:kern w:val="1"/>
          <w:sz w:val="26"/>
          <w:szCs w:val="26"/>
        </w:rPr>
        <w:t xml:space="preserve"> 20</w:t>
      </w:r>
      <w:r w:rsidR="00BB25C7">
        <w:rPr>
          <w:kern w:val="1"/>
          <w:sz w:val="26"/>
          <w:szCs w:val="26"/>
        </w:rPr>
        <w:t>1</w:t>
      </w:r>
      <w:r w:rsidR="00D954F4">
        <w:rPr>
          <w:kern w:val="1"/>
          <w:sz w:val="26"/>
          <w:szCs w:val="26"/>
        </w:rPr>
        <w:t>1</w:t>
      </w:r>
    </w:p>
    <w:p w:rsidR="009304FE" w:rsidRDefault="009304FE" w:rsidP="009304FE">
      <w:pPr>
        <w:rPr>
          <w:sz w:val="26"/>
          <w:szCs w:val="26"/>
        </w:rPr>
      </w:pPr>
    </w:p>
    <w:p w:rsidR="00852CA4" w:rsidRPr="002A5D4B" w:rsidRDefault="00852CA4" w:rsidP="009304FE">
      <w:pPr>
        <w:rPr>
          <w:sz w:val="26"/>
          <w:szCs w:val="26"/>
        </w:rPr>
      </w:pPr>
    </w:p>
    <w:p w:rsidR="009304FE" w:rsidRDefault="009304FE" w:rsidP="009304FE">
      <w:pPr>
        <w:rPr>
          <w:sz w:val="26"/>
          <w:szCs w:val="26"/>
        </w:rPr>
      </w:pPr>
      <w:r w:rsidRPr="002A5D4B">
        <w:rPr>
          <w:sz w:val="26"/>
          <w:szCs w:val="26"/>
        </w:rPr>
        <w:t>Commissioners Present:</w:t>
      </w:r>
    </w:p>
    <w:p w:rsidR="00B21832" w:rsidRPr="002A5D4B" w:rsidRDefault="00B21832" w:rsidP="009304FE">
      <w:pPr>
        <w:rPr>
          <w:sz w:val="26"/>
          <w:szCs w:val="26"/>
        </w:rPr>
      </w:pPr>
    </w:p>
    <w:p w:rsidR="009304FE" w:rsidRDefault="009304FE" w:rsidP="009304FE">
      <w:pPr>
        <w:rPr>
          <w:sz w:val="26"/>
          <w:szCs w:val="26"/>
        </w:rPr>
      </w:pPr>
    </w:p>
    <w:p w:rsidR="009304FE" w:rsidRPr="002A5D4B" w:rsidRDefault="009304FE" w:rsidP="009304FE">
      <w:pPr>
        <w:rPr>
          <w:sz w:val="26"/>
          <w:szCs w:val="26"/>
        </w:rPr>
      </w:pPr>
      <w:r>
        <w:rPr>
          <w:sz w:val="26"/>
          <w:szCs w:val="26"/>
        </w:rPr>
        <w:tab/>
      </w:r>
      <w:r w:rsidR="001C35D3">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1C35D3">
        <w:rPr>
          <w:sz w:val="26"/>
          <w:szCs w:val="26"/>
        </w:rPr>
        <w:t>John F. Coleman, Jr.</w:t>
      </w:r>
      <w:r w:rsidRPr="002A5D4B">
        <w:rPr>
          <w:sz w:val="26"/>
          <w:szCs w:val="26"/>
        </w:rPr>
        <w:t>, Vice Chairman</w:t>
      </w:r>
    </w:p>
    <w:p w:rsidR="001C7F88" w:rsidRPr="002A5D4B" w:rsidRDefault="001C7F88" w:rsidP="009304FE">
      <w:pPr>
        <w:rPr>
          <w:sz w:val="26"/>
          <w:szCs w:val="26"/>
        </w:rPr>
      </w:pPr>
      <w:r>
        <w:rPr>
          <w:sz w:val="26"/>
          <w:szCs w:val="26"/>
        </w:rPr>
        <w:tab/>
      </w:r>
      <w:r w:rsidR="000D55EA">
        <w:rPr>
          <w:sz w:val="26"/>
          <w:szCs w:val="26"/>
        </w:rPr>
        <w:t>Tyrone J. Christy</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0D55EA">
        <w:rPr>
          <w:sz w:val="26"/>
          <w:szCs w:val="26"/>
        </w:rPr>
        <w:t>James H. Cawley</w:t>
      </w:r>
    </w:p>
    <w:p w:rsidR="009304FE" w:rsidRDefault="009304FE" w:rsidP="009304FE"/>
    <w:p w:rsidR="004E61BF" w:rsidRDefault="004E61BF" w:rsidP="009304FE">
      <w:pPr>
        <w:tabs>
          <w:tab w:val="left" w:pos="-720"/>
          <w:tab w:val="left" w:pos="0"/>
        </w:tabs>
        <w:suppressAutoHyphens/>
        <w:rPr>
          <w:sz w:val="26"/>
          <w:szCs w:val="26"/>
        </w:rPr>
      </w:pPr>
    </w:p>
    <w:p w:rsidR="00D954F4" w:rsidRDefault="00D954F4" w:rsidP="009304FE">
      <w:pPr>
        <w:tabs>
          <w:tab w:val="left" w:pos="-720"/>
          <w:tab w:val="left" w:pos="0"/>
        </w:tabs>
        <w:suppressAutoHyphens/>
        <w:rPr>
          <w:sz w:val="26"/>
          <w:szCs w:val="26"/>
        </w:rPr>
      </w:pPr>
      <w:r>
        <w:rPr>
          <w:sz w:val="26"/>
          <w:szCs w:val="26"/>
        </w:rPr>
        <w:t xml:space="preserve">Application of </w:t>
      </w:r>
      <w:r w:rsidR="0088683D">
        <w:rPr>
          <w:sz w:val="26"/>
          <w:szCs w:val="26"/>
        </w:rPr>
        <w:t>PPL Electric Utilities Corporation</w:t>
      </w:r>
      <w:r w:rsidR="00041B3F" w:rsidRPr="00041B3F">
        <w:rPr>
          <w:sz w:val="26"/>
          <w:szCs w:val="26"/>
        </w:rPr>
        <w:t xml:space="preserve"> </w:t>
      </w:r>
      <w:r w:rsidR="00041B3F">
        <w:rPr>
          <w:sz w:val="26"/>
          <w:szCs w:val="26"/>
        </w:rPr>
        <w:tab/>
      </w:r>
      <w:r w:rsidR="00041B3F">
        <w:rPr>
          <w:sz w:val="26"/>
          <w:szCs w:val="26"/>
        </w:rPr>
        <w:tab/>
        <w:t>A-2010-2152104</w:t>
      </w:r>
    </w:p>
    <w:p w:rsidR="00041B3F" w:rsidRDefault="00041B3F" w:rsidP="009304FE">
      <w:pPr>
        <w:tabs>
          <w:tab w:val="left" w:pos="-720"/>
          <w:tab w:val="left" w:pos="0"/>
        </w:tabs>
        <w:suppressAutoHyphens/>
        <w:rPr>
          <w:sz w:val="26"/>
          <w:szCs w:val="26"/>
        </w:rPr>
      </w:pPr>
      <w:r>
        <w:rPr>
          <w:sz w:val="26"/>
          <w:szCs w:val="26"/>
        </w:rPr>
        <w:t>Filed Pursuant to 52 Pa. Code Chapter 57, Subchapter G</w:t>
      </w:r>
    </w:p>
    <w:p w:rsidR="006665B9" w:rsidRDefault="006665B9" w:rsidP="009304FE">
      <w:pPr>
        <w:tabs>
          <w:tab w:val="left" w:pos="-720"/>
          <w:tab w:val="left" w:pos="0"/>
        </w:tabs>
        <w:suppressAutoHyphens/>
        <w:rPr>
          <w:sz w:val="26"/>
          <w:szCs w:val="26"/>
        </w:rPr>
      </w:pPr>
      <w:r>
        <w:rPr>
          <w:sz w:val="26"/>
          <w:szCs w:val="26"/>
        </w:rPr>
        <w:t>for Approval of the Siting and Construction of</w:t>
      </w:r>
    </w:p>
    <w:p w:rsidR="00DC2E86" w:rsidRDefault="008E5F6C" w:rsidP="009304FE">
      <w:pPr>
        <w:tabs>
          <w:tab w:val="left" w:pos="-720"/>
          <w:tab w:val="left" w:pos="0"/>
        </w:tabs>
        <w:suppressAutoHyphens/>
        <w:rPr>
          <w:sz w:val="26"/>
          <w:szCs w:val="26"/>
        </w:rPr>
      </w:pPr>
      <w:r>
        <w:rPr>
          <w:sz w:val="26"/>
          <w:szCs w:val="26"/>
        </w:rPr>
        <w:t>t</w:t>
      </w:r>
      <w:r w:rsidR="00DC2E86">
        <w:rPr>
          <w:sz w:val="26"/>
          <w:szCs w:val="26"/>
        </w:rPr>
        <w:t xml:space="preserve">he </w:t>
      </w:r>
      <w:r w:rsidR="006665B9">
        <w:rPr>
          <w:sz w:val="26"/>
          <w:szCs w:val="26"/>
        </w:rPr>
        <w:t>Effort Mountain No. 1 and No. 2 138 kV Taps</w:t>
      </w:r>
      <w:r w:rsidR="006665B9">
        <w:rPr>
          <w:sz w:val="26"/>
          <w:szCs w:val="26"/>
        </w:rPr>
        <w:tab/>
      </w:r>
    </w:p>
    <w:p w:rsidR="00C30956" w:rsidRDefault="006665B9" w:rsidP="009304FE">
      <w:pPr>
        <w:tabs>
          <w:tab w:val="left" w:pos="-720"/>
          <w:tab w:val="left" w:pos="0"/>
        </w:tabs>
        <w:suppressAutoHyphens/>
        <w:rPr>
          <w:sz w:val="26"/>
          <w:szCs w:val="26"/>
        </w:rPr>
      </w:pPr>
      <w:r>
        <w:rPr>
          <w:sz w:val="26"/>
          <w:szCs w:val="26"/>
        </w:rPr>
        <w:t>in Chestnuthill and Polk Townships</w:t>
      </w:r>
      <w:r w:rsidR="00051CEA">
        <w:rPr>
          <w:sz w:val="26"/>
          <w:szCs w:val="26"/>
        </w:rPr>
        <w:t xml:space="preserve">, </w:t>
      </w:r>
      <w:r>
        <w:rPr>
          <w:sz w:val="26"/>
          <w:szCs w:val="26"/>
        </w:rPr>
        <w:t xml:space="preserve">Monroe County, </w:t>
      </w:r>
    </w:p>
    <w:p w:rsidR="006665B9" w:rsidRDefault="006665B9" w:rsidP="009304FE">
      <w:pPr>
        <w:tabs>
          <w:tab w:val="left" w:pos="-720"/>
          <w:tab w:val="left" w:pos="0"/>
        </w:tabs>
        <w:suppressAutoHyphens/>
        <w:rPr>
          <w:sz w:val="26"/>
          <w:szCs w:val="26"/>
        </w:rPr>
      </w:pPr>
      <w:r>
        <w:rPr>
          <w:sz w:val="26"/>
          <w:szCs w:val="26"/>
        </w:rPr>
        <w:t>Pennsylvania</w:t>
      </w:r>
      <w:r w:rsidR="009304FE" w:rsidRPr="006C64C8">
        <w:rPr>
          <w:sz w:val="26"/>
          <w:szCs w:val="26"/>
        </w:rPr>
        <w:tab/>
      </w:r>
      <w:r w:rsidR="009304FE" w:rsidRPr="006C64C8">
        <w:rPr>
          <w:sz w:val="26"/>
          <w:szCs w:val="26"/>
        </w:rPr>
        <w:tab/>
      </w:r>
    </w:p>
    <w:p w:rsidR="006665B9" w:rsidRDefault="006665B9" w:rsidP="009304FE">
      <w:pPr>
        <w:tabs>
          <w:tab w:val="left" w:pos="-720"/>
          <w:tab w:val="left" w:pos="0"/>
        </w:tabs>
        <w:suppressAutoHyphens/>
        <w:rPr>
          <w:sz w:val="26"/>
          <w:szCs w:val="26"/>
        </w:rPr>
      </w:pPr>
    </w:p>
    <w:p w:rsidR="006665B9" w:rsidRDefault="006665B9" w:rsidP="009304FE">
      <w:pPr>
        <w:tabs>
          <w:tab w:val="left" w:pos="-720"/>
          <w:tab w:val="left" w:pos="0"/>
        </w:tabs>
        <w:suppressAutoHyphens/>
        <w:rPr>
          <w:sz w:val="26"/>
          <w:szCs w:val="26"/>
        </w:rPr>
      </w:pPr>
      <w:r>
        <w:rPr>
          <w:sz w:val="26"/>
          <w:szCs w:val="26"/>
        </w:rPr>
        <w:t>Petition of PPL Electric Utilities Corporation</w:t>
      </w:r>
      <w:r w:rsidR="00041B3F">
        <w:rPr>
          <w:sz w:val="26"/>
          <w:szCs w:val="26"/>
        </w:rPr>
        <w:tab/>
      </w:r>
      <w:r w:rsidR="00041B3F">
        <w:rPr>
          <w:sz w:val="26"/>
          <w:szCs w:val="26"/>
        </w:rPr>
        <w:tab/>
      </w:r>
      <w:r w:rsidR="00041B3F">
        <w:rPr>
          <w:sz w:val="26"/>
          <w:szCs w:val="26"/>
        </w:rPr>
        <w:tab/>
        <w:t>A-2010-2153061</w:t>
      </w:r>
    </w:p>
    <w:p w:rsidR="006665B9" w:rsidRDefault="00623094" w:rsidP="009304FE">
      <w:pPr>
        <w:tabs>
          <w:tab w:val="left" w:pos="-720"/>
          <w:tab w:val="left" w:pos="0"/>
        </w:tabs>
        <w:suppressAutoHyphens/>
        <w:rPr>
          <w:sz w:val="26"/>
          <w:szCs w:val="26"/>
        </w:rPr>
      </w:pPr>
      <w:r>
        <w:rPr>
          <w:sz w:val="26"/>
          <w:szCs w:val="26"/>
        </w:rPr>
        <w:t>f</w:t>
      </w:r>
      <w:r w:rsidR="006665B9">
        <w:rPr>
          <w:sz w:val="26"/>
          <w:szCs w:val="26"/>
        </w:rPr>
        <w:t>or a Finding that a Building to Shelter Control</w:t>
      </w:r>
    </w:p>
    <w:p w:rsidR="00623094" w:rsidRDefault="006665B9" w:rsidP="009304FE">
      <w:pPr>
        <w:tabs>
          <w:tab w:val="left" w:pos="-720"/>
          <w:tab w:val="left" w:pos="0"/>
        </w:tabs>
        <w:suppressAutoHyphens/>
        <w:rPr>
          <w:sz w:val="26"/>
          <w:szCs w:val="26"/>
        </w:rPr>
      </w:pPr>
      <w:r>
        <w:rPr>
          <w:sz w:val="26"/>
          <w:szCs w:val="26"/>
        </w:rPr>
        <w:t>Equipment at the Effort Mountain Substation</w:t>
      </w:r>
    </w:p>
    <w:p w:rsidR="009304FE" w:rsidRDefault="00623094" w:rsidP="009304FE">
      <w:pPr>
        <w:tabs>
          <w:tab w:val="left" w:pos="-720"/>
          <w:tab w:val="left" w:pos="0"/>
        </w:tabs>
        <w:suppressAutoHyphens/>
        <w:rPr>
          <w:sz w:val="26"/>
          <w:szCs w:val="26"/>
        </w:rPr>
      </w:pPr>
      <w:r>
        <w:rPr>
          <w:sz w:val="26"/>
          <w:szCs w:val="26"/>
        </w:rPr>
        <w:t>to be constructed in Chestnuthill Township,</w:t>
      </w:r>
    </w:p>
    <w:p w:rsidR="00C30956" w:rsidRDefault="00623094" w:rsidP="009304FE">
      <w:pPr>
        <w:tabs>
          <w:tab w:val="left" w:pos="-720"/>
          <w:tab w:val="left" w:pos="0"/>
        </w:tabs>
        <w:suppressAutoHyphens/>
        <w:rPr>
          <w:sz w:val="26"/>
          <w:szCs w:val="26"/>
        </w:rPr>
      </w:pPr>
      <w:r>
        <w:rPr>
          <w:sz w:val="26"/>
          <w:szCs w:val="26"/>
        </w:rPr>
        <w:t xml:space="preserve">Monroe County, Pennsylvania is </w:t>
      </w:r>
      <w:r w:rsidR="00041B3F">
        <w:rPr>
          <w:sz w:val="26"/>
          <w:szCs w:val="26"/>
        </w:rPr>
        <w:t xml:space="preserve">Reasonably </w:t>
      </w:r>
    </w:p>
    <w:p w:rsidR="00C30956" w:rsidRDefault="00623094" w:rsidP="009304FE">
      <w:pPr>
        <w:tabs>
          <w:tab w:val="left" w:pos="-720"/>
          <w:tab w:val="left" w:pos="0"/>
        </w:tabs>
        <w:suppressAutoHyphens/>
        <w:rPr>
          <w:sz w:val="26"/>
          <w:szCs w:val="26"/>
        </w:rPr>
      </w:pPr>
      <w:r>
        <w:rPr>
          <w:sz w:val="26"/>
          <w:szCs w:val="26"/>
        </w:rPr>
        <w:t>Necessary</w:t>
      </w:r>
      <w:r w:rsidR="00C30956">
        <w:rPr>
          <w:sz w:val="26"/>
          <w:szCs w:val="26"/>
        </w:rPr>
        <w:t xml:space="preserve"> </w:t>
      </w:r>
      <w:r>
        <w:rPr>
          <w:sz w:val="26"/>
          <w:szCs w:val="26"/>
        </w:rPr>
        <w:t xml:space="preserve">for the Convenience or Welfare of the </w:t>
      </w:r>
    </w:p>
    <w:p w:rsidR="00623094" w:rsidRDefault="00623094" w:rsidP="009304FE">
      <w:pPr>
        <w:tabs>
          <w:tab w:val="left" w:pos="-720"/>
          <w:tab w:val="left" w:pos="0"/>
        </w:tabs>
        <w:suppressAutoHyphens/>
        <w:rPr>
          <w:sz w:val="26"/>
          <w:szCs w:val="26"/>
        </w:rPr>
      </w:pPr>
      <w:r>
        <w:rPr>
          <w:sz w:val="26"/>
          <w:szCs w:val="26"/>
        </w:rPr>
        <w:t>Public</w:t>
      </w:r>
    </w:p>
    <w:p w:rsidR="00B94525" w:rsidRDefault="00B94525" w:rsidP="009304FE">
      <w:pPr>
        <w:tabs>
          <w:tab w:val="left" w:pos="-720"/>
          <w:tab w:val="left" w:pos="0"/>
        </w:tabs>
        <w:suppressAutoHyphens/>
        <w:rPr>
          <w:sz w:val="26"/>
          <w:szCs w:val="26"/>
        </w:rPr>
      </w:pPr>
    </w:p>
    <w:p w:rsidR="00B94525" w:rsidRDefault="00B94525" w:rsidP="00CD26DF">
      <w:pPr>
        <w:keepNext/>
        <w:keepLines/>
        <w:tabs>
          <w:tab w:val="left" w:pos="-720"/>
          <w:tab w:val="left" w:pos="0"/>
        </w:tabs>
        <w:suppressAutoHyphens/>
        <w:rPr>
          <w:sz w:val="26"/>
          <w:szCs w:val="26"/>
        </w:rPr>
      </w:pPr>
      <w:r>
        <w:rPr>
          <w:sz w:val="26"/>
          <w:szCs w:val="26"/>
        </w:rPr>
        <w:lastRenderedPageBreak/>
        <w:t>Application of PPL Electric Utilities Corporation</w:t>
      </w:r>
      <w:r w:rsidR="00041B3F" w:rsidRPr="00041B3F">
        <w:rPr>
          <w:sz w:val="26"/>
          <w:szCs w:val="26"/>
        </w:rPr>
        <w:t xml:space="preserve"> </w:t>
      </w:r>
      <w:r w:rsidR="00041B3F">
        <w:rPr>
          <w:sz w:val="26"/>
          <w:szCs w:val="26"/>
        </w:rPr>
        <w:tab/>
      </w:r>
      <w:r w:rsidR="00041B3F">
        <w:rPr>
          <w:sz w:val="26"/>
          <w:szCs w:val="26"/>
        </w:rPr>
        <w:tab/>
        <w:t>A-2010-2163154</w:t>
      </w:r>
    </w:p>
    <w:p w:rsidR="00041B3F" w:rsidRDefault="00041B3F" w:rsidP="00CD26DF">
      <w:pPr>
        <w:keepNext/>
        <w:keepLines/>
        <w:tabs>
          <w:tab w:val="left" w:pos="-720"/>
          <w:tab w:val="left" w:pos="0"/>
        </w:tabs>
        <w:suppressAutoHyphens/>
        <w:rPr>
          <w:sz w:val="26"/>
          <w:szCs w:val="26"/>
        </w:rPr>
      </w:pPr>
      <w:r>
        <w:rPr>
          <w:sz w:val="26"/>
          <w:szCs w:val="26"/>
        </w:rPr>
        <w:t>Under 15 Pa.C.S. §1511(c) for a Finding and</w:t>
      </w:r>
    </w:p>
    <w:p w:rsidR="00B94525" w:rsidRDefault="00F62E63" w:rsidP="00CD26DF">
      <w:pPr>
        <w:keepNext/>
        <w:keepLines/>
        <w:tabs>
          <w:tab w:val="left" w:pos="-720"/>
          <w:tab w:val="left" w:pos="0"/>
        </w:tabs>
        <w:suppressAutoHyphens/>
        <w:rPr>
          <w:sz w:val="26"/>
          <w:szCs w:val="26"/>
        </w:rPr>
      </w:pPr>
      <w:r>
        <w:rPr>
          <w:sz w:val="26"/>
          <w:szCs w:val="26"/>
        </w:rPr>
        <w:t xml:space="preserve">Determination </w:t>
      </w:r>
      <w:r w:rsidR="00B94525">
        <w:rPr>
          <w:sz w:val="26"/>
          <w:szCs w:val="26"/>
        </w:rPr>
        <w:t>that the Service to be Furnished</w:t>
      </w:r>
    </w:p>
    <w:p w:rsidR="00C30956" w:rsidRDefault="00F62E63" w:rsidP="00CD26DF">
      <w:pPr>
        <w:keepNext/>
        <w:keepLines/>
        <w:tabs>
          <w:tab w:val="left" w:pos="-720"/>
          <w:tab w:val="left" w:pos="0"/>
        </w:tabs>
        <w:suppressAutoHyphens/>
        <w:rPr>
          <w:sz w:val="26"/>
          <w:szCs w:val="26"/>
        </w:rPr>
      </w:pPr>
      <w:r>
        <w:rPr>
          <w:sz w:val="26"/>
          <w:szCs w:val="26"/>
        </w:rPr>
        <w:t>By the Application through its</w:t>
      </w:r>
      <w:r w:rsidR="00C30956">
        <w:rPr>
          <w:sz w:val="26"/>
          <w:szCs w:val="26"/>
        </w:rPr>
        <w:t xml:space="preserve"> Proposed Exercise</w:t>
      </w:r>
    </w:p>
    <w:p w:rsidR="00C30956" w:rsidRDefault="00B94525" w:rsidP="00CD26DF">
      <w:pPr>
        <w:keepNext/>
        <w:keepLines/>
        <w:tabs>
          <w:tab w:val="left" w:pos="-720"/>
          <w:tab w:val="left" w:pos="0"/>
        </w:tabs>
        <w:suppressAutoHyphens/>
        <w:rPr>
          <w:sz w:val="26"/>
          <w:szCs w:val="26"/>
        </w:rPr>
      </w:pPr>
      <w:r>
        <w:rPr>
          <w:sz w:val="26"/>
          <w:szCs w:val="26"/>
        </w:rPr>
        <w:t xml:space="preserve">of </w:t>
      </w:r>
      <w:r w:rsidR="00F62E63">
        <w:rPr>
          <w:sz w:val="26"/>
          <w:szCs w:val="26"/>
        </w:rPr>
        <w:t xml:space="preserve">The Power of </w:t>
      </w:r>
      <w:r>
        <w:rPr>
          <w:sz w:val="26"/>
          <w:szCs w:val="26"/>
        </w:rPr>
        <w:t>Eminent Domain</w:t>
      </w:r>
      <w:r w:rsidR="00F62E63">
        <w:rPr>
          <w:sz w:val="26"/>
          <w:szCs w:val="26"/>
        </w:rPr>
        <w:t xml:space="preserve"> </w:t>
      </w:r>
      <w:r w:rsidR="00051CEA">
        <w:rPr>
          <w:sz w:val="26"/>
          <w:szCs w:val="26"/>
        </w:rPr>
        <w:t xml:space="preserve">to Acquire a </w:t>
      </w:r>
    </w:p>
    <w:p w:rsidR="00C30956" w:rsidRDefault="00051CEA" w:rsidP="00CD26DF">
      <w:pPr>
        <w:keepNext/>
        <w:keepLines/>
        <w:tabs>
          <w:tab w:val="left" w:pos="-720"/>
          <w:tab w:val="left" w:pos="0"/>
        </w:tabs>
        <w:suppressAutoHyphens/>
        <w:rPr>
          <w:sz w:val="26"/>
          <w:szCs w:val="26"/>
        </w:rPr>
      </w:pPr>
      <w:r>
        <w:rPr>
          <w:sz w:val="26"/>
          <w:szCs w:val="26"/>
        </w:rPr>
        <w:t>Right-of-Way</w:t>
      </w:r>
      <w:r w:rsidR="00C30956">
        <w:rPr>
          <w:sz w:val="26"/>
          <w:szCs w:val="26"/>
        </w:rPr>
        <w:t xml:space="preserve"> </w:t>
      </w:r>
      <w:r>
        <w:rPr>
          <w:sz w:val="26"/>
          <w:szCs w:val="26"/>
        </w:rPr>
        <w:t>and Easement over and</w:t>
      </w:r>
      <w:r w:rsidR="00F62E63">
        <w:rPr>
          <w:sz w:val="26"/>
          <w:szCs w:val="26"/>
        </w:rPr>
        <w:t xml:space="preserve"> across the </w:t>
      </w:r>
    </w:p>
    <w:p w:rsidR="00C30956" w:rsidRDefault="00F62E63" w:rsidP="00CD26DF">
      <w:pPr>
        <w:keepNext/>
        <w:keepLines/>
        <w:tabs>
          <w:tab w:val="left" w:pos="-720"/>
          <w:tab w:val="left" w:pos="0"/>
        </w:tabs>
        <w:suppressAutoHyphens/>
        <w:rPr>
          <w:sz w:val="26"/>
          <w:szCs w:val="26"/>
        </w:rPr>
      </w:pPr>
      <w:r>
        <w:rPr>
          <w:sz w:val="26"/>
          <w:szCs w:val="26"/>
        </w:rPr>
        <w:t>Lands of La</w:t>
      </w:r>
      <w:r w:rsidR="004670BD">
        <w:rPr>
          <w:sz w:val="26"/>
          <w:szCs w:val="26"/>
        </w:rPr>
        <w:t>R</w:t>
      </w:r>
      <w:r>
        <w:rPr>
          <w:sz w:val="26"/>
          <w:szCs w:val="26"/>
        </w:rPr>
        <w:t>ue High</w:t>
      </w:r>
      <w:r w:rsidR="00C30956">
        <w:rPr>
          <w:sz w:val="26"/>
          <w:szCs w:val="26"/>
        </w:rPr>
        <w:t xml:space="preserve"> </w:t>
      </w:r>
      <w:r w:rsidR="00051CEA">
        <w:rPr>
          <w:sz w:val="26"/>
          <w:szCs w:val="26"/>
        </w:rPr>
        <w:t>for the Proposed</w:t>
      </w:r>
      <w:r>
        <w:rPr>
          <w:sz w:val="26"/>
          <w:szCs w:val="26"/>
        </w:rPr>
        <w:t xml:space="preserve"> </w:t>
      </w:r>
      <w:r w:rsidR="00051CEA">
        <w:rPr>
          <w:sz w:val="26"/>
          <w:szCs w:val="26"/>
        </w:rPr>
        <w:t xml:space="preserve">Effort </w:t>
      </w:r>
      <w:r w:rsidR="00C30956">
        <w:rPr>
          <w:sz w:val="26"/>
          <w:szCs w:val="26"/>
        </w:rPr>
        <w:t>Mountain</w:t>
      </w:r>
    </w:p>
    <w:p w:rsidR="00C30956" w:rsidRDefault="00F62E63" w:rsidP="00CD26DF">
      <w:pPr>
        <w:keepNext/>
        <w:keepLines/>
        <w:tabs>
          <w:tab w:val="left" w:pos="-720"/>
          <w:tab w:val="left" w:pos="0"/>
        </w:tabs>
        <w:suppressAutoHyphens/>
        <w:rPr>
          <w:sz w:val="26"/>
          <w:szCs w:val="26"/>
        </w:rPr>
      </w:pPr>
      <w:r>
        <w:rPr>
          <w:sz w:val="26"/>
          <w:szCs w:val="26"/>
        </w:rPr>
        <w:t>No. 1 and No. 2 138 kV</w:t>
      </w:r>
      <w:r w:rsidR="00C30956">
        <w:rPr>
          <w:sz w:val="26"/>
          <w:szCs w:val="26"/>
        </w:rPr>
        <w:t xml:space="preserve"> </w:t>
      </w:r>
      <w:r w:rsidR="00051CEA">
        <w:rPr>
          <w:sz w:val="26"/>
          <w:szCs w:val="26"/>
        </w:rPr>
        <w:t>Taps in</w:t>
      </w:r>
      <w:r>
        <w:rPr>
          <w:sz w:val="26"/>
          <w:szCs w:val="26"/>
        </w:rPr>
        <w:t xml:space="preserve"> </w:t>
      </w:r>
      <w:r w:rsidR="00051CEA">
        <w:rPr>
          <w:sz w:val="26"/>
          <w:szCs w:val="26"/>
        </w:rPr>
        <w:t>Chestnuthill</w:t>
      </w:r>
      <w:r w:rsidR="00C30956">
        <w:rPr>
          <w:sz w:val="26"/>
          <w:szCs w:val="26"/>
        </w:rPr>
        <w:t xml:space="preserve"> and Polk</w:t>
      </w:r>
    </w:p>
    <w:p w:rsidR="00C30956" w:rsidRDefault="00051CEA" w:rsidP="00CD26DF">
      <w:pPr>
        <w:keepNext/>
        <w:keepLines/>
        <w:tabs>
          <w:tab w:val="left" w:pos="-720"/>
          <w:tab w:val="left" w:pos="0"/>
        </w:tabs>
        <w:suppressAutoHyphens/>
        <w:rPr>
          <w:sz w:val="26"/>
          <w:szCs w:val="26"/>
        </w:rPr>
      </w:pPr>
      <w:r>
        <w:rPr>
          <w:sz w:val="26"/>
          <w:szCs w:val="26"/>
        </w:rPr>
        <w:t>Townships, Monroe County, Pennsylvania is Neces</w:t>
      </w:r>
      <w:r w:rsidR="00F62E63">
        <w:rPr>
          <w:sz w:val="26"/>
          <w:szCs w:val="26"/>
        </w:rPr>
        <w:t>s</w:t>
      </w:r>
      <w:r>
        <w:rPr>
          <w:sz w:val="26"/>
          <w:szCs w:val="26"/>
        </w:rPr>
        <w:t>ary</w:t>
      </w:r>
    </w:p>
    <w:p w:rsidR="00C30956" w:rsidRDefault="00051CEA" w:rsidP="00CD26DF">
      <w:pPr>
        <w:keepNext/>
        <w:keepLines/>
        <w:tabs>
          <w:tab w:val="left" w:pos="-720"/>
          <w:tab w:val="left" w:pos="0"/>
        </w:tabs>
        <w:suppressAutoHyphens/>
        <w:rPr>
          <w:sz w:val="26"/>
          <w:szCs w:val="26"/>
        </w:rPr>
      </w:pPr>
      <w:r>
        <w:rPr>
          <w:sz w:val="26"/>
          <w:szCs w:val="26"/>
        </w:rPr>
        <w:t>or Proper for the Service,</w:t>
      </w:r>
      <w:r w:rsidR="00C30956">
        <w:rPr>
          <w:sz w:val="26"/>
          <w:szCs w:val="26"/>
        </w:rPr>
        <w:t xml:space="preserve"> Accommodation, Convenience</w:t>
      </w:r>
    </w:p>
    <w:p w:rsidR="00051CEA" w:rsidRDefault="00051CEA" w:rsidP="00CD26DF">
      <w:pPr>
        <w:keepNext/>
        <w:keepLines/>
        <w:tabs>
          <w:tab w:val="left" w:pos="-720"/>
          <w:tab w:val="left" w:pos="0"/>
        </w:tabs>
        <w:suppressAutoHyphens/>
        <w:rPr>
          <w:sz w:val="26"/>
          <w:szCs w:val="26"/>
        </w:rPr>
      </w:pPr>
      <w:r>
        <w:rPr>
          <w:sz w:val="26"/>
          <w:szCs w:val="26"/>
        </w:rPr>
        <w:t>or Safety of the Public</w:t>
      </w:r>
    </w:p>
    <w:p w:rsidR="00051CEA" w:rsidRDefault="00051CEA" w:rsidP="00CD26DF">
      <w:pPr>
        <w:keepNext/>
        <w:keepLines/>
        <w:tabs>
          <w:tab w:val="left" w:pos="-720"/>
          <w:tab w:val="left" w:pos="0"/>
        </w:tabs>
        <w:suppressAutoHyphens/>
        <w:rPr>
          <w:sz w:val="26"/>
          <w:szCs w:val="26"/>
        </w:rPr>
      </w:pPr>
    </w:p>
    <w:p w:rsidR="00051CEA" w:rsidRDefault="00051CEA" w:rsidP="00CD26DF">
      <w:pPr>
        <w:keepNext/>
        <w:keepLines/>
        <w:tabs>
          <w:tab w:val="left" w:pos="-720"/>
          <w:tab w:val="left" w:pos="0"/>
        </w:tabs>
        <w:suppressAutoHyphens/>
        <w:rPr>
          <w:sz w:val="26"/>
          <w:szCs w:val="26"/>
        </w:rPr>
      </w:pPr>
      <w:r>
        <w:rPr>
          <w:sz w:val="26"/>
          <w:szCs w:val="26"/>
        </w:rPr>
        <w:t>Albert Barney</w:t>
      </w:r>
    </w:p>
    <w:p w:rsidR="00F62E63" w:rsidRDefault="00F62E63" w:rsidP="00CD26DF">
      <w:pPr>
        <w:keepNext/>
        <w:keepLines/>
        <w:tabs>
          <w:tab w:val="left" w:pos="-720"/>
          <w:tab w:val="left" w:pos="0"/>
        </w:tabs>
        <w:suppressAutoHyphens/>
        <w:rPr>
          <w:sz w:val="26"/>
          <w:szCs w:val="26"/>
        </w:rPr>
      </w:pPr>
    </w:p>
    <w:p w:rsidR="00051CEA" w:rsidRDefault="00051CEA" w:rsidP="00CD26DF">
      <w:pPr>
        <w:keepNext/>
        <w:keepLines/>
        <w:tabs>
          <w:tab w:val="left" w:pos="-720"/>
          <w:tab w:val="left" w:pos="0"/>
        </w:tabs>
        <w:suppressAutoHyphens/>
        <w:rPr>
          <w:sz w:val="26"/>
          <w:szCs w:val="26"/>
        </w:rPr>
      </w:pPr>
      <w:r>
        <w:rPr>
          <w:sz w:val="26"/>
          <w:szCs w:val="26"/>
        </w:rPr>
        <w:t xml:space="preserve">  </w:t>
      </w:r>
      <w:r>
        <w:rPr>
          <w:sz w:val="26"/>
          <w:szCs w:val="26"/>
        </w:rPr>
        <w:tab/>
        <w:t>v.</w:t>
      </w:r>
      <w:r w:rsidR="00CD26DF">
        <w:rPr>
          <w:sz w:val="26"/>
          <w:szCs w:val="26"/>
        </w:rPr>
        <w:tab/>
      </w:r>
      <w:r w:rsidR="00CD26DF">
        <w:rPr>
          <w:sz w:val="26"/>
          <w:szCs w:val="26"/>
        </w:rPr>
        <w:tab/>
      </w:r>
      <w:r w:rsidR="00CD26DF">
        <w:rPr>
          <w:sz w:val="26"/>
          <w:szCs w:val="26"/>
        </w:rPr>
        <w:tab/>
      </w:r>
      <w:r w:rsidR="00CD26DF">
        <w:rPr>
          <w:sz w:val="26"/>
          <w:szCs w:val="26"/>
        </w:rPr>
        <w:tab/>
      </w:r>
      <w:r w:rsidR="00CD26DF">
        <w:rPr>
          <w:sz w:val="26"/>
          <w:szCs w:val="26"/>
        </w:rPr>
        <w:tab/>
      </w:r>
      <w:r w:rsidR="00CD26DF">
        <w:rPr>
          <w:sz w:val="26"/>
          <w:szCs w:val="26"/>
        </w:rPr>
        <w:tab/>
      </w:r>
      <w:r w:rsidR="00CD26DF">
        <w:rPr>
          <w:sz w:val="26"/>
          <w:szCs w:val="26"/>
        </w:rPr>
        <w:tab/>
      </w:r>
      <w:r w:rsidR="00F62E63">
        <w:rPr>
          <w:sz w:val="26"/>
          <w:szCs w:val="26"/>
        </w:rPr>
        <w:tab/>
      </w:r>
      <w:r w:rsidR="00CD26DF">
        <w:rPr>
          <w:sz w:val="26"/>
          <w:szCs w:val="26"/>
        </w:rPr>
        <w:t>C-2009-2107073</w:t>
      </w:r>
    </w:p>
    <w:p w:rsidR="00F62E63" w:rsidRDefault="00F62E63" w:rsidP="00CD26DF">
      <w:pPr>
        <w:keepNext/>
        <w:keepLines/>
        <w:tabs>
          <w:tab w:val="left" w:pos="-720"/>
          <w:tab w:val="left" w:pos="0"/>
        </w:tabs>
        <w:suppressAutoHyphens/>
        <w:rPr>
          <w:sz w:val="26"/>
          <w:szCs w:val="26"/>
        </w:rPr>
      </w:pPr>
    </w:p>
    <w:p w:rsidR="00051CEA" w:rsidRPr="006C64C8" w:rsidRDefault="00051CEA" w:rsidP="00CD26DF">
      <w:pPr>
        <w:keepNext/>
        <w:keepLines/>
        <w:tabs>
          <w:tab w:val="left" w:pos="-720"/>
          <w:tab w:val="left" w:pos="0"/>
        </w:tabs>
        <w:suppressAutoHyphens/>
        <w:rPr>
          <w:sz w:val="26"/>
          <w:szCs w:val="26"/>
        </w:rPr>
      </w:pPr>
      <w:r>
        <w:rPr>
          <w:sz w:val="26"/>
          <w:szCs w:val="26"/>
        </w:rPr>
        <w:t>PPL Electric Utilities Corporation</w:t>
      </w:r>
    </w:p>
    <w:p w:rsidR="009304FE" w:rsidRDefault="009304FE" w:rsidP="00CD26DF">
      <w:pPr>
        <w:keepNext/>
        <w:keepLines/>
        <w:tabs>
          <w:tab w:val="left" w:pos="-720"/>
        </w:tabs>
        <w:suppressAutoHyphens/>
        <w:rPr>
          <w:sz w:val="26"/>
        </w:rPr>
      </w:pPr>
    </w:p>
    <w:p w:rsidR="00852CA4" w:rsidRPr="00624B80" w:rsidRDefault="00852CA4" w:rsidP="00CD26DF">
      <w:pPr>
        <w:keepNext/>
        <w:keepLines/>
        <w:tabs>
          <w:tab w:val="left" w:pos="-720"/>
        </w:tabs>
        <w:suppressAutoHyphens/>
        <w:rPr>
          <w:sz w:val="26"/>
        </w:rPr>
      </w:pPr>
    </w:p>
    <w:p w:rsidR="009304FE" w:rsidRDefault="009304FE" w:rsidP="00CD26DF">
      <w:pPr>
        <w:keepNext/>
        <w:keepLines/>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CD26DF">
      <w:pPr>
        <w:keepNext/>
        <w:keepLines/>
        <w:tabs>
          <w:tab w:val="left" w:pos="-720"/>
        </w:tabs>
        <w:suppressAutoHyphens/>
        <w:spacing w:line="360" w:lineRule="auto"/>
        <w:rPr>
          <w:b/>
          <w:sz w:val="26"/>
        </w:rPr>
      </w:pPr>
    </w:p>
    <w:p w:rsidR="009304FE" w:rsidRPr="00624B80" w:rsidRDefault="009304FE" w:rsidP="00CD26DF">
      <w:pPr>
        <w:keepNext/>
        <w:keepLines/>
        <w:tabs>
          <w:tab w:val="left" w:pos="-720"/>
        </w:tabs>
        <w:suppressAutoHyphens/>
        <w:spacing w:line="360" w:lineRule="auto"/>
        <w:rPr>
          <w:sz w:val="26"/>
        </w:rPr>
      </w:pPr>
      <w:r w:rsidRPr="00624B80">
        <w:rPr>
          <w:b/>
          <w:sz w:val="26"/>
        </w:rPr>
        <w:t>BY THE COMMISSION:</w:t>
      </w:r>
    </w:p>
    <w:p w:rsidR="009304FE" w:rsidRPr="00585188" w:rsidRDefault="009304FE" w:rsidP="00BB4F94">
      <w:pPr>
        <w:rPr>
          <w:sz w:val="26"/>
          <w:szCs w:val="26"/>
        </w:rPr>
      </w:pPr>
    </w:p>
    <w:p w:rsidR="00852CA4" w:rsidRDefault="00AE655A" w:rsidP="00BB4F94">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62742E">
        <w:rPr>
          <w:sz w:val="26"/>
          <w:szCs w:val="26"/>
        </w:rPr>
        <w:t xml:space="preserve">PUC or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 xml:space="preserve">are the </w:t>
      </w:r>
      <w:r w:rsidR="00E718F9">
        <w:rPr>
          <w:sz w:val="26"/>
          <w:szCs w:val="26"/>
        </w:rPr>
        <w:t xml:space="preserve">Recommended Decision (R.D.) of Administrative Law Judge (ALJ) </w:t>
      </w:r>
      <w:r w:rsidR="000D55EA">
        <w:rPr>
          <w:sz w:val="26"/>
          <w:szCs w:val="26"/>
        </w:rPr>
        <w:t>Wayne L. Weismandel</w:t>
      </w:r>
      <w:r w:rsidR="001C0F64">
        <w:rPr>
          <w:sz w:val="26"/>
          <w:szCs w:val="26"/>
        </w:rPr>
        <w:t>;</w:t>
      </w:r>
      <w:r w:rsidR="00E718F9">
        <w:rPr>
          <w:sz w:val="26"/>
          <w:szCs w:val="26"/>
        </w:rPr>
        <w:t xml:space="preserve"> the Exceptions of </w:t>
      </w:r>
      <w:r w:rsidR="001C0F64">
        <w:rPr>
          <w:sz w:val="26"/>
          <w:szCs w:val="26"/>
        </w:rPr>
        <w:t>Suzanne A. Hart (</w:t>
      </w:r>
      <w:r w:rsidR="001233E3">
        <w:rPr>
          <w:sz w:val="26"/>
          <w:szCs w:val="26"/>
        </w:rPr>
        <w:t xml:space="preserve">Suzanne </w:t>
      </w:r>
      <w:r w:rsidR="001C0F64">
        <w:rPr>
          <w:sz w:val="26"/>
          <w:szCs w:val="26"/>
        </w:rPr>
        <w:t xml:space="preserve">Hart); the Exceptions </w:t>
      </w:r>
      <w:r w:rsidR="00FD45F1">
        <w:rPr>
          <w:sz w:val="26"/>
          <w:szCs w:val="26"/>
        </w:rPr>
        <w:t>of LaRue</w:t>
      </w:r>
      <w:r w:rsidR="001C0F64">
        <w:rPr>
          <w:sz w:val="26"/>
          <w:szCs w:val="26"/>
        </w:rPr>
        <w:t xml:space="preserve"> W. High (</w:t>
      </w:r>
      <w:r w:rsidR="001233E3">
        <w:rPr>
          <w:sz w:val="26"/>
          <w:szCs w:val="26"/>
        </w:rPr>
        <w:t xml:space="preserve">LaRue </w:t>
      </w:r>
      <w:r w:rsidR="001C0F64">
        <w:rPr>
          <w:sz w:val="26"/>
          <w:szCs w:val="26"/>
        </w:rPr>
        <w:t>High); the Exceptions of Kurt Scheller (</w:t>
      </w:r>
      <w:r w:rsidR="001233E3">
        <w:rPr>
          <w:sz w:val="26"/>
          <w:szCs w:val="26"/>
        </w:rPr>
        <w:t xml:space="preserve">Kurt </w:t>
      </w:r>
      <w:r w:rsidR="001C0F64">
        <w:rPr>
          <w:sz w:val="26"/>
          <w:szCs w:val="26"/>
        </w:rPr>
        <w:t xml:space="preserve">Scheller); </w:t>
      </w:r>
      <w:r w:rsidR="00E718F9">
        <w:rPr>
          <w:sz w:val="26"/>
          <w:szCs w:val="26"/>
        </w:rPr>
        <w:t>and</w:t>
      </w:r>
      <w:r w:rsidR="001C0F64">
        <w:rPr>
          <w:sz w:val="26"/>
          <w:szCs w:val="26"/>
        </w:rPr>
        <w:t xml:space="preserve">, the Reply Exceptions of PPL Electric Utilities Corporation </w:t>
      </w:r>
      <w:r w:rsidR="00D05DE9">
        <w:rPr>
          <w:sz w:val="26"/>
          <w:szCs w:val="26"/>
        </w:rPr>
        <w:t>(</w:t>
      </w:r>
      <w:r w:rsidR="001C0F64">
        <w:rPr>
          <w:sz w:val="26"/>
          <w:szCs w:val="26"/>
        </w:rPr>
        <w:t>PPL</w:t>
      </w:r>
      <w:r w:rsidR="00D05DE9">
        <w:rPr>
          <w:sz w:val="26"/>
          <w:szCs w:val="26"/>
        </w:rPr>
        <w:t xml:space="preserve"> or Company)</w:t>
      </w:r>
      <w:r w:rsidR="00E718F9">
        <w:rPr>
          <w:sz w:val="26"/>
          <w:szCs w:val="26"/>
        </w:rPr>
        <w:t>.</w:t>
      </w:r>
    </w:p>
    <w:p w:rsidR="00852CA4" w:rsidRDefault="00852CA4" w:rsidP="00BB4F94">
      <w:pPr>
        <w:spacing w:line="360" w:lineRule="auto"/>
        <w:rPr>
          <w:sz w:val="26"/>
          <w:szCs w:val="26"/>
        </w:rPr>
      </w:pPr>
    </w:p>
    <w:p w:rsidR="007C2DE4" w:rsidRDefault="00A0746C">
      <w:pPr>
        <w:spacing w:line="360" w:lineRule="auto"/>
        <w:jc w:val="center"/>
        <w:rPr>
          <w:caps/>
          <w:sz w:val="26"/>
          <w:szCs w:val="26"/>
        </w:rPr>
      </w:pPr>
      <w:r>
        <w:rPr>
          <w:b/>
          <w:sz w:val="26"/>
          <w:szCs w:val="26"/>
        </w:rPr>
        <w:br w:type="page"/>
      </w:r>
      <w:r w:rsidR="00F55BED" w:rsidRPr="00CA1972">
        <w:rPr>
          <w:b/>
          <w:sz w:val="26"/>
          <w:szCs w:val="26"/>
        </w:rPr>
        <w:lastRenderedPageBreak/>
        <w:t>History of the Proceeding</w:t>
      </w:r>
      <w:r w:rsidR="001E2FEE">
        <w:rPr>
          <w:rStyle w:val="FootnoteReference"/>
          <w:b/>
        </w:rPr>
        <w:footnoteReference w:id="1"/>
      </w:r>
    </w:p>
    <w:p w:rsidR="007C2DE4" w:rsidRDefault="007C2DE4">
      <w:pPr>
        <w:spacing w:line="360" w:lineRule="auto"/>
        <w:rPr>
          <w:u w:val="single"/>
        </w:rPr>
      </w:pPr>
    </w:p>
    <w:p w:rsidR="003A35F0" w:rsidRPr="003A35F0" w:rsidRDefault="003A35F0" w:rsidP="003A35F0">
      <w:pPr>
        <w:pStyle w:val="Style"/>
        <w:tabs>
          <w:tab w:val="left" w:pos="706"/>
          <w:tab w:val="left" w:pos="1390"/>
        </w:tabs>
        <w:spacing w:line="360" w:lineRule="auto"/>
        <w:ind w:firstLine="1440"/>
        <w:rPr>
          <w:color w:val="000000"/>
          <w:sz w:val="26"/>
        </w:rPr>
      </w:pPr>
      <w:r w:rsidRPr="003A35F0">
        <w:rPr>
          <w:color w:val="000000"/>
          <w:sz w:val="26"/>
        </w:rPr>
        <w:t xml:space="preserve">On January 8, 2010, PPL filed with the Commission its Application of PPL Electric Utilities Corporation Filed Pursuant To 52 Pa Code Chapter 57, Subchapter G, For Approval of The Siting And Construction of The Effort Mountain </w:t>
      </w:r>
      <w:r w:rsidR="00FD2C7C">
        <w:rPr>
          <w:color w:val="000000"/>
          <w:sz w:val="26"/>
        </w:rPr>
        <w:t xml:space="preserve">No. </w:t>
      </w:r>
      <w:r w:rsidRPr="003A35F0">
        <w:rPr>
          <w:color w:val="000000"/>
          <w:sz w:val="26"/>
        </w:rPr>
        <w:t xml:space="preserve">1 </w:t>
      </w:r>
      <w:r w:rsidR="001233E3">
        <w:rPr>
          <w:color w:val="000000"/>
          <w:sz w:val="26"/>
        </w:rPr>
        <w:t>and</w:t>
      </w:r>
      <w:r w:rsidRPr="003A35F0">
        <w:rPr>
          <w:color w:val="000000"/>
          <w:w w:val="121"/>
          <w:sz w:val="26"/>
        </w:rPr>
        <w:t xml:space="preserve"> </w:t>
      </w:r>
      <w:r w:rsidR="00FD2C7C">
        <w:rPr>
          <w:color w:val="000000"/>
          <w:w w:val="121"/>
          <w:sz w:val="26"/>
        </w:rPr>
        <w:t xml:space="preserve">No. </w:t>
      </w:r>
      <w:r w:rsidRPr="003A35F0">
        <w:rPr>
          <w:color w:val="000000"/>
          <w:sz w:val="26"/>
        </w:rPr>
        <w:t>2 138 kV Taps In Chestnuthill And Polk Townships, Monroe County, Pennsylvania (Siting Application), at Docket No. A-2010-2152104.</w:t>
      </w:r>
    </w:p>
    <w:p w:rsidR="003A35F0" w:rsidRPr="003A35F0" w:rsidRDefault="003A35F0" w:rsidP="003A35F0">
      <w:pPr>
        <w:pStyle w:val="Style"/>
        <w:tabs>
          <w:tab w:val="left" w:pos="706"/>
          <w:tab w:val="left" w:pos="1390"/>
        </w:tabs>
        <w:spacing w:line="360" w:lineRule="auto"/>
        <w:ind w:firstLine="1440"/>
        <w:rPr>
          <w:color w:val="000000"/>
          <w:sz w:val="26"/>
        </w:rPr>
      </w:pPr>
    </w:p>
    <w:p w:rsidR="003A35F0" w:rsidRPr="003A35F0" w:rsidRDefault="003A35F0" w:rsidP="003A35F0">
      <w:pPr>
        <w:pStyle w:val="Style"/>
        <w:tabs>
          <w:tab w:val="left" w:pos="662"/>
          <w:tab w:val="left" w:pos="1354"/>
        </w:tabs>
        <w:spacing w:line="360" w:lineRule="auto"/>
        <w:ind w:firstLine="1440"/>
        <w:rPr>
          <w:color w:val="000000"/>
          <w:sz w:val="26"/>
        </w:rPr>
      </w:pPr>
      <w:r w:rsidRPr="003A35F0">
        <w:rPr>
          <w:color w:val="000000"/>
          <w:sz w:val="26"/>
        </w:rPr>
        <w:t>On January 15, 2010, PPL filed with the Commission its Petition of PPL Electric Utilities Corporation For A Finding That a Building To Shelter Control Equipment At The Effort Mountain Substation To Be Constructed in Chestnuthill Township, Monroe County, Pennsylvania is Reasonably Necessary For The Convenience Or Welfare Of The Public (Zoning Petition), at Docket No. A-2010-2153061.</w:t>
      </w:r>
    </w:p>
    <w:p w:rsidR="003A35F0" w:rsidRPr="003A35F0" w:rsidRDefault="003A35F0" w:rsidP="003A35F0">
      <w:pPr>
        <w:pStyle w:val="Style"/>
        <w:tabs>
          <w:tab w:val="left" w:pos="662"/>
          <w:tab w:val="left" w:pos="1354"/>
        </w:tabs>
        <w:spacing w:line="360" w:lineRule="auto"/>
        <w:ind w:firstLine="1440"/>
        <w:rPr>
          <w:color w:val="000000"/>
          <w:sz w:val="26"/>
        </w:rPr>
      </w:pPr>
    </w:p>
    <w:p w:rsidR="003A35F0" w:rsidRPr="003A35F0" w:rsidRDefault="003A35F0" w:rsidP="003A35F0">
      <w:pPr>
        <w:pStyle w:val="Style"/>
        <w:tabs>
          <w:tab w:val="left" w:pos="684"/>
          <w:tab w:val="left" w:pos="1361"/>
        </w:tabs>
        <w:spacing w:line="360" w:lineRule="auto"/>
        <w:ind w:firstLine="1440"/>
        <w:rPr>
          <w:color w:val="000000"/>
          <w:sz w:val="26"/>
        </w:rPr>
      </w:pPr>
      <w:r w:rsidRPr="003A35F0">
        <w:rPr>
          <w:color w:val="000000"/>
          <w:sz w:val="26"/>
        </w:rPr>
        <w:t>On March 4, 2010, PPL filed with the Commission its Application Of PPL Electric Utilities Corporation Under 15 Pa.</w:t>
      </w:r>
      <w:r w:rsidR="00FD45F1">
        <w:rPr>
          <w:color w:val="000000"/>
          <w:sz w:val="26"/>
        </w:rPr>
        <w:t xml:space="preserve"> </w:t>
      </w:r>
      <w:r w:rsidRPr="003A35F0">
        <w:rPr>
          <w:color w:val="000000"/>
          <w:sz w:val="26"/>
        </w:rPr>
        <w:t>C.S. §1511(c) For A Finding And Determination That The Service To Be Furnished By The Applicant Through Its Proposed Exercise Of The Power Of Eminent Domain To Acquire A Right-Of-Way And Easement Over And Across The Lands Of La</w:t>
      </w:r>
      <w:r w:rsidR="004670BD">
        <w:rPr>
          <w:color w:val="000000"/>
          <w:sz w:val="26"/>
        </w:rPr>
        <w:t>R</w:t>
      </w:r>
      <w:r w:rsidRPr="003A35F0">
        <w:rPr>
          <w:color w:val="000000"/>
          <w:sz w:val="26"/>
        </w:rPr>
        <w:t xml:space="preserve">ue High For The Proposed Effort Mountain </w:t>
      </w:r>
      <w:r w:rsidR="00FD2C7C">
        <w:rPr>
          <w:color w:val="000000"/>
          <w:sz w:val="26"/>
        </w:rPr>
        <w:t xml:space="preserve">No. </w:t>
      </w:r>
      <w:r w:rsidRPr="003A35F0">
        <w:rPr>
          <w:color w:val="000000"/>
          <w:sz w:val="26"/>
        </w:rPr>
        <w:t xml:space="preserve">1 </w:t>
      </w:r>
      <w:r w:rsidR="001233E3">
        <w:rPr>
          <w:color w:val="000000"/>
          <w:sz w:val="26"/>
        </w:rPr>
        <w:t>and</w:t>
      </w:r>
      <w:r w:rsidRPr="003A35F0">
        <w:rPr>
          <w:color w:val="000000"/>
          <w:w w:val="118"/>
          <w:sz w:val="26"/>
        </w:rPr>
        <w:t xml:space="preserve"> </w:t>
      </w:r>
      <w:r w:rsidR="00FD2C7C">
        <w:rPr>
          <w:color w:val="000000"/>
          <w:w w:val="118"/>
          <w:sz w:val="26"/>
        </w:rPr>
        <w:t xml:space="preserve">No. </w:t>
      </w:r>
      <w:r w:rsidRPr="003A35F0">
        <w:rPr>
          <w:color w:val="000000"/>
          <w:sz w:val="26"/>
        </w:rPr>
        <w:t>2 138 kV Taps In Chestnuthill And Polk Townships, Monroe County, Pennsylvania Is Necessary Or Proper For The Service, Accommodation, Convenience Or Safety Of The Public (Eminent Domai</w:t>
      </w:r>
      <w:r w:rsidR="002B48F3">
        <w:rPr>
          <w:color w:val="000000"/>
          <w:sz w:val="26"/>
        </w:rPr>
        <w:t>n Application), at Docket No. A</w:t>
      </w:r>
      <w:r w:rsidR="002B48F3">
        <w:rPr>
          <w:color w:val="000000"/>
          <w:sz w:val="26"/>
        </w:rPr>
        <w:noBreakHyphen/>
      </w:r>
      <w:r w:rsidRPr="003A35F0">
        <w:rPr>
          <w:color w:val="000000"/>
          <w:sz w:val="26"/>
        </w:rPr>
        <w:t>2010-2163154.</w:t>
      </w:r>
    </w:p>
    <w:p w:rsidR="003A35F0" w:rsidRPr="003A35F0" w:rsidRDefault="003A35F0" w:rsidP="003A35F0">
      <w:pPr>
        <w:pStyle w:val="Style"/>
        <w:tabs>
          <w:tab w:val="left" w:pos="684"/>
          <w:tab w:val="left" w:pos="1361"/>
        </w:tabs>
        <w:spacing w:line="360" w:lineRule="auto"/>
        <w:ind w:firstLine="1440"/>
        <w:rPr>
          <w:color w:val="000000"/>
          <w:sz w:val="26"/>
        </w:rPr>
      </w:pPr>
    </w:p>
    <w:p w:rsidR="003A35F0" w:rsidRPr="003A35F0" w:rsidRDefault="003A35F0" w:rsidP="003A35F0">
      <w:pPr>
        <w:pStyle w:val="Style"/>
        <w:tabs>
          <w:tab w:val="left" w:pos="698"/>
          <w:tab w:val="left" w:pos="1382"/>
        </w:tabs>
        <w:spacing w:line="360" w:lineRule="auto"/>
        <w:ind w:firstLine="1440"/>
        <w:rPr>
          <w:color w:val="000000"/>
          <w:sz w:val="26"/>
        </w:rPr>
      </w:pPr>
      <w:r w:rsidRPr="003A35F0">
        <w:rPr>
          <w:color w:val="000000"/>
          <w:sz w:val="26"/>
        </w:rPr>
        <w:t>O</w:t>
      </w:r>
      <w:r w:rsidR="001233E3">
        <w:rPr>
          <w:color w:val="000000"/>
          <w:sz w:val="26"/>
        </w:rPr>
        <w:t>n May 13, 2009, Albert Barney (C</w:t>
      </w:r>
      <w:r w:rsidRPr="003A35F0">
        <w:rPr>
          <w:color w:val="000000"/>
          <w:sz w:val="26"/>
        </w:rPr>
        <w:t xml:space="preserve">omplainant) filed with the Commission a Formal Complaint (Barney Complaint), docketed at Docket No. C-2009-2107073.  The </w:t>
      </w:r>
      <w:r w:rsidRPr="003A35F0">
        <w:rPr>
          <w:color w:val="000000"/>
          <w:sz w:val="26"/>
        </w:rPr>
        <w:lastRenderedPageBreak/>
        <w:t xml:space="preserve">Barney Complaint pertains to the proposed Effort Mountain Taps.  On June 3, 2009, PPL filed an Answer and New Matter Responding to the </w:t>
      </w:r>
      <w:r w:rsidR="004217B4">
        <w:rPr>
          <w:color w:val="000000"/>
          <w:sz w:val="26"/>
        </w:rPr>
        <w:t>Barney</w:t>
      </w:r>
      <w:r w:rsidRPr="003A35F0">
        <w:rPr>
          <w:color w:val="000000"/>
          <w:sz w:val="26"/>
        </w:rPr>
        <w:t xml:space="preserve"> Complaint.  On February 23, 2010, PPL served Mr. Barney with complete copies of the Siting Application and Zoning Petition, together with the accompanying Exhibits and Appendice</w:t>
      </w:r>
      <w:r w:rsidR="004217B4">
        <w:rPr>
          <w:color w:val="000000"/>
          <w:sz w:val="26"/>
        </w:rPr>
        <w:t>s.  Issues related to the Barney</w:t>
      </w:r>
      <w:r w:rsidRPr="003A35F0">
        <w:rPr>
          <w:color w:val="000000"/>
          <w:sz w:val="26"/>
        </w:rPr>
        <w:t xml:space="preserve"> Complaint are interrelated with the Siting Application, Zoning Petition, and Eminent Domain Application.</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On March 10, 2010, PPL filed and served a Motion to Consolidate (Consolidation Motion) at all four Docket Numbers (A-2010-2152104, A-2010-2153061, A-2010-2163154 and C-2009-2107073).</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 xml:space="preserve">By Notice dated March 10, 2010, an Initial Prehearing Conference was scheduled in each of the above-captioned cases for March 23, 2010, and the cases were assigned to </w:t>
      </w:r>
      <w:r w:rsidR="00DF335E">
        <w:rPr>
          <w:spacing w:val="-3"/>
          <w:sz w:val="26"/>
        </w:rPr>
        <w:t>ALJ Weismandel</w:t>
      </w:r>
      <w:r w:rsidRPr="003A35F0">
        <w:rPr>
          <w:spacing w:val="-3"/>
          <w:sz w:val="26"/>
        </w:rPr>
        <w:t>.</w:t>
      </w:r>
      <w:r w:rsidR="008405BA">
        <w:rPr>
          <w:spacing w:val="-3"/>
          <w:sz w:val="26"/>
        </w:rPr>
        <w:t xml:space="preserve">  </w:t>
      </w:r>
      <w:r w:rsidRPr="003A35F0">
        <w:rPr>
          <w:spacing w:val="-3"/>
          <w:sz w:val="26"/>
        </w:rPr>
        <w:t>By Order Consolidating Proceedings dated March 11, 2010, the above-captioned cases were consolidated for hearing, briefing, and adjudicating.</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bCs/>
          <w:spacing w:val="-3"/>
          <w:sz w:val="26"/>
        </w:rPr>
        <w:t xml:space="preserve">On </w:t>
      </w:r>
      <w:r w:rsidRPr="003A35F0">
        <w:rPr>
          <w:spacing w:val="-3"/>
          <w:sz w:val="26"/>
        </w:rPr>
        <w:t xml:space="preserve">March 12, 2010, PPL filed proofs of publication from the </w:t>
      </w:r>
      <w:r w:rsidRPr="003A35F0">
        <w:rPr>
          <w:i/>
          <w:iCs/>
          <w:spacing w:val="-3"/>
          <w:sz w:val="26"/>
        </w:rPr>
        <w:t xml:space="preserve">Pocono Record, </w:t>
      </w:r>
      <w:r w:rsidRPr="003A35F0">
        <w:rPr>
          <w:spacing w:val="-3"/>
          <w:sz w:val="26"/>
        </w:rPr>
        <w:t>a newspaper of general circulation in the area that is the subject of th</w:t>
      </w:r>
      <w:r w:rsidR="00C479F8">
        <w:rPr>
          <w:spacing w:val="-3"/>
          <w:sz w:val="26"/>
        </w:rPr>
        <w:t>ese</w:t>
      </w:r>
      <w:r w:rsidRPr="003A35F0">
        <w:rPr>
          <w:spacing w:val="-3"/>
          <w:sz w:val="26"/>
        </w:rPr>
        <w:t xml:space="preserve"> consolidated case</w:t>
      </w:r>
      <w:r w:rsidR="00C479F8">
        <w:rPr>
          <w:spacing w:val="-3"/>
          <w:sz w:val="26"/>
        </w:rPr>
        <w:t>s</w:t>
      </w:r>
      <w:r w:rsidRPr="003A35F0">
        <w:rPr>
          <w:spacing w:val="-3"/>
          <w:sz w:val="26"/>
        </w:rPr>
        <w:t xml:space="preserve">, stating that notices had appeared on January 20, 2010, January 27, 2010, and February 3, 2010.  Among other things, the published notices advised that a Prehearing Conference would be held on Tuesday, March 23, 2010, at 10:00 a.m. in Hearing Room </w:t>
      </w:r>
      <w:r w:rsidR="00296C5D">
        <w:rPr>
          <w:spacing w:val="-3"/>
          <w:sz w:val="26"/>
        </w:rPr>
        <w:t xml:space="preserve">No. </w:t>
      </w:r>
      <w:r w:rsidRPr="003A35F0">
        <w:rPr>
          <w:spacing w:val="-3"/>
          <w:sz w:val="26"/>
        </w:rPr>
        <w:t>2 in the Commonwealth Keystone Building, 400 North Street, Harrisburg, Pennsylvania.</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 xml:space="preserve">Also on March 12, 2010, a Prehearing Conference Order </w:t>
      </w:r>
      <w:r w:rsidR="00192AFB">
        <w:rPr>
          <w:spacing w:val="-3"/>
          <w:sz w:val="26"/>
        </w:rPr>
        <w:t xml:space="preserve">was issued </w:t>
      </w:r>
      <w:r w:rsidRPr="003A35F0">
        <w:rPr>
          <w:spacing w:val="-3"/>
          <w:sz w:val="26"/>
        </w:rPr>
        <w:t>in the consolidated case</w:t>
      </w:r>
      <w:r w:rsidR="005579FF">
        <w:rPr>
          <w:spacing w:val="-3"/>
          <w:sz w:val="26"/>
        </w:rPr>
        <w:t>s</w:t>
      </w:r>
      <w:r w:rsidRPr="003A35F0">
        <w:rPr>
          <w:spacing w:val="-3"/>
          <w:sz w:val="26"/>
        </w:rPr>
        <w:t>.  The Prehearing Conference Order required, among other things, that Initial Prehearing Conference memoranda be filed and served on or before March 22, 2010, and set forth the required minimum contents thereof.</w:t>
      </w:r>
      <w:r w:rsidR="008E2BB6">
        <w:rPr>
          <w:spacing w:val="-3"/>
          <w:sz w:val="26"/>
        </w:rPr>
        <w:t xml:space="preserve">  Of t</w:t>
      </w:r>
      <w:r w:rsidRPr="003A35F0">
        <w:rPr>
          <w:spacing w:val="-3"/>
          <w:sz w:val="26"/>
        </w:rPr>
        <w:t xml:space="preserve">he </w:t>
      </w:r>
      <w:r w:rsidR="00192AFB">
        <w:rPr>
          <w:spacing w:val="-3"/>
          <w:sz w:val="26"/>
        </w:rPr>
        <w:t>P</w:t>
      </w:r>
      <w:r w:rsidRPr="003A35F0">
        <w:rPr>
          <w:spacing w:val="-3"/>
          <w:sz w:val="26"/>
        </w:rPr>
        <w:t xml:space="preserve">arties to the consolidated </w:t>
      </w:r>
      <w:r w:rsidRPr="003A35F0">
        <w:rPr>
          <w:spacing w:val="-3"/>
          <w:sz w:val="26"/>
        </w:rPr>
        <w:lastRenderedPageBreak/>
        <w:t>case</w:t>
      </w:r>
      <w:r w:rsidR="00790783">
        <w:rPr>
          <w:spacing w:val="-3"/>
          <w:sz w:val="26"/>
        </w:rPr>
        <w:t>,</w:t>
      </w:r>
      <w:r w:rsidRPr="003A35F0">
        <w:rPr>
          <w:rStyle w:val="FootnoteReference"/>
          <w:spacing w:val="-3"/>
        </w:rPr>
        <w:footnoteReference w:id="2"/>
      </w:r>
      <w:r w:rsidRPr="003A35F0">
        <w:rPr>
          <w:spacing w:val="-3"/>
          <w:sz w:val="26"/>
        </w:rPr>
        <w:t xml:space="preserve"> only PPL filed and served the required Initial Prehearing Conference memorandum, due on March 22, 2010.</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The Prehearing Conference was held in the consolidated case</w:t>
      </w:r>
      <w:r w:rsidR="00092F98">
        <w:rPr>
          <w:spacing w:val="-3"/>
          <w:sz w:val="26"/>
        </w:rPr>
        <w:t>s</w:t>
      </w:r>
      <w:r w:rsidRPr="003A35F0">
        <w:rPr>
          <w:spacing w:val="-3"/>
          <w:sz w:val="26"/>
        </w:rPr>
        <w:t xml:space="preserve"> on March 23, 2010.  PPL was present and participated.  Despite notice, neither Albert Barney, </w:t>
      </w:r>
      <w:r w:rsidR="00092F98">
        <w:rPr>
          <w:spacing w:val="-3"/>
          <w:sz w:val="26"/>
        </w:rPr>
        <w:t xml:space="preserve">Suzanne </w:t>
      </w:r>
      <w:r w:rsidRPr="003A35F0">
        <w:rPr>
          <w:spacing w:val="-3"/>
          <w:sz w:val="26"/>
        </w:rPr>
        <w:t xml:space="preserve">Hart nor </w:t>
      </w:r>
      <w:r w:rsidR="00255C41">
        <w:rPr>
          <w:spacing w:val="-3"/>
          <w:sz w:val="26"/>
        </w:rPr>
        <w:t>LaRue</w:t>
      </w:r>
      <w:r w:rsidR="00092F98">
        <w:rPr>
          <w:spacing w:val="-3"/>
          <w:sz w:val="26"/>
        </w:rPr>
        <w:t xml:space="preserve"> </w:t>
      </w:r>
      <w:r w:rsidRPr="003A35F0">
        <w:rPr>
          <w:spacing w:val="-3"/>
          <w:sz w:val="26"/>
        </w:rPr>
        <w:t>High attended or participated.  Pursuant to</w:t>
      </w:r>
      <w:r w:rsidR="00127965">
        <w:rPr>
          <w:spacing w:val="-3"/>
          <w:sz w:val="26"/>
        </w:rPr>
        <w:t xml:space="preserve"> the provisions of 52 Pa.</w:t>
      </w:r>
      <w:r w:rsidR="00FD45F1">
        <w:rPr>
          <w:spacing w:val="-3"/>
          <w:sz w:val="26"/>
        </w:rPr>
        <w:t xml:space="preserve"> </w:t>
      </w:r>
      <w:r w:rsidR="00127965">
        <w:rPr>
          <w:spacing w:val="-3"/>
          <w:sz w:val="26"/>
        </w:rPr>
        <w:t>Code §</w:t>
      </w:r>
      <w:r w:rsidR="00127965">
        <w:t> </w:t>
      </w:r>
      <w:r w:rsidRPr="003A35F0">
        <w:rPr>
          <w:spacing w:val="-3"/>
          <w:sz w:val="26"/>
        </w:rPr>
        <w:t>5.222(e), certain procedural matters and a schedule for the proceeding were established.</w:t>
      </w:r>
      <w:r w:rsidRPr="003A35F0">
        <w:rPr>
          <w:rStyle w:val="FootnoteReference"/>
          <w:spacing w:val="-3"/>
        </w:rPr>
        <w:footnoteReference w:id="3"/>
      </w:r>
      <w:r w:rsidRPr="003A35F0">
        <w:rPr>
          <w:spacing w:val="-3"/>
          <w:sz w:val="26"/>
        </w:rPr>
        <w:t xml:space="preserve">  </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On April 26, 2010, Joseph P. Hanyon, Esquire, sent a Praecipe For Entry Of Appearance on behalf of La</w:t>
      </w:r>
      <w:r w:rsidR="004670BD">
        <w:rPr>
          <w:spacing w:val="-3"/>
          <w:sz w:val="26"/>
        </w:rPr>
        <w:t>R</w:t>
      </w:r>
      <w:r w:rsidRPr="003A35F0">
        <w:rPr>
          <w:spacing w:val="-3"/>
          <w:sz w:val="26"/>
        </w:rPr>
        <w:t xml:space="preserve">ue </w:t>
      </w:r>
      <w:r w:rsidR="00FD45F1" w:rsidRPr="003A35F0">
        <w:rPr>
          <w:spacing w:val="-3"/>
          <w:sz w:val="26"/>
        </w:rPr>
        <w:t>High</w:t>
      </w:r>
      <w:r w:rsidRPr="003A35F0">
        <w:rPr>
          <w:spacing w:val="-3"/>
          <w:sz w:val="26"/>
        </w:rPr>
        <w:t xml:space="preserve"> and a Motion For Continuance</w:t>
      </w:r>
      <w:r w:rsidR="00192AFB">
        <w:rPr>
          <w:spacing w:val="-3"/>
          <w:sz w:val="26"/>
        </w:rPr>
        <w:t xml:space="preserve"> direc</w:t>
      </w:r>
      <w:r w:rsidR="002B48F3">
        <w:rPr>
          <w:spacing w:val="-3"/>
          <w:sz w:val="26"/>
        </w:rPr>
        <w:t>tly to ALJ </w:t>
      </w:r>
      <w:r w:rsidR="00192AFB">
        <w:rPr>
          <w:spacing w:val="-3"/>
          <w:sz w:val="26"/>
        </w:rPr>
        <w:t>Weismandel</w:t>
      </w:r>
      <w:r w:rsidRPr="003A35F0">
        <w:rPr>
          <w:spacing w:val="-3"/>
          <w:sz w:val="26"/>
        </w:rPr>
        <w:t>.  Mr. Hanyon’s submittal did not include a certificate of service.</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 xml:space="preserve">By transmittal memorandum dated April 26, 2010, </w:t>
      </w:r>
      <w:r w:rsidR="00192AFB">
        <w:rPr>
          <w:spacing w:val="-3"/>
          <w:sz w:val="26"/>
        </w:rPr>
        <w:t>ALJ Weismandel</w:t>
      </w:r>
      <w:r w:rsidRPr="003A35F0">
        <w:rPr>
          <w:spacing w:val="-3"/>
          <w:sz w:val="26"/>
        </w:rPr>
        <w:t xml:space="preserve"> forwarded Mr. Hanyon’s submittal to the Commission’s Secretary’s Bureau</w:t>
      </w:r>
      <w:r w:rsidR="003A252B">
        <w:rPr>
          <w:spacing w:val="-3"/>
          <w:sz w:val="26"/>
        </w:rPr>
        <w:t>.</w:t>
      </w:r>
      <w:r w:rsidR="00192AFB">
        <w:rPr>
          <w:spacing w:val="-3"/>
          <w:sz w:val="26"/>
        </w:rPr>
        <w:t xml:space="preserve">  </w:t>
      </w:r>
      <w:r w:rsidR="002B48F3">
        <w:rPr>
          <w:spacing w:val="-3"/>
          <w:sz w:val="26"/>
        </w:rPr>
        <w:t>Also on April </w:t>
      </w:r>
      <w:r w:rsidRPr="003A35F0">
        <w:rPr>
          <w:spacing w:val="-3"/>
          <w:sz w:val="26"/>
        </w:rPr>
        <w:t xml:space="preserve">26, 2010, </w:t>
      </w:r>
      <w:r w:rsidR="00192AFB">
        <w:rPr>
          <w:spacing w:val="-3"/>
          <w:sz w:val="26"/>
        </w:rPr>
        <w:t>ALJ Weismandel</w:t>
      </w:r>
      <w:r w:rsidRPr="003A35F0">
        <w:rPr>
          <w:spacing w:val="-3"/>
          <w:sz w:val="26"/>
        </w:rPr>
        <w:t xml:space="preserve"> faxed copies of </w:t>
      </w:r>
      <w:r w:rsidR="00192AFB">
        <w:rPr>
          <w:spacing w:val="-3"/>
          <w:sz w:val="26"/>
        </w:rPr>
        <w:t>his</w:t>
      </w:r>
      <w:r w:rsidR="002B48F3">
        <w:rPr>
          <w:spacing w:val="-3"/>
          <w:sz w:val="26"/>
        </w:rPr>
        <w:t xml:space="preserve"> transmittal memorandum and Mr. </w:t>
      </w:r>
      <w:r w:rsidRPr="003A35F0">
        <w:rPr>
          <w:spacing w:val="-3"/>
          <w:sz w:val="26"/>
        </w:rPr>
        <w:t>Hanyon’s submittal to counsel for PPL.</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 xml:space="preserve">On May 17, 2010, PPL filed and served its Answer to the Motion For Continuance.  </w:t>
      </w:r>
      <w:r w:rsidR="00FD45F1" w:rsidRPr="003A35F0">
        <w:rPr>
          <w:spacing w:val="-3"/>
          <w:sz w:val="26"/>
        </w:rPr>
        <w:t>PPL’s Answer to the Motion For Continuance was served on both La</w:t>
      </w:r>
      <w:r w:rsidR="00FD45F1">
        <w:rPr>
          <w:spacing w:val="-3"/>
          <w:sz w:val="26"/>
        </w:rPr>
        <w:t>R</w:t>
      </w:r>
      <w:r w:rsidR="00FD45F1" w:rsidRPr="003A35F0">
        <w:rPr>
          <w:spacing w:val="-3"/>
          <w:sz w:val="26"/>
        </w:rPr>
        <w:t>ue High and Joseph P. Hanyon, Esquire, among others.</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lastRenderedPageBreak/>
        <w:t xml:space="preserve">As set forth in PPL’s Answer to the Motion For Continuance, though submitted under a cover letter dated March 29, 2010 (addressed to </w:t>
      </w:r>
      <w:r w:rsidR="00192AFB">
        <w:rPr>
          <w:spacing w:val="-3"/>
          <w:sz w:val="26"/>
        </w:rPr>
        <w:t>the ALJ</w:t>
      </w:r>
      <w:r w:rsidRPr="003A35F0">
        <w:rPr>
          <w:spacing w:val="-3"/>
          <w:sz w:val="26"/>
        </w:rPr>
        <w:t xml:space="preserve"> rather than to the Commission’s Secretary’s Bureau), Mr. Hanyon’s submittal was not received in the Office of Administrative Law Judge until April 26, 2010, long after the Prehearing Conference held on March 23, 2010.  The only reason Mr. Hanyon’s submittal now appears as a part of the record in this consolidated case is because </w:t>
      </w:r>
      <w:r w:rsidR="005A6875">
        <w:rPr>
          <w:spacing w:val="-3"/>
          <w:sz w:val="26"/>
        </w:rPr>
        <w:t>the ALJ</w:t>
      </w:r>
      <w:r w:rsidRPr="003A35F0">
        <w:rPr>
          <w:spacing w:val="-3"/>
          <w:sz w:val="26"/>
        </w:rPr>
        <w:t xml:space="preserve"> took the appropriate action to see that it was filed with the Commission’s Secretary’s Bureau and served on counsel for PPL.  </w:t>
      </w:r>
      <w:r w:rsidR="00C63E16">
        <w:rPr>
          <w:spacing w:val="-3"/>
          <w:sz w:val="26"/>
        </w:rPr>
        <w:t>W</w:t>
      </w:r>
      <w:r w:rsidRPr="003A35F0">
        <w:rPr>
          <w:spacing w:val="-3"/>
          <w:sz w:val="26"/>
        </w:rPr>
        <w:t xml:space="preserve">ith respect to the Prehearing Conference, the Motion For Continuance was moot.  </w:t>
      </w:r>
      <w:r w:rsidR="00DB4DC4">
        <w:rPr>
          <w:spacing w:val="-3"/>
          <w:sz w:val="26"/>
        </w:rPr>
        <w:t>The ALJ deemed that t</w:t>
      </w:r>
      <w:r w:rsidRPr="003A35F0">
        <w:rPr>
          <w:spacing w:val="-3"/>
          <w:sz w:val="26"/>
        </w:rPr>
        <w:t xml:space="preserve">he Motion For Continuance </w:t>
      </w:r>
      <w:r w:rsidR="00DB4DC4">
        <w:rPr>
          <w:spacing w:val="-3"/>
          <w:sz w:val="26"/>
        </w:rPr>
        <w:t>was</w:t>
      </w:r>
      <w:r w:rsidRPr="003A35F0">
        <w:rPr>
          <w:spacing w:val="-3"/>
          <w:sz w:val="26"/>
        </w:rPr>
        <w:t xml:space="preserve"> unclear as to what</w:t>
      </w:r>
      <w:r w:rsidR="00DB4DC4">
        <w:rPr>
          <w:spacing w:val="-3"/>
          <w:sz w:val="26"/>
        </w:rPr>
        <w:t xml:space="preserve"> the request for continuance was to affect.  C</w:t>
      </w:r>
      <w:r w:rsidRPr="003A35F0">
        <w:rPr>
          <w:spacing w:val="-3"/>
          <w:sz w:val="26"/>
        </w:rPr>
        <w:t>onsequently, by Order Denying Continuance Motion dated May 18, 2010, Mr. Hanyon’s Motion For Continuance was denied</w:t>
      </w:r>
      <w:r w:rsidR="004A6AA6">
        <w:rPr>
          <w:spacing w:val="-3"/>
          <w:sz w:val="26"/>
        </w:rPr>
        <w:t xml:space="preserve"> by the ALJ</w:t>
      </w:r>
      <w:r w:rsidRPr="003A35F0">
        <w:rPr>
          <w:spacing w:val="-3"/>
          <w:sz w:val="26"/>
        </w:rPr>
        <w:t>.</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 xml:space="preserve">On or about May 27, 2010, both Suzanne Hart and </w:t>
      </w:r>
      <w:r w:rsidR="00255C41">
        <w:rPr>
          <w:spacing w:val="-3"/>
          <w:sz w:val="26"/>
        </w:rPr>
        <w:t>LaRue</w:t>
      </w:r>
      <w:r w:rsidRPr="003A35F0">
        <w:rPr>
          <w:spacing w:val="-3"/>
          <w:sz w:val="26"/>
        </w:rPr>
        <w:t xml:space="preserve"> High served their respective written direct testimony in the consolidated case</w:t>
      </w:r>
      <w:r w:rsidR="008E1E36">
        <w:rPr>
          <w:spacing w:val="-3"/>
          <w:sz w:val="26"/>
        </w:rPr>
        <w:t>s</w:t>
      </w:r>
      <w:r w:rsidRPr="003A35F0">
        <w:rPr>
          <w:spacing w:val="-3"/>
          <w:sz w:val="26"/>
        </w:rPr>
        <w:t>.</w:t>
      </w:r>
      <w:r w:rsidR="0059788B">
        <w:rPr>
          <w:spacing w:val="-3"/>
          <w:sz w:val="26"/>
        </w:rPr>
        <w:t xml:space="preserve">  </w:t>
      </w:r>
      <w:r w:rsidR="00303B6A">
        <w:rPr>
          <w:spacing w:val="-3"/>
          <w:sz w:val="26"/>
        </w:rPr>
        <w:t>On June 18, 2010,</w:t>
      </w:r>
      <w:r w:rsidRPr="003A35F0">
        <w:rPr>
          <w:spacing w:val="-3"/>
          <w:sz w:val="26"/>
        </w:rPr>
        <w:t xml:space="preserve"> PPL served its written rebuttal testimony in the consolidated cas</w:t>
      </w:r>
      <w:r w:rsidR="008E1E36">
        <w:rPr>
          <w:spacing w:val="-3"/>
          <w:sz w:val="26"/>
        </w:rPr>
        <w:t>es</w:t>
      </w:r>
      <w:r w:rsidRPr="003A35F0">
        <w:rPr>
          <w:spacing w:val="-3"/>
          <w:sz w:val="26"/>
        </w:rPr>
        <w:t>.</w:t>
      </w:r>
      <w:r w:rsidR="0059788B">
        <w:rPr>
          <w:spacing w:val="-3"/>
          <w:sz w:val="26"/>
        </w:rPr>
        <w:t xml:space="preserve">  </w:t>
      </w:r>
      <w:r w:rsidRPr="003A35F0">
        <w:rPr>
          <w:spacing w:val="-3"/>
          <w:sz w:val="26"/>
        </w:rPr>
        <w:t xml:space="preserve">On or about July 3, 2010, both Suzanne Hart and </w:t>
      </w:r>
      <w:r w:rsidR="00255C41">
        <w:rPr>
          <w:spacing w:val="-3"/>
          <w:sz w:val="26"/>
        </w:rPr>
        <w:t>LaRue</w:t>
      </w:r>
      <w:r w:rsidRPr="003A35F0">
        <w:rPr>
          <w:spacing w:val="-3"/>
          <w:sz w:val="26"/>
        </w:rPr>
        <w:t xml:space="preserve"> High served their respective written rebuttal testimony in the consolidated case</w:t>
      </w:r>
      <w:r w:rsidR="008E1E36">
        <w:rPr>
          <w:spacing w:val="-3"/>
          <w:sz w:val="26"/>
        </w:rPr>
        <w:t>s</w:t>
      </w:r>
      <w:r w:rsidRPr="003A35F0">
        <w:rPr>
          <w:spacing w:val="-3"/>
          <w:sz w:val="26"/>
        </w:rPr>
        <w:t>.</w:t>
      </w:r>
    </w:p>
    <w:p w:rsidR="003A35F0" w:rsidRPr="003A35F0" w:rsidRDefault="003A35F0" w:rsidP="003A35F0">
      <w:pPr>
        <w:tabs>
          <w:tab w:val="left" w:pos="-720"/>
        </w:tabs>
        <w:suppressAutoHyphens/>
        <w:spacing w:line="360" w:lineRule="auto"/>
        <w:ind w:firstLine="1440"/>
        <w:rPr>
          <w:spacing w:val="-3"/>
          <w:sz w:val="26"/>
        </w:rPr>
      </w:pPr>
    </w:p>
    <w:p w:rsidR="003A35F0" w:rsidRPr="003A35F0" w:rsidRDefault="003A35F0" w:rsidP="003A35F0">
      <w:pPr>
        <w:tabs>
          <w:tab w:val="left" w:pos="-720"/>
        </w:tabs>
        <w:suppressAutoHyphens/>
        <w:spacing w:line="360" w:lineRule="auto"/>
        <w:ind w:firstLine="1440"/>
        <w:rPr>
          <w:spacing w:val="-3"/>
          <w:sz w:val="26"/>
        </w:rPr>
      </w:pPr>
      <w:r w:rsidRPr="003A35F0">
        <w:rPr>
          <w:spacing w:val="-3"/>
          <w:sz w:val="26"/>
        </w:rPr>
        <w:t>The Initial Hearing convened as scheduled on July 13, 2010.</w:t>
      </w:r>
      <w:r w:rsidR="005A6875">
        <w:rPr>
          <w:spacing w:val="-3"/>
          <w:sz w:val="26"/>
        </w:rPr>
        <w:t xml:space="preserve">  </w:t>
      </w:r>
      <w:r w:rsidRPr="003A35F0">
        <w:rPr>
          <w:spacing w:val="-3"/>
          <w:sz w:val="26"/>
        </w:rPr>
        <w:t>PPL appeared through counsel and presented eight witnesses.  PPL introduced into evidence the</w:t>
      </w:r>
      <w:r w:rsidR="00303B6A">
        <w:rPr>
          <w:spacing w:val="-3"/>
          <w:sz w:val="26"/>
        </w:rPr>
        <w:t xml:space="preserve"> testimony of its witnesses and</w:t>
      </w:r>
      <w:r w:rsidRPr="003A35F0">
        <w:rPr>
          <w:spacing w:val="-3"/>
          <w:sz w:val="26"/>
        </w:rPr>
        <w:t>, without objection, PPL Exhibits 1, 2, 3, B, C, D, E, CJB-1, CJB-2 and Appendices 4 and 5, and PPL Statements 1, 2, 3, 4, 5, 6, 7, 8, 11,12, 14, 15, 19 and 20</w:t>
      </w:r>
      <w:r w:rsidR="00CE2067">
        <w:rPr>
          <w:spacing w:val="-3"/>
          <w:sz w:val="26"/>
        </w:rPr>
        <w:t xml:space="preserve"> were admitted</w:t>
      </w:r>
      <w:r w:rsidRPr="003A35F0">
        <w:rPr>
          <w:spacing w:val="-3"/>
          <w:sz w:val="26"/>
        </w:rPr>
        <w:t xml:space="preserve">.  Suzanne Hart appeared </w:t>
      </w:r>
      <w:r w:rsidRPr="004217B4">
        <w:rPr>
          <w:i/>
          <w:spacing w:val="-3"/>
          <w:sz w:val="26"/>
        </w:rPr>
        <w:t>pro se</w:t>
      </w:r>
      <w:r w:rsidRPr="003A35F0">
        <w:rPr>
          <w:spacing w:val="-3"/>
          <w:sz w:val="26"/>
        </w:rPr>
        <w:t xml:space="preserve"> and provided evidence in the form of her own testimony and the introduction of Hart Exhibits A and B.  </w:t>
      </w:r>
      <w:r w:rsidR="00255C41">
        <w:rPr>
          <w:spacing w:val="-3"/>
          <w:sz w:val="26"/>
        </w:rPr>
        <w:t>LaRue</w:t>
      </w:r>
      <w:r w:rsidRPr="003A35F0">
        <w:rPr>
          <w:spacing w:val="-3"/>
          <w:sz w:val="26"/>
        </w:rPr>
        <w:t xml:space="preserve"> High appeared </w:t>
      </w:r>
      <w:r w:rsidRPr="004217B4">
        <w:rPr>
          <w:i/>
          <w:spacing w:val="-3"/>
          <w:sz w:val="26"/>
        </w:rPr>
        <w:t>pro se</w:t>
      </w:r>
      <w:r w:rsidRPr="003A35F0">
        <w:rPr>
          <w:spacing w:val="-3"/>
          <w:sz w:val="26"/>
        </w:rPr>
        <w:t xml:space="preserve"> (though Mr. Hanyon remains her attorney of record) and provided evidence in the form of her own testimony and the introduction of High Exhibits A and B.  The Hearing was completed on July 13, 2010, and consequently the additio</w:t>
      </w:r>
      <w:r w:rsidR="002B48F3">
        <w:rPr>
          <w:spacing w:val="-3"/>
          <w:sz w:val="26"/>
        </w:rPr>
        <w:t>nal Hearing days of July 14 and </w:t>
      </w:r>
      <w:r w:rsidRPr="003A35F0">
        <w:rPr>
          <w:spacing w:val="-3"/>
          <w:sz w:val="26"/>
        </w:rPr>
        <w:t>15, 2010</w:t>
      </w:r>
      <w:r w:rsidR="00CE2067">
        <w:rPr>
          <w:spacing w:val="-3"/>
          <w:sz w:val="26"/>
        </w:rPr>
        <w:t>,</w:t>
      </w:r>
      <w:r w:rsidRPr="003A35F0">
        <w:rPr>
          <w:spacing w:val="-3"/>
          <w:sz w:val="26"/>
        </w:rPr>
        <w:t xml:space="preserve"> were canceled.  A transcript of the proceeding containing 93 pages (numbered 20 through 112) was produced.</w:t>
      </w:r>
    </w:p>
    <w:p w:rsidR="003A35F0" w:rsidRPr="003A35F0" w:rsidRDefault="003A35F0" w:rsidP="003A35F0">
      <w:pPr>
        <w:tabs>
          <w:tab w:val="left" w:pos="-720"/>
        </w:tabs>
        <w:suppressAutoHyphens/>
        <w:spacing w:line="360" w:lineRule="auto"/>
        <w:ind w:firstLine="1440"/>
        <w:rPr>
          <w:spacing w:val="-3"/>
          <w:sz w:val="26"/>
        </w:rPr>
      </w:pPr>
    </w:p>
    <w:p w:rsidR="003A35F0" w:rsidRDefault="003A35F0" w:rsidP="003A35F0">
      <w:pPr>
        <w:tabs>
          <w:tab w:val="left" w:pos="-720"/>
        </w:tabs>
        <w:suppressAutoHyphens/>
        <w:spacing w:line="360" w:lineRule="auto"/>
        <w:ind w:firstLine="1440"/>
        <w:rPr>
          <w:spacing w:val="-3"/>
          <w:sz w:val="26"/>
        </w:rPr>
      </w:pPr>
      <w:r w:rsidRPr="003A35F0">
        <w:rPr>
          <w:spacing w:val="-3"/>
          <w:sz w:val="26"/>
        </w:rPr>
        <w:t xml:space="preserve">On August 11, 2010, PPL, Suzanne Hart, and </w:t>
      </w:r>
      <w:r w:rsidR="00255C41">
        <w:rPr>
          <w:spacing w:val="-3"/>
          <w:sz w:val="26"/>
        </w:rPr>
        <w:t>LaRue</w:t>
      </w:r>
      <w:r w:rsidRPr="003A35F0">
        <w:rPr>
          <w:spacing w:val="-3"/>
          <w:sz w:val="26"/>
        </w:rPr>
        <w:t xml:space="preserve"> High each filed and served their respective Main Brief.</w:t>
      </w:r>
      <w:r w:rsidR="00CE2067">
        <w:rPr>
          <w:spacing w:val="-3"/>
          <w:sz w:val="26"/>
        </w:rPr>
        <w:t xml:space="preserve">  </w:t>
      </w:r>
      <w:r w:rsidRPr="003A35F0">
        <w:rPr>
          <w:spacing w:val="-3"/>
          <w:sz w:val="26"/>
        </w:rPr>
        <w:t xml:space="preserve">On August 25, 2010, PPL, Suzanne Hart, and </w:t>
      </w:r>
      <w:r w:rsidR="00255C41">
        <w:rPr>
          <w:spacing w:val="-3"/>
          <w:sz w:val="26"/>
        </w:rPr>
        <w:t>LaRue</w:t>
      </w:r>
      <w:r w:rsidRPr="003A35F0">
        <w:rPr>
          <w:spacing w:val="-3"/>
          <w:sz w:val="26"/>
        </w:rPr>
        <w:t xml:space="preserve"> High each filed and served their respective Reply Brief.</w:t>
      </w:r>
      <w:r w:rsidR="00CE2067">
        <w:rPr>
          <w:spacing w:val="-3"/>
          <w:sz w:val="26"/>
        </w:rPr>
        <w:t xml:space="preserve">  </w:t>
      </w:r>
      <w:r w:rsidRPr="003A35F0">
        <w:rPr>
          <w:spacing w:val="-3"/>
          <w:sz w:val="26"/>
        </w:rPr>
        <w:t>In accordance with the terms of the Scheduling And Briefing Order dated March 25, 2010, the record in this case closed on August 25, 2010.</w:t>
      </w:r>
    </w:p>
    <w:p w:rsidR="00520A20" w:rsidRDefault="00520A20" w:rsidP="003A35F0">
      <w:pPr>
        <w:tabs>
          <w:tab w:val="left" w:pos="-720"/>
        </w:tabs>
        <w:suppressAutoHyphens/>
        <w:spacing w:line="360" w:lineRule="auto"/>
        <w:ind w:firstLine="1440"/>
        <w:rPr>
          <w:spacing w:val="-3"/>
          <w:sz w:val="26"/>
        </w:rPr>
      </w:pPr>
    </w:p>
    <w:p w:rsidR="00520A20" w:rsidRDefault="00D309CF" w:rsidP="003A35F0">
      <w:pPr>
        <w:tabs>
          <w:tab w:val="left" w:pos="-720"/>
        </w:tabs>
        <w:suppressAutoHyphens/>
        <w:spacing w:line="360" w:lineRule="auto"/>
        <w:ind w:firstLine="1440"/>
        <w:rPr>
          <w:spacing w:val="-3"/>
          <w:sz w:val="26"/>
        </w:rPr>
      </w:pPr>
      <w:r>
        <w:rPr>
          <w:spacing w:val="-3"/>
          <w:sz w:val="26"/>
        </w:rPr>
        <w:t xml:space="preserve">On October 14, 2010, the Recommended Decision of ALJ Weismandel was issued.  The ALJ recommended that the Complaint of Albert Barney be dismissed and that the Applications and Petition filed by PPL be approved.  On November 1, 2010, the Exceptions of Kurt Scheller were filed.  On November 2, 2010, the Exceptions of LaRue High and the Exceptions of Suzanne Hart were filed.  </w:t>
      </w:r>
      <w:r w:rsidR="00C97F79">
        <w:rPr>
          <w:spacing w:val="-3"/>
          <w:sz w:val="26"/>
        </w:rPr>
        <w:t>On November 12, 2010, the Reply Exceptions of PPL were filed.</w:t>
      </w:r>
    </w:p>
    <w:p w:rsidR="00DE486D" w:rsidRDefault="00DE486D" w:rsidP="003A35F0">
      <w:pPr>
        <w:tabs>
          <w:tab w:val="left" w:pos="-720"/>
        </w:tabs>
        <w:suppressAutoHyphens/>
        <w:spacing w:line="360" w:lineRule="auto"/>
        <w:ind w:firstLine="1440"/>
        <w:rPr>
          <w:spacing w:val="-3"/>
          <w:sz w:val="26"/>
        </w:rPr>
      </w:pPr>
    </w:p>
    <w:p w:rsidR="007C2DE4" w:rsidRDefault="001A1AD3">
      <w:pPr>
        <w:spacing w:line="360" w:lineRule="auto"/>
        <w:jc w:val="center"/>
        <w:rPr>
          <w:b/>
          <w:sz w:val="26"/>
          <w:szCs w:val="26"/>
        </w:rPr>
      </w:pPr>
      <w:r w:rsidRPr="00CA1972">
        <w:rPr>
          <w:b/>
          <w:sz w:val="26"/>
          <w:szCs w:val="26"/>
        </w:rPr>
        <w:t>Discussion</w:t>
      </w:r>
    </w:p>
    <w:p w:rsidR="00D5673B" w:rsidRPr="00CA1972" w:rsidRDefault="00D5673B" w:rsidP="00BB4F94">
      <w:pPr>
        <w:spacing w:line="360" w:lineRule="auto"/>
        <w:rPr>
          <w:sz w:val="26"/>
          <w:szCs w:val="26"/>
        </w:rPr>
      </w:pPr>
    </w:p>
    <w:p w:rsidR="007C2DE4" w:rsidRDefault="00D84DAA">
      <w:pPr>
        <w:spacing w:line="360" w:lineRule="auto"/>
        <w:ind w:firstLine="1440"/>
        <w:rPr>
          <w:sz w:val="26"/>
          <w:szCs w:val="26"/>
        </w:rPr>
      </w:pPr>
      <w:r w:rsidRPr="004A753B">
        <w:rPr>
          <w:sz w:val="26"/>
          <w:szCs w:val="26"/>
        </w:rPr>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Pennsylvania Public Utility Commission</w:t>
      </w:r>
      <w:r w:rsidRPr="004A753B">
        <w:rPr>
          <w:sz w:val="26"/>
          <w:szCs w:val="26"/>
        </w:rPr>
        <w:t xml:space="preserve">, 625 A.2d 741 (Pa.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Pennsylvania v. Pennsylvania Public Utility Commission</w:t>
      </w:r>
      <w:r w:rsidRPr="004A753B">
        <w:rPr>
          <w:sz w:val="26"/>
          <w:szCs w:val="26"/>
        </w:rPr>
        <w:t>, 485 A.2d 1217 (Pa. Cmwlth. 1984</w:t>
      </w:r>
      <w:r>
        <w:rPr>
          <w:sz w:val="26"/>
          <w:szCs w:val="26"/>
        </w:rPr>
        <w:t>).</w:t>
      </w:r>
    </w:p>
    <w:p w:rsidR="003B03A6" w:rsidRDefault="003B03A6" w:rsidP="00BB4F94">
      <w:pPr>
        <w:spacing w:line="360" w:lineRule="auto"/>
        <w:rPr>
          <w:sz w:val="26"/>
        </w:rPr>
      </w:pPr>
    </w:p>
    <w:p w:rsidR="007C2DE4" w:rsidRDefault="003B03A6">
      <w:pPr>
        <w:spacing w:line="360" w:lineRule="auto"/>
        <w:ind w:firstLine="1440"/>
        <w:rPr>
          <w:sz w:val="26"/>
        </w:rPr>
      </w:pPr>
      <w:r>
        <w:rPr>
          <w:sz w:val="26"/>
        </w:rPr>
        <w:t xml:space="preserve">In </w:t>
      </w:r>
      <w:r w:rsidR="004169D5">
        <w:rPr>
          <w:sz w:val="26"/>
        </w:rPr>
        <w:t xml:space="preserve">the Recommended </w:t>
      </w:r>
      <w:r>
        <w:rPr>
          <w:sz w:val="26"/>
        </w:rPr>
        <w:t>Decision, ALJ</w:t>
      </w:r>
      <w:r w:rsidR="00DE486D">
        <w:rPr>
          <w:sz w:val="26"/>
        </w:rPr>
        <w:t xml:space="preserve"> Weismandel</w:t>
      </w:r>
      <w:r w:rsidR="004169D5">
        <w:rPr>
          <w:sz w:val="26"/>
        </w:rPr>
        <w:t xml:space="preserve"> </w:t>
      </w:r>
      <w:r w:rsidR="00080BE7">
        <w:rPr>
          <w:sz w:val="26"/>
        </w:rPr>
        <w:t>reached</w:t>
      </w:r>
      <w:r>
        <w:rPr>
          <w:sz w:val="26"/>
        </w:rPr>
        <w:t xml:space="preserve"> </w:t>
      </w:r>
      <w:r w:rsidR="00DE486D">
        <w:rPr>
          <w:sz w:val="26"/>
        </w:rPr>
        <w:t>sixty-seven</w:t>
      </w:r>
      <w:r>
        <w:rPr>
          <w:sz w:val="26"/>
        </w:rPr>
        <w:t xml:space="preserve"> Findings of Fact, </w:t>
      </w:r>
      <w:r w:rsidR="00511418">
        <w:rPr>
          <w:sz w:val="26"/>
        </w:rPr>
        <w:t>R</w:t>
      </w:r>
      <w:r>
        <w:rPr>
          <w:sz w:val="26"/>
        </w:rPr>
        <w:t>.D. at </w:t>
      </w:r>
      <w:r w:rsidR="00DE486D">
        <w:rPr>
          <w:sz w:val="26"/>
        </w:rPr>
        <w:t>6-19</w:t>
      </w:r>
      <w:r>
        <w:rPr>
          <w:sz w:val="26"/>
        </w:rPr>
        <w:t xml:space="preserve">, and </w:t>
      </w:r>
      <w:r w:rsidR="00DE486D">
        <w:rPr>
          <w:sz w:val="26"/>
        </w:rPr>
        <w:t>nineteen</w:t>
      </w:r>
      <w:r w:rsidR="00511418">
        <w:rPr>
          <w:sz w:val="26"/>
        </w:rPr>
        <w:t xml:space="preserve"> Conclusions of Law, R</w:t>
      </w:r>
      <w:r>
        <w:rPr>
          <w:sz w:val="26"/>
        </w:rPr>
        <w:t xml:space="preserve">.D. at </w:t>
      </w:r>
      <w:r w:rsidR="00DE486D">
        <w:rPr>
          <w:sz w:val="26"/>
        </w:rPr>
        <w:t>50</w:t>
      </w:r>
      <w:r w:rsidR="00511418">
        <w:rPr>
          <w:sz w:val="26"/>
        </w:rPr>
        <w:t>-</w:t>
      </w:r>
      <w:r w:rsidR="00DE486D">
        <w:rPr>
          <w:sz w:val="26"/>
        </w:rPr>
        <w:t>52</w:t>
      </w:r>
      <w:r>
        <w:rPr>
          <w:sz w:val="26"/>
        </w:rPr>
        <w:t>.  We shall adopt and incorporate herein by reference the ALJ</w:t>
      </w:r>
      <w:r w:rsidR="00DE486D">
        <w:rPr>
          <w:sz w:val="26"/>
        </w:rPr>
        <w:t>’</w:t>
      </w:r>
      <w:r>
        <w:rPr>
          <w:sz w:val="26"/>
        </w:rPr>
        <w:t>s Findings of Fact and Conclusions of Law unless they are either expressly or by necessary implication overruled or modified by this Opinion and Order.</w:t>
      </w:r>
    </w:p>
    <w:p w:rsidR="003B03A6" w:rsidRDefault="003B03A6" w:rsidP="00BB4F94">
      <w:pPr>
        <w:tabs>
          <w:tab w:val="left" w:pos="-720"/>
        </w:tabs>
        <w:suppressAutoHyphens/>
        <w:spacing w:line="360" w:lineRule="auto"/>
        <w:rPr>
          <w:sz w:val="26"/>
        </w:rPr>
      </w:pPr>
    </w:p>
    <w:p w:rsidR="00611C49" w:rsidRDefault="00611C49" w:rsidP="00BB4F94">
      <w:pPr>
        <w:tabs>
          <w:tab w:val="left" w:pos="-720"/>
        </w:tabs>
        <w:suppressAutoHyphens/>
        <w:spacing w:line="360" w:lineRule="auto"/>
        <w:rPr>
          <w:b/>
          <w:sz w:val="26"/>
        </w:rPr>
      </w:pPr>
      <w:r>
        <w:rPr>
          <w:b/>
          <w:sz w:val="26"/>
        </w:rPr>
        <w:t>Legal Standards</w:t>
      </w:r>
      <w:r w:rsidR="006F4DB9">
        <w:rPr>
          <w:rStyle w:val="FootnoteReference"/>
          <w:b/>
        </w:rPr>
        <w:footnoteReference w:id="4"/>
      </w:r>
    </w:p>
    <w:p w:rsidR="00611C49" w:rsidRPr="00611C49" w:rsidRDefault="00611C49" w:rsidP="00BB4F94">
      <w:pPr>
        <w:tabs>
          <w:tab w:val="left" w:pos="-720"/>
        </w:tabs>
        <w:suppressAutoHyphens/>
        <w:spacing w:line="360" w:lineRule="auto"/>
        <w:rPr>
          <w:b/>
          <w:sz w:val="26"/>
        </w:rPr>
      </w:pPr>
    </w:p>
    <w:p w:rsidR="007C2DE4" w:rsidRDefault="003B03A6">
      <w:pPr>
        <w:spacing w:line="360" w:lineRule="auto"/>
        <w:ind w:firstLine="1440"/>
        <w:rPr>
          <w:sz w:val="26"/>
          <w:szCs w:val="26"/>
        </w:rPr>
      </w:pPr>
      <w:r w:rsidRPr="00F41372">
        <w:rPr>
          <w:sz w:val="26"/>
          <w:szCs w:val="26"/>
        </w:rPr>
        <w:t>Section 332(a) of the Public Utility Code</w:t>
      </w:r>
      <w:r>
        <w:rPr>
          <w:sz w:val="26"/>
          <w:szCs w:val="26"/>
        </w:rPr>
        <w:t xml:space="preserve"> (Code)</w:t>
      </w:r>
      <w:r w:rsidRPr="00F41372">
        <w:rPr>
          <w:sz w:val="26"/>
          <w:szCs w:val="26"/>
        </w:rPr>
        <w:t>, 66 Pa. C.S. §</w:t>
      </w:r>
      <w:r>
        <w:rPr>
          <w:sz w:val="26"/>
          <w:szCs w:val="26"/>
        </w:rPr>
        <w:t xml:space="preserve"> </w:t>
      </w:r>
      <w:r w:rsidRPr="00F41372">
        <w:rPr>
          <w:sz w:val="26"/>
          <w:szCs w:val="26"/>
        </w:rPr>
        <w:t>332(a), provides that the party seeking relief from the Commiss</w:t>
      </w:r>
      <w:r>
        <w:rPr>
          <w:sz w:val="26"/>
          <w:szCs w:val="26"/>
        </w:rPr>
        <w:t xml:space="preserve">ion has the “burden of proof.”  </w:t>
      </w:r>
      <w:r w:rsidRPr="00F41372">
        <w:rPr>
          <w:sz w:val="26"/>
          <w:szCs w:val="26"/>
        </w:rPr>
        <w:t xml:space="preserve">“Burden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F41372">
        <w:rPr>
          <w:i/>
          <w:sz w:val="26"/>
          <w:szCs w:val="26"/>
        </w:rPr>
        <w:t>Se-Ling Hosiery v. Margulies</w:t>
      </w:r>
      <w:r w:rsidRPr="00F41372">
        <w:rPr>
          <w:sz w:val="26"/>
          <w:szCs w:val="26"/>
        </w:rPr>
        <w:t xml:space="preserve">, 364 Pa. 54, 70 A.2d 854 (1950).  In other words, “preponderance” is not dependent on the number of witnesses testifying on either side but rather on the credibility of the testimony in the light of all the evidence in a case.  </w:t>
      </w:r>
      <w:r w:rsidRPr="00F41372">
        <w:rPr>
          <w:i/>
          <w:sz w:val="26"/>
          <w:szCs w:val="26"/>
        </w:rPr>
        <w:t>Burch v. Reading Co.</w:t>
      </w:r>
      <w:r w:rsidRPr="00F41372">
        <w:rPr>
          <w:sz w:val="26"/>
          <w:szCs w:val="26"/>
        </w:rPr>
        <w:t>, 240 F.2d 574 (3</w:t>
      </w:r>
      <w:r w:rsidR="00B256DE">
        <w:rPr>
          <w:sz w:val="26"/>
          <w:szCs w:val="26"/>
        </w:rPr>
        <w:t>r</w:t>
      </w:r>
      <w:r w:rsidRPr="00F41372">
        <w:rPr>
          <w:sz w:val="26"/>
          <w:szCs w:val="26"/>
        </w:rPr>
        <w:t xml:space="preserve">d Cir. 1957) </w:t>
      </w:r>
      <w:r w:rsidRPr="00006163">
        <w:rPr>
          <w:i/>
          <w:sz w:val="26"/>
          <w:szCs w:val="26"/>
        </w:rPr>
        <w:t>cert. denied</w:t>
      </w:r>
      <w:r w:rsidRPr="00F41372">
        <w:rPr>
          <w:sz w:val="26"/>
          <w:szCs w:val="26"/>
        </w:rPr>
        <w:t>, 353 U.S. 965 (1957).</w:t>
      </w:r>
    </w:p>
    <w:p w:rsidR="00487688" w:rsidRDefault="00487688" w:rsidP="00BB4F94">
      <w:pPr>
        <w:spacing w:line="360" w:lineRule="auto"/>
        <w:rPr>
          <w:sz w:val="26"/>
          <w:szCs w:val="26"/>
        </w:rPr>
      </w:pPr>
    </w:p>
    <w:p w:rsidR="007C2DE4" w:rsidRDefault="00B44516">
      <w:pPr>
        <w:spacing w:line="360" w:lineRule="auto"/>
        <w:ind w:firstLine="1440"/>
        <w:rPr>
          <w:sz w:val="26"/>
          <w:szCs w:val="26"/>
        </w:rPr>
      </w:pPr>
      <w:r>
        <w:rPr>
          <w:sz w:val="26"/>
          <w:szCs w:val="26"/>
        </w:rPr>
        <w:t>It is als</w:t>
      </w:r>
      <w:r w:rsidR="00E97E10">
        <w:rPr>
          <w:sz w:val="26"/>
          <w:szCs w:val="26"/>
        </w:rPr>
        <w:t>o well established that</w:t>
      </w:r>
      <w:r w:rsidR="00611C49">
        <w:rPr>
          <w:sz w:val="26"/>
          <w:szCs w:val="26"/>
        </w:rPr>
        <w:t>,</w:t>
      </w:r>
      <w:r w:rsidR="00E97E10">
        <w:rPr>
          <w:sz w:val="26"/>
          <w:szCs w:val="26"/>
        </w:rPr>
        <w:t xml:space="preserve"> when the proponent of a rule or order </w:t>
      </w:r>
      <w:r>
        <w:rPr>
          <w:sz w:val="26"/>
          <w:szCs w:val="26"/>
        </w:rPr>
        <w:t xml:space="preserve">establishes a </w:t>
      </w:r>
      <w:r w:rsidRPr="00B44516">
        <w:rPr>
          <w:i/>
          <w:sz w:val="26"/>
          <w:szCs w:val="26"/>
        </w:rPr>
        <w:t>prima facie</w:t>
      </w:r>
      <w:r>
        <w:rPr>
          <w:sz w:val="26"/>
          <w:szCs w:val="26"/>
        </w:rPr>
        <w:t xml:space="preserve"> case in support of </w:t>
      </w:r>
      <w:r w:rsidR="00611C49">
        <w:rPr>
          <w:sz w:val="26"/>
          <w:szCs w:val="26"/>
        </w:rPr>
        <w:t>its</w:t>
      </w:r>
      <w:r w:rsidR="00E97E10">
        <w:rPr>
          <w:sz w:val="26"/>
          <w:szCs w:val="26"/>
        </w:rPr>
        <w:t xml:space="preserve"> requested relief</w:t>
      </w:r>
      <w:r>
        <w:rPr>
          <w:sz w:val="26"/>
          <w:szCs w:val="26"/>
        </w:rPr>
        <w:t xml:space="preserve">, the burden of going forward then shifts to the </w:t>
      </w:r>
      <w:r w:rsidR="00E97E10">
        <w:rPr>
          <w:sz w:val="26"/>
          <w:szCs w:val="26"/>
        </w:rPr>
        <w:t xml:space="preserve">other party </w:t>
      </w:r>
      <w:r>
        <w:rPr>
          <w:sz w:val="26"/>
          <w:szCs w:val="26"/>
        </w:rPr>
        <w:t xml:space="preserve">to rebut the evidence produced by the </w:t>
      </w:r>
      <w:r w:rsidR="002B61D4">
        <w:rPr>
          <w:sz w:val="26"/>
          <w:szCs w:val="26"/>
        </w:rPr>
        <w:t>proponent</w:t>
      </w:r>
      <w:r>
        <w:rPr>
          <w:sz w:val="26"/>
          <w:szCs w:val="26"/>
        </w:rPr>
        <w:t xml:space="preserve">.  </w:t>
      </w:r>
      <w:r w:rsidR="00E32452">
        <w:rPr>
          <w:sz w:val="26"/>
          <w:szCs w:val="26"/>
        </w:rPr>
        <w:t xml:space="preserve">However, the burden of proof remains with the </w:t>
      </w:r>
      <w:r w:rsidR="002B61D4">
        <w:rPr>
          <w:sz w:val="26"/>
          <w:szCs w:val="26"/>
        </w:rPr>
        <w:t>proponent</w:t>
      </w:r>
      <w:r w:rsidR="00E32452">
        <w:rPr>
          <w:sz w:val="26"/>
          <w:szCs w:val="26"/>
        </w:rPr>
        <w:t xml:space="preserve">.  </w:t>
      </w:r>
      <w:r w:rsidRPr="00E32452">
        <w:rPr>
          <w:i/>
          <w:sz w:val="26"/>
          <w:szCs w:val="26"/>
        </w:rPr>
        <w:t>Morrissey v. Pennsylvania Department of Highways</w:t>
      </w:r>
      <w:r>
        <w:rPr>
          <w:sz w:val="26"/>
          <w:szCs w:val="26"/>
        </w:rPr>
        <w:t>, 424 Pa. 87, 225 A.2d 895 (1967)</w:t>
      </w:r>
      <w:r w:rsidR="004D1BE6">
        <w:rPr>
          <w:sz w:val="26"/>
          <w:szCs w:val="26"/>
        </w:rPr>
        <w:t xml:space="preserve">; </w:t>
      </w:r>
      <w:r w:rsidR="004D1BE6" w:rsidRPr="00E32452">
        <w:rPr>
          <w:i/>
          <w:sz w:val="26"/>
          <w:szCs w:val="26"/>
        </w:rPr>
        <w:t>Burleson v. Pennsylvania Public Utility Commission</w:t>
      </w:r>
      <w:r w:rsidR="004D1BE6">
        <w:rPr>
          <w:sz w:val="26"/>
          <w:szCs w:val="26"/>
        </w:rPr>
        <w:t xml:space="preserve">, 443 A.2d 1373 (Pa. Cmwlth. 1982), </w:t>
      </w:r>
      <w:r w:rsidR="004D1BE6" w:rsidRPr="004D1BE6">
        <w:rPr>
          <w:i/>
          <w:sz w:val="26"/>
          <w:szCs w:val="26"/>
        </w:rPr>
        <w:t>aff’d</w:t>
      </w:r>
      <w:r w:rsidR="004D1BE6">
        <w:rPr>
          <w:sz w:val="26"/>
          <w:szCs w:val="26"/>
        </w:rPr>
        <w:t xml:space="preserve"> 501 Pa. 443, 461 A.2d 1234 (1983).</w:t>
      </w:r>
      <w:r w:rsidR="002B61D4">
        <w:rPr>
          <w:sz w:val="26"/>
          <w:szCs w:val="26"/>
        </w:rPr>
        <w:t xml:space="preserve">  </w:t>
      </w:r>
      <w:r w:rsidR="003B03A6" w:rsidRPr="00F41372">
        <w:rPr>
          <w:sz w:val="26"/>
          <w:szCs w:val="26"/>
        </w:rPr>
        <w:t>Under these principles</w:t>
      </w:r>
      <w:r w:rsidR="00D93A22">
        <w:rPr>
          <w:sz w:val="26"/>
          <w:szCs w:val="26"/>
        </w:rPr>
        <w:t>,</w:t>
      </w:r>
      <w:r w:rsidR="003B03A6" w:rsidRPr="00F41372">
        <w:rPr>
          <w:sz w:val="26"/>
          <w:szCs w:val="26"/>
        </w:rPr>
        <w:t xml:space="preserve"> </w:t>
      </w:r>
      <w:r w:rsidR="004C69A0">
        <w:rPr>
          <w:sz w:val="26"/>
          <w:szCs w:val="26"/>
        </w:rPr>
        <w:t>PPL</w:t>
      </w:r>
      <w:r w:rsidR="002B61D4">
        <w:rPr>
          <w:sz w:val="26"/>
          <w:szCs w:val="26"/>
        </w:rPr>
        <w:t>,</w:t>
      </w:r>
      <w:r w:rsidR="003B03A6" w:rsidRPr="00F41372">
        <w:rPr>
          <w:sz w:val="26"/>
          <w:szCs w:val="26"/>
        </w:rPr>
        <w:t xml:space="preserve"> as the </w:t>
      </w:r>
      <w:r w:rsidR="004C69A0">
        <w:rPr>
          <w:sz w:val="26"/>
          <w:szCs w:val="26"/>
        </w:rPr>
        <w:t>Party seeking affirmative action on its Siting Application, the Zoning Petition and the Eminent Domain Application</w:t>
      </w:r>
      <w:r w:rsidR="003B03A6" w:rsidRPr="00F41372">
        <w:rPr>
          <w:sz w:val="26"/>
          <w:szCs w:val="26"/>
        </w:rPr>
        <w:t xml:space="preserve">, has the burden of proof.  </w:t>
      </w:r>
    </w:p>
    <w:p w:rsidR="002B61D4" w:rsidRDefault="002B61D4" w:rsidP="00BB4F94">
      <w:pPr>
        <w:spacing w:line="360" w:lineRule="auto"/>
        <w:rPr>
          <w:sz w:val="26"/>
          <w:szCs w:val="26"/>
        </w:rPr>
      </w:pPr>
    </w:p>
    <w:p w:rsidR="00F303DA" w:rsidRDefault="004169D5" w:rsidP="00BB4F94">
      <w:pPr>
        <w:pStyle w:val="BodyText2"/>
        <w:spacing w:after="0" w:line="360" w:lineRule="auto"/>
        <w:ind w:firstLine="1440"/>
        <w:rPr>
          <w:sz w:val="26"/>
        </w:rPr>
      </w:pPr>
      <w:r w:rsidRPr="002B61D4">
        <w:rPr>
          <w:sz w:val="26"/>
        </w:rPr>
        <w:t xml:space="preserve">The Commission’s regulations applicable to the siting and construction of high voltage </w:t>
      </w:r>
      <w:r w:rsidR="000A1593">
        <w:rPr>
          <w:sz w:val="26"/>
        </w:rPr>
        <w:t xml:space="preserve">(HV) </w:t>
      </w:r>
      <w:r w:rsidRPr="002B61D4">
        <w:rPr>
          <w:sz w:val="26"/>
        </w:rPr>
        <w:t>transmission lines are found at 52</w:t>
      </w:r>
      <w:r w:rsidR="00611C49">
        <w:rPr>
          <w:sz w:val="26"/>
        </w:rPr>
        <w:t xml:space="preserve"> </w:t>
      </w:r>
      <w:r w:rsidRPr="002B61D4">
        <w:rPr>
          <w:sz w:val="26"/>
        </w:rPr>
        <w:t xml:space="preserve">Pa. Code §§ 57.71-57.77 (siting regulations).  These regulations provide that a public utility is required to obtain </w:t>
      </w:r>
      <w:r w:rsidRPr="002B61D4">
        <w:rPr>
          <w:sz w:val="26"/>
        </w:rPr>
        <w:lastRenderedPageBreak/>
        <w:t>Commission approval to locate and construct a</w:t>
      </w:r>
      <w:r w:rsidR="00B256DE">
        <w:rPr>
          <w:sz w:val="26"/>
        </w:rPr>
        <w:t>n</w:t>
      </w:r>
      <w:r w:rsidRPr="002B61D4">
        <w:rPr>
          <w:sz w:val="26"/>
        </w:rPr>
        <w:t xml:space="preserve"> </w:t>
      </w:r>
      <w:r w:rsidR="00D8123C">
        <w:rPr>
          <w:sz w:val="26"/>
        </w:rPr>
        <w:t>HV</w:t>
      </w:r>
      <w:r w:rsidRPr="002B61D4">
        <w:rPr>
          <w:sz w:val="26"/>
        </w:rPr>
        <w:t xml:space="preserve"> transmission line.  52 Pa.</w:t>
      </w:r>
      <w:r w:rsidR="0003479F">
        <w:rPr>
          <w:sz w:val="26"/>
        </w:rPr>
        <w:t xml:space="preserve"> </w:t>
      </w:r>
      <w:r w:rsidR="00D8123C">
        <w:rPr>
          <w:sz w:val="26"/>
        </w:rPr>
        <w:t>Code § </w:t>
      </w:r>
      <w:r w:rsidRPr="002B61D4">
        <w:rPr>
          <w:sz w:val="26"/>
        </w:rPr>
        <w:t xml:space="preserve">57.71.  The siting regulations set forth </w:t>
      </w:r>
      <w:r w:rsidR="00C837CC">
        <w:rPr>
          <w:sz w:val="26"/>
        </w:rPr>
        <w:t xml:space="preserve">the elements that </w:t>
      </w:r>
      <w:r w:rsidRPr="002B61D4">
        <w:rPr>
          <w:sz w:val="26"/>
        </w:rPr>
        <w:t>the Commission must consider when deciding to approve or deny an application for the siting of a high voltage transmission line.  52 Pa.</w:t>
      </w:r>
      <w:r w:rsidR="0003479F">
        <w:rPr>
          <w:sz w:val="26"/>
        </w:rPr>
        <w:t xml:space="preserve"> </w:t>
      </w:r>
      <w:r w:rsidRPr="002B61D4">
        <w:rPr>
          <w:sz w:val="26"/>
        </w:rPr>
        <w:t>Code § 57.76.  The Commission’s siting regulations, and in particular 52 Pa.</w:t>
      </w:r>
      <w:r w:rsidR="0003479F">
        <w:rPr>
          <w:sz w:val="26"/>
        </w:rPr>
        <w:t xml:space="preserve"> </w:t>
      </w:r>
      <w:r w:rsidRPr="002B61D4">
        <w:rPr>
          <w:sz w:val="26"/>
        </w:rPr>
        <w:t xml:space="preserve">Code § 57.76, were promulgated, </w:t>
      </w:r>
      <w:r w:rsidR="001C3942" w:rsidRPr="001C3942">
        <w:rPr>
          <w:i/>
          <w:sz w:val="26"/>
        </w:rPr>
        <w:t>inter alia</w:t>
      </w:r>
      <w:r w:rsidRPr="002B61D4">
        <w:rPr>
          <w:sz w:val="26"/>
        </w:rPr>
        <w:t xml:space="preserve">, to meet the requirement for a consideration of environmental impacts mandated by Article I, Section 27 of the </w:t>
      </w:r>
    </w:p>
    <w:p w:rsidR="004169D5" w:rsidRPr="002B61D4" w:rsidRDefault="004169D5" w:rsidP="00BB4F94">
      <w:pPr>
        <w:pStyle w:val="BodyText2"/>
        <w:spacing w:after="0" w:line="360" w:lineRule="auto"/>
        <w:rPr>
          <w:sz w:val="26"/>
        </w:rPr>
      </w:pPr>
      <w:r w:rsidRPr="002B61D4">
        <w:rPr>
          <w:sz w:val="26"/>
        </w:rPr>
        <w:t>Pennsylvania Constitution,</w:t>
      </w:r>
      <w:r w:rsidRPr="002B61D4">
        <w:rPr>
          <w:rStyle w:val="FootnoteReference"/>
        </w:rPr>
        <w:footnoteReference w:id="5"/>
      </w:r>
      <w:r w:rsidRPr="002B61D4">
        <w:rPr>
          <w:sz w:val="26"/>
        </w:rPr>
        <w:t xml:space="preserve"> and to apply the three-part test enunciated in </w:t>
      </w:r>
      <w:r w:rsidRPr="002B61D4">
        <w:rPr>
          <w:i/>
          <w:sz w:val="26"/>
        </w:rPr>
        <w:t>Payne v</w:t>
      </w:r>
      <w:r w:rsidR="00452AE5">
        <w:rPr>
          <w:i/>
          <w:sz w:val="26"/>
        </w:rPr>
        <w:t xml:space="preserve">. </w:t>
      </w:r>
      <w:r w:rsidRPr="002B61D4">
        <w:rPr>
          <w:i/>
          <w:sz w:val="26"/>
        </w:rPr>
        <w:t>Kassab</w:t>
      </w:r>
      <w:r w:rsidRPr="002B61D4">
        <w:rPr>
          <w:sz w:val="26"/>
        </w:rPr>
        <w:t>, 312 A.2d 86 (</w:t>
      </w:r>
      <w:r w:rsidR="002770D8">
        <w:rPr>
          <w:sz w:val="26"/>
        </w:rPr>
        <w:t>Pa. Cm</w:t>
      </w:r>
      <w:r w:rsidR="00A47535">
        <w:rPr>
          <w:sz w:val="26"/>
        </w:rPr>
        <w:t>w</w:t>
      </w:r>
      <w:r w:rsidR="002770D8">
        <w:rPr>
          <w:sz w:val="26"/>
        </w:rPr>
        <w:t xml:space="preserve">lth. </w:t>
      </w:r>
      <w:r w:rsidRPr="002B61D4">
        <w:rPr>
          <w:sz w:val="26"/>
        </w:rPr>
        <w:t>1973),</w:t>
      </w:r>
      <w:r w:rsidRPr="002B61D4">
        <w:rPr>
          <w:rStyle w:val="FootnoteReference"/>
        </w:rPr>
        <w:footnoteReference w:id="6"/>
      </w:r>
      <w:r w:rsidRPr="002B61D4">
        <w:rPr>
          <w:sz w:val="26"/>
        </w:rPr>
        <w:t xml:space="preserve"> which implements the Constitutional requirements.  </w:t>
      </w:r>
      <w:r w:rsidRPr="002B61D4">
        <w:rPr>
          <w:i/>
          <w:sz w:val="26"/>
        </w:rPr>
        <w:t>Energy Conservation Council of Pennsylvania v. P</w:t>
      </w:r>
      <w:r w:rsidR="00F303DA">
        <w:rPr>
          <w:i/>
          <w:sz w:val="26"/>
        </w:rPr>
        <w:t>ennsylvania Public Utility Commission</w:t>
      </w:r>
      <w:r w:rsidRPr="002B61D4">
        <w:rPr>
          <w:sz w:val="26"/>
        </w:rPr>
        <w:t xml:space="preserve">, 995 A.2d 465, 477-78 (Pa. Cmwlth. 2010); </w:t>
      </w:r>
      <w:r w:rsidR="001C3942" w:rsidRPr="001C3942">
        <w:rPr>
          <w:i/>
          <w:sz w:val="26"/>
        </w:rPr>
        <w:t>see also</w:t>
      </w:r>
      <w:r w:rsidRPr="002B61D4">
        <w:rPr>
          <w:sz w:val="26"/>
        </w:rPr>
        <w:t xml:space="preserve">, </w:t>
      </w:r>
      <w:r w:rsidRPr="002B61D4">
        <w:rPr>
          <w:i/>
          <w:sz w:val="26"/>
        </w:rPr>
        <w:t>Re: Proposed Electric Regulation</w:t>
      </w:r>
      <w:r w:rsidRPr="002B61D4">
        <w:rPr>
          <w:sz w:val="26"/>
        </w:rPr>
        <w:t>, 1976 Pa. PUC LEXIS 114 at *6, 49 Pa. PUC 709 at 712 (March 2, 1976).  The Commission uses this test to determine whether a proposed transmission line having environmental impacts should be approved.</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Section 57.76 of the siting regulations provides, in pertinent part, as follows:</w:t>
      </w:r>
    </w:p>
    <w:p w:rsidR="004169D5" w:rsidRPr="002B61D4" w:rsidRDefault="004169D5" w:rsidP="00BB4F94">
      <w:pPr>
        <w:pStyle w:val="IndentSingle"/>
        <w:spacing w:after="0"/>
        <w:jc w:val="left"/>
        <w:rPr>
          <w:sz w:val="26"/>
        </w:rPr>
      </w:pPr>
      <w:r w:rsidRPr="002B61D4">
        <w:rPr>
          <w:sz w:val="26"/>
        </w:rPr>
        <w:lastRenderedPageBreak/>
        <w:t>The Commission will not grant the application, either as proposed or as modified, unless it finds and determines as to the proposed HV line:</w:t>
      </w:r>
    </w:p>
    <w:p w:rsidR="004169D5" w:rsidRPr="002B61D4" w:rsidRDefault="004169D5" w:rsidP="00C0227F">
      <w:pPr>
        <w:pStyle w:val="IndentDouble"/>
        <w:spacing w:after="0"/>
        <w:ind w:left="1440" w:right="1440" w:firstLine="720"/>
        <w:jc w:val="left"/>
        <w:rPr>
          <w:sz w:val="26"/>
        </w:rPr>
      </w:pPr>
      <w:r w:rsidRPr="002B61D4">
        <w:rPr>
          <w:sz w:val="26"/>
        </w:rPr>
        <w:t>(1)</w:t>
      </w:r>
      <w:r w:rsidRPr="002B61D4">
        <w:rPr>
          <w:sz w:val="26"/>
        </w:rPr>
        <w:tab/>
        <w:t>That there is a need for it.</w:t>
      </w:r>
    </w:p>
    <w:p w:rsidR="004169D5" w:rsidRPr="002B61D4" w:rsidRDefault="004169D5" w:rsidP="00C0227F">
      <w:pPr>
        <w:pStyle w:val="IndentDouble"/>
        <w:spacing w:after="0"/>
        <w:ind w:left="1440" w:right="1440" w:firstLine="720"/>
        <w:jc w:val="left"/>
        <w:rPr>
          <w:sz w:val="26"/>
        </w:rPr>
      </w:pPr>
      <w:r w:rsidRPr="002B61D4">
        <w:rPr>
          <w:sz w:val="26"/>
        </w:rPr>
        <w:t>(2)</w:t>
      </w:r>
      <w:r w:rsidRPr="002B61D4">
        <w:rPr>
          <w:sz w:val="26"/>
        </w:rPr>
        <w:tab/>
        <w:t>That it will not create an unreasonable risk of danger to the health and safety of the public.</w:t>
      </w:r>
    </w:p>
    <w:p w:rsidR="004169D5" w:rsidRPr="002B61D4" w:rsidRDefault="004169D5" w:rsidP="00C0227F">
      <w:pPr>
        <w:pStyle w:val="IndentDouble"/>
        <w:spacing w:after="0"/>
        <w:ind w:left="1440" w:right="1440" w:firstLine="720"/>
        <w:jc w:val="left"/>
        <w:rPr>
          <w:sz w:val="26"/>
        </w:rPr>
      </w:pPr>
      <w:r w:rsidRPr="002B61D4">
        <w:rPr>
          <w:sz w:val="26"/>
        </w:rPr>
        <w:t>(3)</w:t>
      </w:r>
      <w:r w:rsidRPr="002B61D4">
        <w:rPr>
          <w:sz w:val="26"/>
        </w:rPr>
        <w:tab/>
        <w:t>Th</w:t>
      </w:r>
      <w:r w:rsidR="00D751AA">
        <w:rPr>
          <w:sz w:val="26"/>
        </w:rPr>
        <w:t xml:space="preserve">at it is in compliance with </w:t>
      </w:r>
      <w:r w:rsidRPr="002B61D4">
        <w:rPr>
          <w:sz w:val="26"/>
        </w:rPr>
        <w:t>applicable statutes and regulations providing for the protection of the natural resources of this Commonwealth.</w:t>
      </w:r>
    </w:p>
    <w:p w:rsidR="004169D5" w:rsidRDefault="004169D5" w:rsidP="00C0227F">
      <w:pPr>
        <w:pStyle w:val="IndentDouble"/>
        <w:spacing w:after="0"/>
        <w:ind w:left="1440" w:right="1440" w:firstLine="720"/>
        <w:jc w:val="left"/>
        <w:rPr>
          <w:sz w:val="26"/>
        </w:rPr>
      </w:pPr>
      <w:r w:rsidRPr="002B61D4">
        <w:rPr>
          <w:sz w:val="26"/>
        </w:rPr>
        <w:t>(4)</w:t>
      </w:r>
      <w:r w:rsidRPr="002B61D4">
        <w:rPr>
          <w:sz w:val="26"/>
        </w:rPr>
        <w:tab/>
        <w:t>That it will have minimum adverse environmental impact, considering the electric power needs of the public, the state of available technology and the available alternatives.</w:t>
      </w:r>
    </w:p>
    <w:p w:rsidR="00F05C39" w:rsidRPr="00F05C39" w:rsidRDefault="00F05C39" w:rsidP="00F05C39">
      <w:pPr>
        <w:pStyle w:val="BodyText"/>
      </w:pPr>
    </w:p>
    <w:p w:rsidR="004169D5" w:rsidRPr="002B61D4" w:rsidRDefault="004169D5" w:rsidP="00F05C39">
      <w:pPr>
        <w:pStyle w:val="BodyText2"/>
        <w:spacing w:after="0" w:line="240" w:lineRule="auto"/>
        <w:ind w:right="1440"/>
        <w:rPr>
          <w:sz w:val="26"/>
        </w:rPr>
      </w:pPr>
      <w:r w:rsidRPr="002B61D4">
        <w:rPr>
          <w:sz w:val="26"/>
        </w:rPr>
        <w:t>52 Pa.</w:t>
      </w:r>
      <w:r w:rsidR="0003479F">
        <w:rPr>
          <w:sz w:val="26"/>
        </w:rPr>
        <w:t xml:space="preserve"> </w:t>
      </w:r>
      <w:r w:rsidRPr="002B61D4">
        <w:rPr>
          <w:sz w:val="26"/>
        </w:rPr>
        <w:t>Code § 57.76(a).</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 xml:space="preserve">The Commonwealth Court has determined that a transmission line should not be approved unless the electric utility </w:t>
      </w:r>
      <w:r w:rsidR="00F05C39">
        <w:rPr>
          <w:sz w:val="26"/>
        </w:rPr>
        <w:t xml:space="preserve">proposing the line </w:t>
      </w:r>
      <w:r w:rsidRPr="002B61D4">
        <w:rPr>
          <w:sz w:val="26"/>
        </w:rPr>
        <w:t xml:space="preserve">demonstrates that the line is “necessary or proper for the accommodation, convenience and safety of its patrons, employees and the public.”  </w:t>
      </w:r>
      <w:r w:rsidRPr="002B61D4">
        <w:rPr>
          <w:i/>
          <w:sz w:val="26"/>
        </w:rPr>
        <w:t>Pa. Power &amp; Light Co. v. P</w:t>
      </w:r>
      <w:r w:rsidR="00F303DA">
        <w:rPr>
          <w:i/>
          <w:sz w:val="26"/>
        </w:rPr>
        <w:t>ennsylvania</w:t>
      </w:r>
      <w:r w:rsidRPr="002B61D4">
        <w:rPr>
          <w:i/>
          <w:sz w:val="26"/>
        </w:rPr>
        <w:t xml:space="preserve"> Public Utility Comm</w:t>
      </w:r>
      <w:r w:rsidR="00F303DA">
        <w:rPr>
          <w:i/>
          <w:sz w:val="26"/>
        </w:rPr>
        <w:t>issio</w:t>
      </w:r>
      <w:r w:rsidRPr="002B61D4">
        <w:rPr>
          <w:i/>
          <w:sz w:val="26"/>
        </w:rPr>
        <w:t>n</w:t>
      </w:r>
      <w:r w:rsidRPr="002B61D4">
        <w:rPr>
          <w:sz w:val="26"/>
        </w:rPr>
        <w:t>, 696 A.2d 248, 250 (Pa.</w:t>
      </w:r>
      <w:r w:rsidR="00F05C39">
        <w:rPr>
          <w:sz w:val="26"/>
        </w:rPr>
        <w:t xml:space="preserve"> </w:t>
      </w:r>
      <w:r w:rsidRPr="002B61D4">
        <w:rPr>
          <w:sz w:val="26"/>
        </w:rPr>
        <w:t>Cmwlth. 1997)</w:t>
      </w:r>
      <w:r w:rsidR="00DE2507">
        <w:rPr>
          <w:sz w:val="26"/>
        </w:rPr>
        <w:t>,</w:t>
      </w:r>
      <w:r w:rsidRPr="002B61D4">
        <w:rPr>
          <w:sz w:val="26"/>
        </w:rPr>
        <w:t xml:space="preserve"> </w:t>
      </w:r>
      <w:r w:rsidRPr="00FD4F85">
        <w:rPr>
          <w:sz w:val="26"/>
        </w:rPr>
        <w:t>quoting</w:t>
      </w:r>
      <w:r w:rsidRPr="002B61D4">
        <w:rPr>
          <w:sz w:val="26"/>
        </w:rPr>
        <w:t xml:space="preserve"> 66 Pa.</w:t>
      </w:r>
      <w:r w:rsidR="0003479F">
        <w:rPr>
          <w:sz w:val="26"/>
        </w:rPr>
        <w:t xml:space="preserve"> </w:t>
      </w:r>
      <w:r w:rsidRPr="002B61D4">
        <w:rPr>
          <w:sz w:val="26"/>
        </w:rPr>
        <w:t>C.S.</w:t>
      </w:r>
      <w:r w:rsidR="00F303DA">
        <w:rPr>
          <w:sz w:val="26"/>
        </w:rPr>
        <w:t xml:space="preserve"> §</w:t>
      </w:r>
      <w:r w:rsidRPr="002B61D4">
        <w:rPr>
          <w:sz w:val="26"/>
        </w:rPr>
        <w:t xml:space="preserve"> 1501.  In applying this standard, the Commonwealth Court held that the Commission should consider the “electric power needs of the public, the state of the available technology and the available alternatives.”  </w:t>
      </w:r>
      <w:r w:rsidRPr="009F465A">
        <w:rPr>
          <w:i/>
          <w:sz w:val="26"/>
        </w:rPr>
        <w:t>Id.</w:t>
      </w:r>
      <w:r w:rsidR="00DE2507">
        <w:rPr>
          <w:sz w:val="26"/>
        </w:rPr>
        <w:t xml:space="preserve">, </w:t>
      </w:r>
      <w:r w:rsidRPr="00D751AA">
        <w:rPr>
          <w:sz w:val="26"/>
        </w:rPr>
        <w:t>quoting</w:t>
      </w:r>
      <w:r w:rsidRPr="002B61D4">
        <w:rPr>
          <w:sz w:val="26"/>
        </w:rPr>
        <w:t xml:space="preserve"> 52 Pa.</w:t>
      </w:r>
      <w:r w:rsidR="00F05C39">
        <w:rPr>
          <w:sz w:val="26"/>
        </w:rPr>
        <w:t xml:space="preserve"> </w:t>
      </w:r>
      <w:r w:rsidRPr="002B61D4">
        <w:rPr>
          <w:sz w:val="26"/>
        </w:rPr>
        <w:t>Code § 57.76.</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Regarding route selection issues, the Commonwealth Court has explained as follows:</w:t>
      </w:r>
    </w:p>
    <w:p w:rsidR="004169D5" w:rsidRDefault="004169D5" w:rsidP="00BB4F94">
      <w:pPr>
        <w:pStyle w:val="IndentSingle"/>
        <w:spacing w:after="0"/>
        <w:jc w:val="left"/>
        <w:rPr>
          <w:sz w:val="26"/>
        </w:rPr>
      </w:pPr>
      <w:r w:rsidRPr="002B61D4">
        <w:rPr>
          <w:sz w:val="26"/>
        </w:rPr>
        <w:t xml:space="preserve">The applicable legal standards for review of the selection of a route for utility lines are whether the powers conferred upon the public utility have been wantonly, capriciously or arbitrarily exercised.  </w:t>
      </w:r>
      <w:r w:rsidRPr="002B61D4">
        <w:rPr>
          <w:i/>
          <w:sz w:val="26"/>
        </w:rPr>
        <w:t>West Penn Power Co. v. Pennsylvania Public Utility Commission</w:t>
      </w:r>
      <w:r w:rsidRPr="002B61D4">
        <w:rPr>
          <w:sz w:val="26"/>
        </w:rPr>
        <w:t>, 184 A.2d 143 (1962).  The degree of inconvenience to a landowner, therefore, would not constitute grounds for withholding the exercise of the power to condemn the easement, s</w:t>
      </w:r>
      <w:r w:rsidRPr="002B61D4">
        <w:rPr>
          <w:i/>
          <w:sz w:val="26"/>
        </w:rPr>
        <w:t>ee Stone v. Pennsylvania Public Utility Commission</w:t>
      </w:r>
      <w:r w:rsidRPr="002B61D4">
        <w:rPr>
          <w:sz w:val="26"/>
        </w:rPr>
        <w:t xml:space="preserve">, 162 A.2d 18 (1960), where the record </w:t>
      </w:r>
      <w:r w:rsidRPr="002B61D4">
        <w:rPr>
          <w:sz w:val="26"/>
        </w:rPr>
        <w:lastRenderedPageBreak/>
        <w:t>establishes that the utility’s route selection was reasonable considering all of the factors involved in the selection of the line.</w:t>
      </w:r>
    </w:p>
    <w:p w:rsidR="004169D5" w:rsidRPr="002B61D4" w:rsidRDefault="004169D5" w:rsidP="00BB4F94">
      <w:pPr>
        <w:pStyle w:val="BodyText2"/>
        <w:spacing w:after="0" w:line="360" w:lineRule="auto"/>
        <w:rPr>
          <w:sz w:val="26"/>
        </w:rPr>
      </w:pPr>
      <w:r w:rsidRPr="002B61D4">
        <w:rPr>
          <w:i/>
          <w:sz w:val="26"/>
        </w:rPr>
        <w:t>Paxtowne v. P</w:t>
      </w:r>
      <w:r w:rsidR="00D05DE9">
        <w:rPr>
          <w:i/>
          <w:sz w:val="26"/>
        </w:rPr>
        <w:t>ennsylvania</w:t>
      </w:r>
      <w:r w:rsidRPr="002B61D4">
        <w:rPr>
          <w:i/>
          <w:sz w:val="26"/>
        </w:rPr>
        <w:t xml:space="preserve"> Public Utility Comm</w:t>
      </w:r>
      <w:r w:rsidR="00D05DE9">
        <w:rPr>
          <w:i/>
          <w:sz w:val="26"/>
        </w:rPr>
        <w:t>ission</w:t>
      </w:r>
      <w:r w:rsidRPr="002B61D4">
        <w:rPr>
          <w:sz w:val="26"/>
        </w:rPr>
        <w:t>, 398 A.2d 254, 256 (</w:t>
      </w:r>
      <w:r w:rsidR="00234F92">
        <w:rPr>
          <w:sz w:val="26"/>
        </w:rPr>
        <w:t>Pa. Cmwlth. </w:t>
      </w:r>
      <w:r w:rsidRPr="002B61D4">
        <w:rPr>
          <w:sz w:val="26"/>
        </w:rPr>
        <w:t>1979).</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Similarly, the selection of a route for transmission lines was explained by the Superior Court as follows:</w:t>
      </w:r>
    </w:p>
    <w:p w:rsidR="004169D5" w:rsidRDefault="004169D5" w:rsidP="00BB4F94">
      <w:pPr>
        <w:pStyle w:val="IndentSingle"/>
        <w:spacing w:after="0"/>
        <w:jc w:val="left"/>
        <w:rPr>
          <w:sz w:val="26"/>
        </w:rPr>
      </w:pPr>
      <w:r w:rsidRPr="002B61D4">
        <w:rPr>
          <w:sz w:val="26"/>
        </w:rPr>
        <w:t xml:space="preserve">Appellant’s [affected landowner’s] first two contentions are sufficiently answered by our opinion in </w:t>
      </w:r>
      <w:r w:rsidRPr="002B61D4">
        <w:rPr>
          <w:i/>
          <w:sz w:val="26"/>
        </w:rPr>
        <w:t>Phillips v. Pa. P.U.C.,</w:t>
      </w:r>
      <w:r w:rsidRPr="002B61D4">
        <w:rPr>
          <w:sz w:val="26"/>
        </w:rPr>
        <w:t xml:space="preserve"> [124 A.2d 625 (Pa. Super. 1956)], wherein we restated the well-established proposition that the selection of routes for transmission lines is a matter for the utility in the first instance and, unless it is shown that it proposes to exercise the powers conferred upon it wantonly or capriciously, or that the rights of the landowner have been unreasonably disregarded, the Commission is not required to withhold its approval merely because another route might have been adopted.</w:t>
      </w:r>
    </w:p>
    <w:p w:rsidR="00F303DA" w:rsidRPr="00F303DA" w:rsidRDefault="00F303DA" w:rsidP="00BB4F94">
      <w:pPr>
        <w:pStyle w:val="BodyText"/>
      </w:pPr>
    </w:p>
    <w:p w:rsidR="004169D5" w:rsidRDefault="004169D5" w:rsidP="00BB4F94">
      <w:pPr>
        <w:pStyle w:val="BodyText2"/>
        <w:spacing w:after="0" w:line="360" w:lineRule="auto"/>
        <w:rPr>
          <w:sz w:val="26"/>
        </w:rPr>
      </w:pPr>
      <w:r w:rsidRPr="002B61D4">
        <w:rPr>
          <w:i/>
          <w:sz w:val="26"/>
        </w:rPr>
        <w:t>Laird v. P</w:t>
      </w:r>
      <w:r w:rsidR="00D05DE9">
        <w:rPr>
          <w:i/>
          <w:sz w:val="26"/>
        </w:rPr>
        <w:t>ennsylvania</w:t>
      </w:r>
      <w:r w:rsidRPr="002B61D4">
        <w:rPr>
          <w:i/>
          <w:sz w:val="26"/>
        </w:rPr>
        <w:t xml:space="preserve"> Public Utility Comm</w:t>
      </w:r>
      <w:r w:rsidR="00D05DE9">
        <w:rPr>
          <w:i/>
          <w:sz w:val="26"/>
        </w:rPr>
        <w:t>ission</w:t>
      </w:r>
      <w:r w:rsidRPr="002B61D4">
        <w:rPr>
          <w:sz w:val="26"/>
        </w:rPr>
        <w:t>, 133 A.2d 579, 581 (Pa. Super. 1957).</w:t>
      </w:r>
    </w:p>
    <w:p w:rsidR="008217CA" w:rsidRDefault="008217CA" w:rsidP="00BB4F94">
      <w:pPr>
        <w:pStyle w:val="BodyText2"/>
        <w:spacing w:after="0" w:line="360" w:lineRule="auto"/>
        <w:rPr>
          <w:sz w:val="26"/>
        </w:rPr>
      </w:pPr>
    </w:p>
    <w:p w:rsidR="008217CA" w:rsidRPr="008217CA" w:rsidRDefault="008217CA" w:rsidP="008217CA">
      <w:pPr>
        <w:pStyle w:val="BodyText2"/>
        <w:spacing w:after="0" w:line="360" w:lineRule="auto"/>
        <w:ind w:firstLine="1440"/>
        <w:rPr>
          <w:sz w:val="26"/>
          <w:szCs w:val="26"/>
        </w:rPr>
      </w:pPr>
      <w:r w:rsidRPr="008217CA">
        <w:rPr>
          <w:sz w:val="26"/>
          <w:szCs w:val="26"/>
        </w:rPr>
        <w:t>The Pennsylvania Supreme Court has long held that municipalities have no power to zone with respect to utility facilities.</w:t>
      </w:r>
      <w:r w:rsidRPr="008217CA">
        <w:rPr>
          <w:rStyle w:val="FootnoteReference"/>
        </w:rPr>
        <w:footnoteReference w:id="7"/>
      </w:r>
      <w:r w:rsidRPr="008217CA">
        <w:rPr>
          <w:sz w:val="26"/>
          <w:szCs w:val="26"/>
        </w:rPr>
        <w:t xml:space="preserve">  </w:t>
      </w:r>
      <w:r w:rsidRPr="008217CA">
        <w:rPr>
          <w:i/>
          <w:sz w:val="26"/>
          <w:szCs w:val="26"/>
        </w:rPr>
        <w:t xml:space="preserve">Duquesne Light Co. v. Upper St. Clair </w:t>
      </w:r>
      <w:r w:rsidR="00234F92">
        <w:rPr>
          <w:i/>
          <w:sz w:val="26"/>
          <w:szCs w:val="26"/>
        </w:rPr>
        <w:lastRenderedPageBreak/>
        <w:t>T</w:t>
      </w:r>
      <w:r w:rsidRPr="008217CA">
        <w:rPr>
          <w:i/>
          <w:sz w:val="26"/>
          <w:szCs w:val="26"/>
        </w:rPr>
        <w:t>wp.</w:t>
      </w:r>
      <w:r w:rsidRPr="008217CA">
        <w:rPr>
          <w:sz w:val="26"/>
          <w:szCs w:val="26"/>
        </w:rPr>
        <w:t xml:space="preserve">, 377 Pa. 323, 105 A.2d 287 (1954); </w:t>
      </w:r>
      <w:r w:rsidRPr="008217CA">
        <w:rPr>
          <w:i/>
          <w:sz w:val="26"/>
          <w:szCs w:val="26"/>
        </w:rPr>
        <w:t>Duquesne Light Co. v. Monroeville Borough</w:t>
      </w:r>
      <w:r w:rsidRPr="008217CA">
        <w:rPr>
          <w:sz w:val="26"/>
          <w:szCs w:val="26"/>
        </w:rPr>
        <w:t xml:space="preserve">, 449 Pa. 573, 580, 298 A.2d 252, 256 (1972) (the PUC has exclusive regulatory jurisdiction over the implementation of public utility facilities).  </w:t>
      </w:r>
      <w:r w:rsidRPr="00FD4F85">
        <w:rPr>
          <w:i/>
          <w:sz w:val="26"/>
          <w:szCs w:val="26"/>
        </w:rPr>
        <w:t>See also</w:t>
      </w:r>
      <w:r w:rsidRPr="008217CA">
        <w:rPr>
          <w:sz w:val="26"/>
          <w:szCs w:val="26"/>
        </w:rPr>
        <w:t xml:space="preserve">, </w:t>
      </w:r>
      <w:r w:rsidRPr="008217CA">
        <w:rPr>
          <w:i/>
          <w:sz w:val="26"/>
          <w:szCs w:val="26"/>
        </w:rPr>
        <w:t>County of Chester v. Philadelphia Electric Co.</w:t>
      </w:r>
      <w:r w:rsidRPr="008217CA">
        <w:rPr>
          <w:sz w:val="26"/>
          <w:szCs w:val="26"/>
        </w:rPr>
        <w:t xml:space="preserve">, 420 Pa. 422, 425-426, 218 A.2d 331, 333 (1966) (regulation by a multitude of jurisdictions would result in “twisted and knotted” public utilities with consequent harm to the general welfare of the public); </w:t>
      </w:r>
      <w:r w:rsidRPr="008217CA">
        <w:rPr>
          <w:i/>
          <w:sz w:val="26"/>
          <w:szCs w:val="26"/>
        </w:rPr>
        <w:t>Commonwealth v. Delaware &amp; Hudson Railway Co.</w:t>
      </w:r>
      <w:r w:rsidRPr="008217CA">
        <w:rPr>
          <w:sz w:val="26"/>
          <w:szCs w:val="26"/>
        </w:rPr>
        <w:t>, 339 A.2d 155, 157 (Pa. Cmwlth. 1975) (“public utilities are to be regulated exclusively by an agency of the Commonwealth with state-wide jurisdiction rather than a myriad of local governments with different regulations”).</w:t>
      </w:r>
    </w:p>
    <w:p w:rsidR="008217CA" w:rsidRPr="008217CA" w:rsidRDefault="008217CA" w:rsidP="008217CA">
      <w:pPr>
        <w:pStyle w:val="BodyText2"/>
        <w:spacing w:after="0" w:line="360" w:lineRule="auto"/>
        <w:ind w:firstLine="1440"/>
        <w:rPr>
          <w:sz w:val="26"/>
          <w:szCs w:val="26"/>
        </w:rPr>
      </w:pPr>
    </w:p>
    <w:p w:rsidR="008217CA" w:rsidRPr="008217CA" w:rsidRDefault="008217CA" w:rsidP="008217CA">
      <w:pPr>
        <w:pStyle w:val="BodyText2"/>
        <w:spacing w:after="0" w:line="360" w:lineRule="auto"/>
        <w:ind w:firstLine="1440"/>
        <w:rPr>
          <w:sz w:val="26"/>
          <w:szCs w:val="26"/>
        </w:rPr>
      </w:pPr>
      <w:r w:rsidRPr="008217CA">
        <w:rPr>
          <w:sz w:val="26"/>
          <w:szCs w:val="26"/>
        </w:rPr>
        <w:t>Section 619 of the Municipalities Planning Code (MPC), Act of July 31, 1968, P.L. 805, as amended, 53 P.S. § 10619, provides a limited exception to this general rule.  Section 619 of the MPC provides as follows:</w:t>
      </w:r>
    </w:p>
    <w:p w:rsidR="008217CA" w:rsidRDefault="008217CA" w:rsidP="008217CA">
      <w:pPr>
        <w:pStyle w:val="IndentSingle"/>
        <w:spacing w:after="0"/>
        <w:rPr>
          <w:sz w:val="26"/>
          <w:szCs w:val="26"/>
        </w:rPr>
      </w:pPr>
      <w:r w:rsidRPr="008217CA">
        <w:rPr>
          <w:sz w:val="26"/>
          <w:szCs w:val="26"/>
        </w:rPr>
        <w:t>This article shall not apply to any existing or proposed building, or extension thereof, used or to be used by a public utility corporation, if, upon petition of the corporation, the Pennsylvania Public Utility Commission shall, after a public hearing, decide that the present or proposed situation of the building in question is reasonably necessary for the convenience or welfare of the public. It shall be the responsibility of the Pennsylvania Public Utility Commission to ensure that both the corporation and the municipality in which the building or proposed building is located have notice of the hearing and are granted an opportunity to appear, present witnesses, cross-examine witnesses presented by other parties and otherwise exercise the rights of a party to the proceedings.</w:t>
      </w:r>
    </w:p>
    <w:p w:rsidR="00CF2350" w:rsidRPr="00CF2350" w:rsidRDefault="00CF2350" w:rsidP="00CF2350">
      <w:pPr>
        <w:pStyle w:val="BodyText"/>
      </w:pPr>
    </w:p>
    <w:p w:rsidR="008217CA" w:rsidRPr="008217CA" w:rsidRDefault="008217CA" w:rsidP="00CF2350">
      <w:pPr>
        <w:pStyle w:val="BodyText2"/>
        <w:spacing w:after="0" w:line="360" w:lineRule="auto"/>
        <w:jc w:val="both"/>
        <w:rPr>
          <w:sz w:val="26"/>
          <w:szCs w:val="26"/>
        </w:rPr>
      </w:pPr>
      <w:r w:rsidRPr="008217CA">
        <w:rPr>
          <w:sz w:val="26"/>
          <w:szCs w:val="26"/>
        </w:rPr>
        <w:t>53 P.S. § 10619.</w:t>
      </w:r>
    </w:p>
    <w:p w:rsidR="008217CA" w:rsidRPr="008217CA" w:rsidRDefault="008217CA" w:rsidP="008217CA">
      <w:pPr>
        <w:pStyle w:val="BodyText2"/>
        <w:spacing w:after="0" w:line="360" w:lineRule="auto"/>
        <w:ind w:firstLine="1440"/>
        <w:rPr>
          <w:sz w:val="26"/>
          <w:szCs w:val="26"/>
        </w:rPr>
      </w:pPr>
    </w:p>
    <w:p w:rsidR="008217CA" w:rsidRPr="008217CA" w:rsidRDefault="008217CA" w:rsidP="008217CA">
      <w:pPr>
        <w:pStyle w:val="BodyText2"/>
        <w:spacing w:after="0" w:line="360" w:lineRule="auto"/>
        <w:ind w:firstLine="1440"/>
        <w:rPr>
          <w:sz w:val="26"/>
          <w:szCs w:val="26"/>
        </w:rPr>
      </w:pPr>
      <w:r w:rsidRPr="008217CA">
        <w:rPr>
          <w:sz w:val="26"/>
          <w:szCs w:val="26"/>
        </w:rPr>
        <w:t xml:space="preserve">Consequently, a municipality may zone a public utility building unless the Commission determines that the </w:t>
      </w:r>
      <w:r w:rsidR="00267322">
        <w:rPr>
          <w:sz w:val="26"/>
          <w:szCs w:val="26"/>
        </w:rPr>
        <w:t xml:space="preserve">location of the </w:t>
      </w:r>
      <w:r w:rsidRPr="008217CA">
        <w:rPr>
          <w:sz w:val="26"/>
          <w:szCs w:val="26"/>
        </w:rPr>
        <w:t xml:space="preserve">building is reasonably necessary for the convenience or welfare of the public.  If the Commission finds that the </w:t>
      </w:r>
      <w:r w:rsidR="00267322">
        <w:rPr>
          <w:sz w:val="26"/>
          <w:szCs w:val="26"/>
        </w:rPr>
        <w:t xml:space="preserve">location of the </w:t>
      </w:r>
      <w:r w:rsidRPr="008217CA">
        <w:rPr>
          <w:sz w:val="26"/>
          <w:szCs w:val="26"/>
        </w:rPr>
        <w:lastRenderedPageBreak/>
        <w:t xml:space="preserve">building is reasonably necessary, the building is exempt from a local zoning ordinance under the MPC.  </w:t>
      </w:r>
      <w:r w:rsidRPr="008217CA">
        <w:rPr>
          <w:i/>
          <w:sz w:val="26"/>
          <w:szCs w:val="26"/>
        </w:rPr>
        <w:t>Del-AWARE Unlimited, Inc. v. P</w:t>
      </w:r>
      <w:r w:rsidR="0062480D">
        <w:rPr>
          <w:i/>
          <w:sz w:val="26"/>
          <w:szCs w:val="26"/>
        </w:rPr>
        <w:t>ennsylvania</w:t>
      </w:r>
      <w:r w:rsidRPr="008217CA">
        <w:rPr>
          <w:i/>
          <w:sz w:val="26"/>
          <w:szCs w:val="26"/>
        </w:rPr>
        <w:t xml:space="preserve"> Public Utility Comm</w:t>
      </w:r>
      <w:r w:rsidR="00C17EC8">
        <w:rPr>
          <w:i/>
          <w:sz w:val="26"/>
          <w:szCs w:val="26"/>
        </w:rPr>
        <w:t>issio</w:t>
      </w:r>
      <w:r w:rsidRPr="008217CA">
        <w:rPr>
          <w:i/>
          <w:sz w:val="26"/>
          <w:szCs w:val="26"/>
        </w:rPr>
        <w:t>n</w:t>
      </w:r>
      <w:r w:rsidRPr="008217CA">
        <w:rPr>
          <w:sz w:val="26"/>
          <w:szCs w:val="26"/>
        </w:rPr>
        <w:t>, 513 A.2d 593 (</w:t>
      </w:r>
      <w:r w:rsidR="00C17EC8">
        <w:rPr>
          <w:sz w:val="26"/>
          <w:szCs w:val="26"/>
        </w:rPr>
        <w:t xml:space="preserve">Pa. Cmwlth. </w:t>
      </w:r>
      <w:r w:rsidRPr="008217CA">
        <w:rPr>
          <w:sz w:val="26"/>
          <w:szCs w:val="26"/>
        </w:rPr>
        <w:t xml:space="preserve">1986).  Further, Section 619 of the MPC does not require a utility to prove that the site it has selected is absolutely necessary or that it is the best possible site, it need only show that the </w:t>
      </w:r>
      <w:r w:rsidR="00267322">
        <w:rPr>
          <w:sz w:val="26"/>
          <w:szCs w:val="26"/>
        </w:rPr>
        <w:t xml:space="preserve">location of the </w:t>
      </w:r>
      <w:r w:rsidRPr="008217CA">
        <w:rPr>
          <w:sz w:val="26"/>
          <w:szCs w:val="26"/>
        </w:rPr>
        <w:t xml:space="preserve">building is reasonably necessary.  </w:t>
      </w:r>
      <w:r w:rsidRPr="008217CA">
        <w:rPr>
          <w:i/>
          <w:sz w:val="26"/>
          <w:szCs w:val="26"/>
        </w:rPr>
        <w:t>O’Connor v. P</w:t>
      </w:r>
      <w:r w:rsidR="0062480D">
        <w:rPr>
          <w:i/>
          <w:sz w:val="26"/>
          <w:szCs w:val="26"/>
        </w:rPr>
        <w:t xml:space="preserve">ennsylvania </w:t>
      </w:r>
      <w:r w:rsidRPr="008217CA">
        <w:rPr>
          <w:i/>
          <w:sz w:val="26"/>
          <w:szCs w:val="26"/>
        </w:rPr>
        <w:t>Public Utility Comm</w:t>
      </w:r>
      <w:r w:rsidR="00C17EC8">
        <w:rPr>
          <w:i/>
          <w:sz w:val="26"/>
          <w:szCs w:val="26"/>
        </w:rPr>
        <w:t>ission</w:t>
      </w:r>
      <w:r w:rsidRPr="008217CA">
        <w:rPr>
          <w:sz w:val="26"/>
          <w:szCs w:val="26"/>
        </w:rPr>
        <w:t>, 582 A.2d 427 (</w:t>
      </w:r>
      <w:r w:rsidR="00C17EC8">
        <w:rPr>
          <w:sz w:val="26"/>
          <w:szCs w:val="26"/>
        </w:rPr>
        <w:t xml:space="preserve">Pa. Cmwlth. </w:t>
      </w:r>
      <w:r w:rsidRPr="008217CA">
        <w:rPr>
          <w:sz w:val="26"/>
          <w:szCs w:val="26"/>
        </w:rPr>
        <w:t>1990).</w:t>
      </w:r>
    </w:p>
    <w:p w:rsidR="008217CA" w:rsidRPr="008217CA" w:rsidRDefault="008217CA" w:rsidP="008217CA">
      <w:pPr>
        <w:pStyle w:val="BodyText2"/>
        <w:spacing w:after="0" w:line="360" w:lineRule="auto"/>
        <w:ind w:firstLine="1440"/>
        <w:rPr>
          <w:sz w:val="26"/>
          <w:szCs w:val="26"/>
        </w:rPr>
      </w:pPr>
    </w:p>
    <w:p w:rsidR="008217CA" w:rsidRPr="008217CA" w:rsidRDefault="008217CA" w:rsidP="008217CA">
      <w:pPr>
        <w:pStyle w:val="BodyText2"/>
        <w:spacing w:after="0" w:line="360" w:lineRule="auto"/>
        <w:ind w:firstLine="1440"/>
        <w:rPr>
          <w:sz w:val="26"/>
          <w:szCs w:val="26"/>
        </w:rPr>
      </w:pPr>
      <w:r w:rsidRPr="008217CA">
        <w:rPr>
          <w:sz w:val="26"/>
          <w:szCs w:val="26"/>
        </w:rPr>
        <w:t xml:space="preserve">On January 11, 2001, the Commission adopted a policy statement to further the Commonwealth’s goal of making agency actions consistent with sound land use planning by considering the impact of its decision upon local comprehensive plans and zoning ordinances.  </w:t>
      </w:r>
      <w:r w:rsidRPr="00FD45F1">
        <w:rPr>
          <w:i/>
          <w:sz w:val="26"/>
          <w:szCs w:val="26"/>
        </w:rPr>
        <w:t>See</w:t>
      </w:r>
      <w:r w:rsidRPr="008217CA">
        <w:rPr>
          <w:sz w:val="26"/>
          <w:szCs w:val="26"/>
        </w:rPr>
        <w:t xml:space="preserve">, 31 </w:t>
      </w:r>
      <w:r w:rsidRPr="00267322">
        <w:rPr>
          <w:i/>
          <w:sz w:val="26"/>
          <w:szCs w:val="26"/>
        </w:rPr>
        <w:t>Pa.</w:t>
      </w:r>
      <w:r w:rsidR="00267322" w:rsidRPr="00267322">
        <w:rPr>
          <w:i/>
          <w:sz w:val="26"/>
          <w:szCs w:val="26"/>
        </w:rPr>
        <w:t xml:space="preserve"> </w:t>
      </w:r>
      <w:r w:rsidRPr="00267322">
        <w:rPr>
          <w:i/>
          <w:sz w:val="26"/>
          <w:szCs w:val="26"/>
        </w:rPr>
        <w:t>B.</w:t>
      </w:r>
      <w:r w:rsidRPr="008217CA">
        <w:rPr>
          <w:sz w:val="26"/>
          <w:szCs w:val="26"/>
        </w:rPr>
        <w:t xml:space="preserve"> 951 (Feb. 17, 2001).  </w:t>
      </w:r>
      <w:r w:rsidR="00267322">
        <w:rPr>
          <w:sz w:val="26"/>
          <w:szCs w:val="26"/>
        </w:rPr>
        <w:t>That Policy Statement</w:t>
      </w:r>
      <w:r w:rsidRPr="008217CA">
        <w:rPr>
          <w:sz w:val="26"/>
          <w:szCs w:val="26"/>
        </w:rPr>
        <w:t xml:space="preserve"> provides, in pertinent part, as follows:</w:t>
      </w:r>
    </w:p>
    <w:p w:rsidR="008217CA" w:rsidRDefault="008217CA" w:rsidP="008217CA">
      <w:pPr>
        <w:pStyle w:val="IndentSingle"/>
        <w:spacing w:after="0"/>
        <w:rPr>
          <w:sz w:val="26"/>
          <w:szCs w:val="26"/>
        </w:rPr>
      </w:pPr>
      <w:r w:rsidRPr="008217CA">
        <w:rPr>
          <w:sz w:val="26"/>
          <w:szCs w:val="26"/>
        </w:rPr>
        <w:t>To further the State’s goal of making State agency actions consistent with sound land-use planning … the Commission will consider the impact of its decisions upon local comprehensive plans and zoning ordinances.  This will include reviewing applications for:</w:t>
      </w:r>
    </w:p>
    <w:p w:rsidR="0067608D" w:rsidRPr="0067608D" w:rsidRDefault="0067608D" w:rsidP="002848FD">
      <w:pPr>
        <w:pStyle w:val="BodyText"/>
        <w:spacing w:line="240" w:lineRule="auto"/>
      </w:pPr>
    </w:p>
    <w:p w:rsidR="008217CA" w:rsidRDefault="0067608D" w:rsidP="002848FD">
      <w:pPr>
        <w:pStyle w:val="BodyText"/>
        <w:spacing w:line="240" w:lineRule="auto"/>
        <w:ind w:left="1440" w:right="1440"/>
        <w:jc w:val="center"/>
        <w:rPr>
          <w:szCs w:val="26"/>
        </w:rPr>
      </w:pPr>
      <w:r>
        <w:rPr>
          <w:szCs w:val="26"/>
        </w:rPr>
        <w:t>*</w:t>
      </w:r>
      <w:r>
        <w:rPr>
          <w:szCs w:val="26"/>
        </w:rPr>
        <w:tab/>
        <w:t>*</w:t>
      </w:r>
      <w:r>
        <w:rPr>
          <w:szCs w:val="26"/>
        </w:rPr>
        <w:tab/>
        <w:t>*</w:t>
      </w:r>
    </w:p>
    <w:p w:rsidR="0067608D" w:rsidRPr="008217CA" w:rsidRDefault="0067608D" w:rsidP="002848FD">
      <w:pPr>
        <w:pStyle w:val="BodyText"/>
        <w:spacing w:line="240" w:lineRule="auto"/>
        <w:ind w:left="1440" w:right="1440"/>
        <w:jc w:val="both"/>
        <w:rPr>
          <w:szCs w:val="26"/>
        </w:rPr>
      </w:pPr>
    </w:p>
    <w:p w:rsidR="008217CA" w:rsidRPr="008217CA" w:rsidRDefault="00CC69CB" w:rsidP="008217CA">
      <w:pPr>
        <w:pStyle w:val="IndentDouble"/>
        <w:spacing w:after="0"/>
        <w:ind w:left="1440" w:right="1440"/>
        <w:rPr>
          <w:sz w:val="26"/>
          <w:szCs w:val="26"/>
        </w:rPr>
      </w:pPr>
      <w:r>
        <w:rPr>
          <w:sz w:val="26"/>
          <w:szCs w:val="26"/>
        </w:rPr>
        <w:tab/>
      </w:r>
      <w:r w:rsidR="008217CA" w:rsidRPr="008217CA">
        <w:rPr>
          <w:sz w:val="26"/>
          <w:szCs w:val="26"/>
        </w:rPr>
        <w:t>(2)</w:t>
      </w:r>
      <w:r w:rsidR="008217CA" w:rsidRPr="008217CA">
        <w:rPr>
          <w:sz w:val="26"/>
          <w:szCs w:val="26"/>
        </w:rPr>
        <w:tab/>
        <w:t>Siting electric transmission lines.</w:t>
      </w:r>
    </w:p>
    <w:p w:rsidR="008217CA" w:rsidRPr="008217CA" w:rsidRDefault="00CC69CB" w:rsidP="008217CA">
      <w:pPr>
        <w:pStyle w:val="IndentDouble"/>
        <w:spacing w:after="0"/>
        <w:ind w:left="1440" w:right="1440"/>
        <w:rPr>
          <w:sz w:val="26"/>
          <w:szCs w:val="26"/>
        </w:rPr>
      </w:pPr>
      <w:r>
        <w:rPr>
          <w:sz w:val="26"/>
          <w:szCs w:val="26"/>
        </w:rPr>
        <w:tab/>
      </w:r>
      <w:r w:rsidR="008217CA" w:rsidRPr="008217CA">
        <w:rPr>
          <w:sz w:val="26"/>
          <w:szCs w:val="26"/>
        </w:rPr>
        <w:t>(3)</w:t>
      </w:r>
      <w:r w:rsidR="008217CA" w:rsidRPr="008217CA">
        <w:rPr>
          <w:sz w:val="26"/>
          <w:szCs w:val="26"/>
        </w:rPr>
        <w:tab/>
        <w:t xml:space="preserve">Siting a public utility “building” under section 619 </w:t>
      </w:r>
      <w:r w:rsidR="0083478D">
        <w:rPr>
          <w:sz w:val="26"/>
          <w:szCs w:val="26"/>
        </w:rPr>
        <w:t>of the Municipalities Planning C</w:t>
      </w:r>
      <w:r w:rsidR="008217CA" w:rsidRPr="008217CA">
        <w:rPr>
          <w:sz w:val="26"/>
          <w:szCs w:val="26"/>
        </w:rPr>
        <w:t>ode (53 P.S. § 10619)</w:t>
      </w:r>
    </w:p>
    <w:p w:rsidR="00CF2350" w:rsidRDefault="00CF2350" w:rsidP="008217CA">
      <w:pPr>
        <w:pStyle w:val="BodyText2"/>
        <w:spacing w:after="0" w:line="240" w:lineRule="auto"/>
        <w:ind w:left="1440" w:right="1440"/>
        <w:jc w:val="both"/>
        <w:rPr>
          <w:sz w:val="26"/>
          <w:szCs w:val="26"/>
        </w:rPr>
      </w:pPr>
    </w:p>
    <w:p w:rsidR="008217CA" w:rsidRPr="008217CA" w:rsidRDefault="008217CA" w:rsidP="00CF2350">
      <w:pPr>
        <w:pStyle w:val="BodyText2"/>
        <w:spacing w:after="0" w:line="360" w:lineRule="auto"/>
        <w:jc w:val="both"/>
        <w:rPr>
          <w:sz w:val="26"/>
          <w:szCs w:val="26"/>
        </w:rPr>
      </w:pPr>
      <w:r w:rsidRPr="008217CA">
        <w:rPr>
          <w:sz w:val="26"/>
          <w:szCs w:val="26"/>
        </w:rPr>
        <w:t>52 Pa.</w:t>
      </w:r>
      <w:r w:rsidR="00FD45F1">
        <w:rPr>
          <w:sz w:val="26"/>
          <w:szCs w:val="26"/>
        </w:rPr>
        <w:t xml:space="preserve"> </w:t>
      </w:r>
      <w:r w:rsidRPr="008217CA">
        <w:rPr>
          <w:sz w:val="26"/>
          <w:szCs w:val="26"/>
        </w:rPr>
        <w:t>Code § 69.1101.</w:t>
      </w:r>
    </w:p>
    <w:p w:rsidR="0067608D" w:rsidRDefault="0067608D" w:rsidP="008217CA">
      <w:pPr>
        <w:pStyle w:val="BodyText2"/>
        <w:spacing w:after="0" w:line="360" w:lineRule="auto"/>
        <w:ind w:firstLine="1440"/>
        <w:rPr>
          <w:sz w:val="26"/>
          <w:szCs w:val="26"/>
        </w:rPr>
      </w:pPr>
    </w:p>
    <w:p w:rsidR="008217CA" w:rsidRPr="008217CA" w:rsidRDefault="008217CA" w:rsidP="008217CA">
      <w:pPr>
        <w:pStyle w:val="BodyText2"/>
        <w:spacing w:after="0" w:line="360" w:lineRule="auto"/>
        <w:ind w:firstLine="1440"/>
        <w:rPr>
          <w:sz w:val="26"/>
          <w:szCs w:val="26"/>
        </w:rPr>
      </w:pPr>
      <w:r w:rsidRPr="008217CA">
        <w:rPr>
          <w:sz w:val="26"/>
          <w:szCs w:val="26"/>
        </w:rPr>
        <w:t xml:space="preserve">Section 1511 of the Business Corporation Law of 1988 (BCL), under which PPL has filed its </w:t>
      </w:r>
      <w:r w:rsidR="00D0739F">
        <w:rPr>
          <w:sz w:val="26"/>
          <w:szCs w:val="26"/>
        </w:rPr>
        <w:t>Eminent Domain</w:t>
      </w:r>
      <w:r w:rsidRPr="008217CA">
        <w:rPr>
          <w:sz w:val="26"/>
          <w:szCs w:val="26"/>
        </w:rPr>
        <w:t xml:space="preserve"> Application, grants a public utility the power or authority to condemn property to provide electricity to the public, stating, in pertinent part:</w:t>
      </w:r>
    </w:p>
    <w:p w:rsidR="008217CA" w:rsidRDefault="008217CA" w:rsidP="00C439A3">
      <w:pPr>
        <w:pStyle w:val="IndentSingle"/>
        <w:spacing w:after="0"/>
        <w:jc w:val="left"/>
        <w:rPr>
          <w:sz w:val="26"/>
          <w:szCs w:val="26"/>
        </w:rPr>
      </w:pPr>
      <w:r w:rsidRPr="008217CA">
        <w:rPr>
          <w:sz w:val="26"/>
          <w:szCs w:val="26"/>
        </w:rPr>
        <w:t xml:space="preserve">(a) General Rule. -- A public utility corporation shall … have the right to take, occupy and condemn property for one or more of the following principal purposes and ancillary </w:t>
      </w:r>
      <w:r w:rsidRPr="008217CA">
        <w:rPr>
          <w:sz w:val="26"/>
          <w:szCs w:val="26"/>
        </w:rPr>
        <w:lastRenderedPageBreak/>
        <w:t>purposes reasonably necessary or appropriate for the accomplishment of the principal purposes:</w:t>
      </w:r>
    </w:p>
    <w:p w:rsidR="0083478D" w:rsidRPr="0083478D" w:rsidRDefault="0083478D" w:rsidP="002848FD">
      <w:pPr>
        <w:pStyle w:val="BodyText"/>
        <w:spacing w:line="240" w:lineRule="auto"/>
      </w:pPr>
    </w:p>
    <w:p w:rsidR="008217CA" w:rsidRDefault="0083478D" w:rsidP="002848FD">
      <w:pPr>
        <w:pStyle w:val="IndentSingle"/>
        <w:spacing w:after="0"/>
        <w:jc w:val="center"/>
        <w:rPr>
          <w:sz w:val="26"/>
          <w:szCs w:val="26"/>
        </w:rPr>
      </w:pPr>
      <w:r>
        <w:rPr>
          <w:sz w:val="26"/>
          <w:szCs w:val="26"/>
        </w:rPr>
        <w:t>*</w:t>
      </w:r>
      <w:r>
        <w:rPr>
          <w:sz w:val="26"/>
          <w:szCs w:val="26"/>
        </w:rPr>
        <w:tab/>
        <w:t>*</w:t>
      </w:r>
      <w:r>
        <w:rPr>
          <w:sz w:val="26"/>
          <w:szCs w:val="26"/>
        </w:rPr>
        <w:tab/>
        <w:t>*</w:t>
      </w:r>
    </w:p>
    <w:p w:rsidR="0083478D" w:rsidRPr="0083478D" w:rsidRDefault="0083478D" w:rsidP="002848FD">
      <w:pPr>
        <w:pStyle w:val="BodyText"/>
        <w:spacing w:line="240" w:lineRule="auto"/>
      </w:pPr>
    </w:p>
    <w:p w:rsidR="008217CA" w:rsidRDefault="00CC69CB" w:rsidP="00C439A3">
      <w:pPr>
        <w:pStyle w:val="IndentSingle"/>
        <w:spacing w:after="0"/>
        <w:jc w:val="left"/>
        <w:rPr>
          <w:sz w:val="26"/>
          <w:szCs w:val="26"/>
        </w:rPr>
      </w:pPr>
      <w:r>
        <w:rPr>
          <w:sz w:val="26"/>
          <w:szCs w:val="26"/>
        </w:rPr>
        <w:tab/>
      </w:r>
      <w:r w:rsidR="008217CA" w:rsidRPr="008217CA">
        <w:rPr>
          <w:sz w:val="26"/>
          <w:szCs w:val="26"/>
        </w:rPr>
        <w:t>(3) The … transmission … distribution or furnishing of … electricity … to or for the public.</w:t>
      </w:r>
    </w:p>
    <w:p w:rsidR="00756F1C" w:rsidRPr="00756F1C" w:rsidRDefault="00756F1C" w:rsidP="00756F1C">
      <w:pPr>
        <w:pStyle w:val="BodyText"/>
      </w:pPr>
    </w:p>
    <w:p w:rsidR="008217CA" w:rsidRPr="008217CA" w:rsidRDefault="008217CA" w:rsidP="00756F1C">
      <w:pPr>
        <w:pStyle w:val="BodyText2"/>
        <w:spacing w:after="0" w:line="360" w:lineRule="auto"/>
        <w:jc w:val="both"/>
        <w:rPr>
          <w:sz w:val="26"/>
          <w:szCs w:val="26"/>
        </w:rPr>
      </w:pPr>
      <w:r w:rsidRPr="008217CA">
        <w:rPr>
          <w:sz w:val="26"/>
          <w:szCs w:val="26"/>
        </w:rPr>
        <w:t>15 Pa.</w:t>
      </w:r>
      <w:r w:rsidR="00B555EA">
        <w:rPr>
          <w:sz w:val="26"/>
          <w:szCs w:val="26"/>
        </w:rPr>
        <w:t xml:space="preserve"> </w:t>
      </w:r>
      <w:r w:rsidRPr="008217CA">
        <w:rPr>
          <w:sz w:val="26"/>
          <w:szCs w:val="26"/>
        </w:rPr>
        <w:t>C.S.</w:t>
      </w:r>
      <w:r w:rsidR="00B555EA">
        <w:rPr>
          <w:sz w:val="26"/>
          <w:szCs w:val="26"/>
        </w:rPr>
        <w:t xml:space="preserve"> </w:t>
      </w:r>
      <w:r w:rsidRPr="008217CA">
        <w:rPr>
          <w:sz w:val="26"/>
          <w:szCs w:val="26"/>
        </w:rPr>
        <w:t>§ 1511(a)(3).</w:t>
      </w:r>
    </w:p>
    <w:p w:rsidR="008217CA" w:rsidRPr="008217CA" w:rsidRDefault="008217CA" w:rsidP="008217CA">
      <w:pPr>
        <w:pStyle w:val="BodyText2"/>
        <w:spacing w:after="0" w:line="360" w:lineRule="auto"/>
        <w:ind w:firstLine="1440"/>
        <w:rPr>
          <w:sz w:val="26"/>
          <w:szCs w:val="26"/>
        </w:rPr>
      </w:pPr>
    </w:p>
    <w:p w:rsidR="008217CA" w:rsidRPr="008217CA" w:rsidRDefault="008217CA" w:rsidP="008217CA">
      <w:pPr>
        <w:pStyle w:val="BodyText2"/>
        <w:spacing w:after="0" w:line="360" w:lineRule="auto"/>
        <w:ind w:firstLine="1440"/>
        <w:rPr>
          <w:sz w:val="26"/>
          <w:szCs w:val="26"/>
        </w:rPr>
      </w:pPr>
      <w:r w:rsidRPr="008217CA">
        <w:rPr>
          <w:sz w:val="26"/>
          <w:szCs w:val="26"/>
        </w:rPr>
        <w:t>Thus, the plain language of Section 1511 of the BCL grants a public utility, such as PPL, the power and authority to take and condemn property for the purpose of providing electricity to the public.</w:t>
      </w:r>
    </w:p>
    <w:p w:rsidR="008217CA" w:rsidRPr="008217CA" w:rsidRDefault="008217CA" w:rsidP="008217CA">
      <w:pPr>
        <w:pStyle w:val="BodyText2"/>
        <w:spacing w:after="0" w:line="360" w:lineRule="auto"/>
        <w:ind w:firstLine="1440"/>
        <w:rPr>
          <w:sz w:val="26"/>
          <w:szCs w:val="26"/>
        </w:rPr>
      </w:pPr>
    </w:p>
    <w:p w:rsidR="008217CA" w:rsidRDefault="008217CA" w:rsidP="008217CA">
      <w:pPr>
        <w:pStyle w:val="BodyText2"/>
        <w:spacing w:after="0" w:line="360" w:lineRule="auto"/>
        <w:ind w:firstLine="1440"/>
        <w:rPr>
          <w:sz w:val="26"/>
          <w:szCs w:val="26"/>
        </w:rPr>
      </w:pPr>
      <w:r w:rsidRPr="008217CA">
        <w:rPr>
          <w:sz w:val="26"/>
          <w:szCs w:val="26"/>
        </w:rPr>
        <w:t>Section 1511(b) of the BCL, however, restricts the authority of a public utility to take and condemn property for the purpose of providing electricity to the public, stating, in pertinent part, as follows:</w:t>
      </w:r>
    </w:p>
    <w:p w:rsidR="00DA624B" w:rsidRPr="008217CA" w:rsidRDefault="00DA624B" w:rsidP="008217CA">
      <w:pPr>
        <w:pStyle w:val="BodyText2"/>
        <w:spacing w:after="0" w:line="360" w:lineRule="auto"/>
        <w:ind w:firstLine="1440"/>
        <w:rPr>
          <w:sz w:val="26"/>
          <w:szCs w:val="26"/>
        </w:rPr>
      </w:pPr>
    </w:p>
    <w:p w:rsidR="008217CA" w:rsidRDefault="008217CA" w:rsidP="00C439A3">
      <w:pPr>
        <w:pStyle w:val="IndentSingle"/>
        <w:spacing w:after="0"/>
        <w:jc w:val="left"/>
        <w:rPr>
          <w:sz w:val="26"/>
          <w:szCs w:val="26"/>
        </w:rPr>
      </w:pPr>
      <w:r w:rsidRPr="008217CA">
        <w:rPr>
          <w:sz w:val="26"/>
          <w:szCs w:val="26"/>
        </w:rPr>
        <w:t>The powers conferred by subsection (a) shall not be exercised:</w:t>
      </w:r>
    </w:p>
    <w:p w:rsidR="00DA624B" w:rsidRPr="00DA624B" w:rsidRDefault="00DA624B" w:rsidP="00DA624B">
      <w:pPr>
        <w:pStyle w:val="BodyText"/>
      </w:pPr>
    </w:p>
    <w:p w:rsidR="008217CA" w:rsidRPr="008217CA" w:rsidRDefault="00CC69CB" w:rsidP="00C439A3">
      <w:pPr>
        <w:pStyle w:val="IndentSingle"/>
        <w:spacing w:after="0"/>
        <w:jc w:val="left"/>
        <w:rPr>
          <w:sz w:val="26"/>
          <w:szCs w:val="26"/>
        </w:rPr>
      </w:pPr>
      <w:r>
        <w:rPr>
          <w:sz w:val="26"/>
          <w:szCs w:val="26"/>
        </w:rPr>
        <w:tab/>
      </w:r>
      <w:r w:rsidR="008217CA" w:rsidRPr="008217CA">
        <w:rPr>
          <w:sz w:val="26"/>
          <w:szCs w:val="26"/>
        </w:rPr>
        <w:t>(1) To condemn for the purpose of constructing … aerial electric transmission … lines:</w:t>
      </w:r>
    </w:p>
    <w:p w:rsidR="008217CA" w:rsidRPr="008217CA" w:rsidRDefault="00CC69CB" w:rsidP="00C439A3">
      <w:pPr>
        <w:pStyle w:val="IndentSingle"/>
        <w:spacing w:after="0"/>
        <w:jc w:val="left"/>
        <w:rPr>
          <w:sz w:val="26"/>
          <w:szCs w:val="26"/>
        </w:rPr>
      </w:pPr>
      <w:r>
        <w:rPr>
          <w:sz w:val="26"/>
          <w:szCs w:val="26"/>
        </w:rPr>
        <w:tab/>
      </w:r>
      <w:r>
        <w:rPr>
          <w:sz w:val="26"/>
          <w:szCs w:val="26"/>
        </w:rPr>
        <w:tab/>
      </w:r>
      <w:r w:rsidR="008217CA" w:rsidRPr="008217CA">
        <w:rPr>
          <w:sz w:val="26"/>
          <w:szCs w:val="26"/>
        </w:rPr>
        <w:t>(i) Any dwelling house or, except in the case of any condemnation for petroleum or petroleum products transportation lines, any part of the reasonable curtilage of a dwelling house within 100 meters therefrom and not within the limits of any street, highway, water or other public way or place.</w:t>
      </w:r>
    </w:p>
    <w:p w:rsidR="008217CA" w:rsidRDefault="00CC69CB" w:rsidP="00C439A3">
      <w:pPr>
        <w:pStyle w:val="IndentSingle"/>
        <w:spacing w:after="0"/>
        <w:jc w:val="left"/>
        <w:rPr>
          <w:sz w:val="26"/>
          <w:szCs w:val="26"/>
        </w:rPr>
      </w:pPr>
      <w:r>
        <w:rPr>
          <w:sz w:val="26"/>
          <w:szCs w:val="26"/>
        </w:rPr>
        <w:tab/>
      </w:r>
      <w:r>
        <w:rPr>
          <w:sz w:val="26"/>
          <w:szCs w:val="26"/>
        </w:rPr>
        <w:tab/>
      </w:r>
      <w:r w:rsidR="008217CA" w:rsidRPr="008217CA">
        <w:rPr>
          <w:sz w:val="26"/>
          <w:szCs w:val="26"/>
        </w:rPr>
        <w:t>(ii) Any place of public worship or burying ground.</w:t>
      </w:r>
    </w:p>
    <w:p w:rsidR="00756F1C" w:rsidRPr="00756F1C" w:rsidRDefault="00756F1C" w:rsidP="00756F1C">
      <w:pPr>
        <w:pStyle w:val="BodyText"/>
      </w:pPr>
    </w:p>
    <w:p w:rsidR="008217CA" w:rsidRPr="008217CA" w:rsidRDefault="008217CA" w:rsidP="00756F1C">
      <w:pPr>
        <w:pStyle w:val="BodyText2"/>
        <w:spacing w:after="0" w:line="360" w:lineRule="auto"/>
        <w:jc w:val="both"/>
        <w:rPr>
          <w:sz w:val="26"/>
          <w:szCs w:val="26"/>
        </w:rPr>
      </w:pPr>
      <w:r w:rsidRPr="008217CA">
        <w:rPr>
          <w:sz w:val="26"/>
          <w:szCs w:val="26"/>
        </w:rPr>
        <w:t>15 Pa.</w:t>
      </w:r>
      <w:r w:rsidR="00B555EA">
        <w:rPr>
          <w:sz w:val="26"/>
          <w:szCs w:val="26"/>
        </w:rPr>
        <w:t xml:space="preserve"> </w:t>
      </w:r>
      <w:r w:rsidRPr="008217CA">
        <w:rPr>
          <w:sz w:val="26"/>
          <w:szCs w:val="26"/>
        </w:rPr>
        <w:t>C.S. § 1511(b).</w:t>
      </w:r>
    </w:p>
    <w:p w:rsidR="008217CA" w:rsidRPr="008217CA" w:rsidRDefault="008217CA" w:rsidP="008217CA">
      <w:pPr>
        <w:pStyle w:val="BodyText2"/>
        <w:spacing w:after="0" w:line="360" w:lineRule="auto"/>
        <w:ind w:firstLine="1440"/>
        <w:rPr>
          <w:sz w:val="26"/>
          <w:szCs w:val="26"/>
        </w:rPr>
      </w:pPr>
    </w:p>
    <w:p w:rsidR="008217CA" w:rsidRPr="008217CA" w:rsidRDefault="008217CA" w:rsidP="008217CA">
      <w:pPr>
        <w:pStyle w:val="BodyText2"/>
        <w:spacing w:after="0" w:line="360" w:lineRule="auto"/>
        <w:ind w:firstLine="1440"/>
        <w:rPr>
          <w:sz w:val="26"/>
          <w:szCs w:val="26"/>
        </w:rPr>
      </w:pPr>
      <w:r w:rsidRPr="008217CA">
        <w:rPr>
          <w:sz w:val="26"/>
          <w:szCs w:val="26"/>
        </w:rPr>
        <w:lastRenderedPageBreak/>
        <w:t>Before a public utility may exercise its statutorily granted authority to condemn property for the purposes of constructing aerial electric transmission facilities, it must obtain approval from the Commission.  Section 1511(c) of the BCL provides, in pertinent part:</w:t>
      </w:r>
    </w:p>
    <w:p w:rsidR="008217CA" w:rsidRDefault="00CC69CB" w:rsidP="00E64036">
      <w:pPr>
        <w:pStyle w:val="IndentSingle"/>
        <w:spacing w:after="0"/>
        <w:jc w:val="left"/>
        <w:rPr>
          <w:sz w:val="26"/>
          <w:szCs w:val="26"/>
        </w:rPr>
      </w:pPr>
      <w:r>
        <w:rPr>
          <w:sz w:val="26"/>
          <w:szCs w:val="26"/>
        </w:rPr>
        <w:tab/>
      </w:r>
      <w:r w:rsidR="008217CA" w:rsidRPr="008217CA">
        <w:rPr>
          <w:sz w:val="26"/>
          <w:szCs w:val="26"/>
        </w:rPr>
        <w:t xml:space="preserve">(c) The powers conferred by subsection (a) [for the running of aerial electric facilities] may be exercised to condemn property … only after the Pennsylvania Public </w:t>
      </w:r>
      <w:r w:rsidR="00E64036">
        <w:rPr>
          <w:sz w:val="26"/>
          <w:szCs w:val="26"/>
        </w:rPr>
        <w:t xml:space="preserve">Utility </w:t>
      </w:r>
      <w:r w:rsidR="008217CA" w:rsidRPr="008217CA">
        <w:rPr>
          <w:sz w:val="26"/>
          <w:szCs w:val="26"/>
        </w:rPr>
        <w:t xml:space="preserve">Commission, upon application of the public utility corporation, has found and determined … that the service to be furnished by the corporation through the exercise of those powers is necessary </w:t>
      </w:r>
      <w:r w:rsidR="00E64036">
        <w:rPr>
          <w:sz w:val="26"/>
          <w:szCs w:val="26"/>
        </w:rPr>
        <w:t xml:space="preserve">or proper </w:t>
      </w:r>
      <w:r w:rsidR="008217CA" w:rsidRPr="008217CA">
        <w:rPr>
          <w:sz w:val="26"/>
          <w:szCs w:val="26"/>
        </w:rPr>
        <w:t>for the service, accommodation, convenience or safety of the public.</w:t>
      </w:r>
    </w:p>
    <w:p w:rsidR="00756F1C" w:rsidRPr="00756F1C" w:rsidRDefault="00756F1C" w:rsidP="00756F1C">
      <w:pPr>
        <w:pStyle w:val="BodyText"/>
      </w:pPr>
    </w:p>
    <w:p w:rsidR="008217CA" w:rsidRPr="008217CA" w:rsidRDefault="008217CA" w:rsidP="00756F1C">
      <w:pPr>
        <w:pStyle w:val="IndentSingle"/>
        <w:spacing w:after="0" w:line="360" w:lineRule="auto"/>
        <w:ind w:left="0" w:right="0"/>
        <w:rPr>
          <w:sz w:val="26"/>
          <w:szCs w:val="26"/>
        </w:rPr>
      </w:pPr>
      <w:r w:rsidRPr="008217CA">
        <w:rPr>
          <w:sz w:val="26"/>
          <w:szCs w:val="26"/>
        </w:rPr>
        <w:t>15 Pa.</w:t>
      </w:r>
      <w:r w:rsidR="00B555EA">
        <w:rPr>
          <w:sz w:val="26"/>
          <w:szCs w:val="26"/>
        </w:rPr>
        <w:t xml:space="preserve"> </w:t>
      </w:r>
      <w:r w:rsidRPr="008217CA">
        <w:rPr>
          <w:sz w:val="26"/>
          <w:szCs w:val="26"/>
        </w:rPr>
        <w:t>C.S. § 1511(c).</w:t>
      </w:r>
    </w:p>
    <w:p w:rsidR="008217CA" w:rsidRPr="008217CA" w:rsidRDefault="008217CA" w:rsidP="008217CA">
      <w:pPr>
        <w:pStyle w:val="BodyText"/>
        <w:ind w:firstLine="1440"/>
        <w:rPr>
          <w:szCs w:val="26"/>
        </w:rPr>
      </w:pPr>
    </w:p>
    <w:p w:rsidR="008217CA" w:rsidRPr="008217CA" w:rsidRDefault="008217CA" w:rsidP="008217CA">
      <w:pPr>
        <w:pStyle w:val="IndentSingle"/>
        <w:spacing w:after="0" w:line="360" w:lineRule="auto"/>
        <w:ind w:left="0" w:right="0" w:firstLine="1440"/>
        <w:jc w:val="left"/>
        <w:rPr>
          <w:sz w:val="26"/>
          <w:szCs w:val="26"/>
        </w:rPr>
      </w:pPr>
      <w:r w:rsidRPr="008217CA">
        <w:rPr>
          <w:sz w:val="26"/>
          <w:szCs w:val="26"/>
        </w:rPr>
        <w:t>Accordingly, on an application for condemnation, the Commission must determine whether the service, i.e., the transmission or distribution of electricity to or for the public that will be provided if the subject property is condemned, is necessary for the service, accommodation, convenience or safety of the public.</w:t>
      </w:r>
    </w:p>
    <w:p w:rsidR="008217CA" w:rsidRPr="008217CA" w:rsidRDefault="008217CA" w:rsidP="008217CA">
      <w:pPr>
        <w:pStyle w:val="BodyText"/>
        <w:ind w:firstLine="1440"/>
        <w:rPr>
          <w:szCs w:val="26"/>
        </w:rPr>
      </w:pPr>
    </w:p>
    <w:p w:rsidR="00E86337" w:rsidRPr="00E86337" w:rsidRDefault="00E86337" w:rsidP="00BB4F94">
      <w:pPr>
        <w:pStyle w:val="BodyText2"/>
        <w:spacing w:after="0" w:line="360" w:lineRule="auto"/>
        <w:rPr>
          <w:b/>
          <w:sz w:val="26"/>
        </w:rPr>
      </w:pPr>
      <w:r>
        <w:rPr>
          <w:b/>
          <w:sz w:val="26"/>
        </w:rPr>
        <w:t>The Proposed Line</w:t>
      </w:r>
    </w:p>
    <w:p w:rsidR="00D05DE9" w:rsidRDefault="00D05DE9" w:rsidP="00BB4F94">
      <w:pPr>
        <w:pStyle w:val="BodyText2"/>
        <w:spacing w:after="0" w:line="360" w:lineRule="auto"/>
        <w:rPr>
          <w:sz w:val="26"/>
        </w:rPr>
      </w:pPr>
    </w:p>
    <w:p w:rsidR="008F5311" w:rsidRDefault="001764A3" w:rsidP="001764A3">
      <w:pPr>
        <w:pStyle w:val="BodyText2"/>
        <w:spacing w:after="0" w:line="360" w:lineRule="auto"/>
        <w:ind w:firstLine="1440"/>
        <w:rPr>
          <w:sz w:val="26"/>
        </w:rPr>
      </w:pPr>
      <w:r>
        <w:rPr>
          <w:sz w:val="26"/>
        </w:rPr>
        <w:t>PPL proposes to reinforce the distribution system in the Sun</w:t>
      </w:r>
      <w:r w:rsidR="000E2985">
        <w:rPr>
          <w:sz w:val="26"/>
        </w:rPr>
        <w:t xml:space="preserve"> </w:t>
      </w:r>
      <w:r>
        <w:rPr>
          <w:sz w:val="26"/>
        </w:rPr>
        <w:t>Valley</w:t>
      </w:r>
      <w:r w:rsidR="000E2985">
        <w:rPr>
          <w:sz w:val="26"/>
        </w:rPr>
        <w:t>/</w:t>
      </w:r>
      <w:r>
        <w:rPr>
          <w:sz w:val="26"/>
        </w:rPr>
        <w:t xml:space="preserve">Jonas area.  In order to do so, PPL proposes to construct a new Effort Mountain Substation, with new 12 kV distribution lines in Chestnuthill and Polk Townships, Monroe County.  One 12 kV distribution line from the Effort Mountain Substation will extend north and serve a portion of the Indian Mountain Lakes Development, which will reduce the load on the existing Meckesville 69-2 12 kV distribution line.  This new line will service approximately 1,400 customers.  R.D. at 29.  </w:t>
      </w:r>
      <w:r w:rsidR="00AA4C40">
        <w:rPr>
          <w:sz w:val="26"/>
        </w:rPr>
        <w:t>PPL also proposes a second line from the Effort Mountain Substation which will extend south and serve residential developments along Jonas Road and State Route 534.  This line will relieve the Meckesville 69-1</w:t>
      </w:r>
    </w:p>
    <w:p w:rsidR="00091A97" w:rsidRDefault="009E1505" w:rsidP="008F5311">
      <w:pPr>
        <w:pStyle w:val="BodyText2"/>
        <w:spacing w:after="0" w:line="360" w:lineRule="auto"/>
        <w:rPr>
          <w:sz w:val="26"/>
        </w:rPr>
      </w:pPr>
      <w:r>
        <w:rPr>
          <w:sz w:val="26"/>
        </w:rPr>
        <w:lastRenderedPageBreak/>
        <w:t xml:space="preserve"> 12 kV </w:t>
      </w:r>
      <w:r w:rsidR="00AA4C40">
        <w:rPr>
          <w:sz w:val="26"/>
        </w:rPr>
        <w:t>distribution line.  This second line will serve approximately 1,</w:t>
      </w:r>
      <w:r w:rsidR="00CC69CB">
        <w:rPr>
          <w:sz w:val="26"/>
        </w:rPr>
        <w:t>500 customers.  R.D. at 29-30.</w:t>
      </w:r>
    </w:p>
    <w:p w:rsidR="00AA4C40" w:rsidRDefault="00AA4C40" w:rsidP="001764A3">
      <w:pPr>
        <w:pStyle w:val="BodyText2"/>
        <w:spacing w:after="0" w:line="360" w:lineRule="auto"/>
        <w:ind w:firstLine="1440"/>
        <w:rPr>
          <w:sz w:val="26"/>
        </w:rPr>
      </w:pPr>
    </w:p>
    <w:p w:rsidR="00AA4C40" w:rsidRDefault="00AA4C40" w:rsidP="001764A3">
      <w:pPr>
        <w:pStyle w:val="BodyText2"/>
        <w:spacing w:after="0" w:line="360" w:lineRule="auto"/>
        <w:ind w:firstLine="1440"/>
        <w:rPr>
          <w:sz w:val="26"/>
        </w:rPr>
      </w:pPr>
      <w:r>
        <w:rPr>
          <w:sz w:val="26"/>
        </w:rPr>
        <w:t xml:space="preserve">In order to provide transmission to the proposed Effort Mountain Substation, </w:t>
      </w:r>
      <w:r w:rsidR="00927EE5">
        <w:rPr>
          <w:sz w:val="26"/>
        </w:rPr>
        <w:t xml:space="preserve">PPL proposes to construct the Effort Mountain Taps which will provide supply from the existing Siegfried-Jackson 138 kV Transmission Lines.  The Taps will be designed for future 138 kV double circuit operation.  Initially, only </w:t>
      </w:r>
      <w:r w:rsidR="00432C2D">
        <w:rPr>
          <w:sz w:val="26"/>
        </w:rPr>
        <w:t xml:space="preserve">one </w:t>
      </w:r>
      <w:r w:rsidR="00927EE5">
        <w:rPr>
          <w:sz w:val="26"/>
        </w:rPr>
        <w:t xml:space="preserve">138 kV circuit will be installed on 4.6 miles of the line.  The second 138 kV circuit will not be installed until future load growth requires it.  </w:t>
      </w:r>
      <w:r w:rsidR="000E7556">
        <w:rPr>
          <w:sz w:val="26"/>
        </w:rPr>
        <w:t xml:space="preserve">Both 138 kV circuits will be installed on the remaining 1.1 miles of the line, but the second circuit initially will operate as a distribution line at 12 kV and will be increased to 138 kV operation in the future when needed for future load growth.  </w:t>
      </w:r>
      <w:r w:rsidR="00927EE5">
        <w:rPr>
          <w:sz w:val="26"/>
        </w:rPr>
        <w:t xml:space="preserve">R.D. at 30.  </w:t>
      </w:r>
    </w:p>
    <w:p w:rsidR="000E7556" w:rsidRDefault="000E7556" w:rsidP="001764A3">
      <w:pPr>
        <w:pStyle w:val="BodyText2"/>
        <w:spacing w:after="0" w:line="360" w:lineRule="auto"/>
        <w:ind w:firstLine="1440"/>
        <w:rPr>
          <w:sz w:val="26"/>
        </w:rPr>
      </w:pPr>
    </w:p>
    <w:p w:rsidR="000E7556" w:rsidRDefault="000E7556" w:rsidP="001764A3">
      <w:pPr>
        <w:pStyle w:val="BodyText2"/>
        <w:spacing w:after="0" w:line="360" w:lineRule="auto"/>
        <w:ind w:firstLine="1440"/>
        <w:rPr>
          <w:sz w:val="26"/>
        </w:rPr>
      </w:pPr>
      <w:r>
        <w:rPr>
          <w:sz w:val="26"/>
        </w:rPr>
        <w:t>The estimated cost of the Effort Mountain Taps is approximately $5,721,030.  The total estimated cost of the Effort Mountain Project, including transmission, distribution and substation, is $8,755,000.  R.D. at 30.</w:t>
      </w:r>
    </w:p>
    <w:p w:rsidR="000E7556" w:rsidRDefault="000E7556" w:rsidP="001764A3">
      <w:pPr>
        <w:pStyle w:val="BodyText2"/>
        <w:spacing w:after="0" w:line="360" w:lineRule="auto"/>
        <w:ind w:firstLine="1440"/>
        <w:rPr>
          <w:sz w:val="26"/>
        </w:rPr>
      </w:pPr>
    </w:p>
    <w:p w:rsidR="00091A97" w:rsidRPr="00091A97" w:rsidRDefault="00091A97" w:rsidP="00BB4F94">
      <w:pPr>
        <w:pStyle w:val="BodyText2"/>
        <w:spacing w:after="0" w:line="360" w:lineRule="auto"/>
        <w:rPr>
          <w:b/>
          <w:sz w:val="26"/>
        </w:rPr>
      </w:pPr>
      <w:r w:rsidRPr="00091A97">
        <w:rPr>
          <w:b/>
          <w:sz w:val="26"/>
        </w:rPr>
        <w:t xml:space="preserve">The Recommended Decision </w:t>
      </w:r>
    </w:p>
    <w:p w:rsidR="002431F5" w:rsidRDefault="002431F5" w:rsidP="00BB4F94">
      <w:pPr>
        <w:pStyle w:val="BodyText2"/>
        <w:spacing w:after="0" w:line="360" w:lineRule="auto"/>
        <w:rPr>
          <w:sz w:val="26"/>
        </w:rPr>
      </w:pPr>
    </w:p>
    <w:p w:rsidR="00640EBA" w:rsidRDefault="002431F5" w:rsidP="0031729F">
      <w:pPr>
        <w:pStyle w:val="BodyText2"/>
        <w:spacing w:after="0" w:line="360" w:lineRule="auto"/>
        <w:ind w:firstLine="1440"/>
        <w:rPr>
          <w:sz w:val="26"/>
        </w:rPr>
      </w:pPr>
      <w:r>
        <w:rPr>
          <w:sz w:val="26"/>
        </w:rPr>
        <w:t xml:space="preserve">In </w:t>
      </w:r>
      <w:r w:rsidR="00FD6024">
        <w:rPr>
          <w:sz w:val="26"/>
        </w:rPr>
        <w:t>his</w:t>
      </w:r>
      <w:r>
        <w:rPr>
          <w:sz w:val="26"/>
        </w:rPr>
        <w:t xml:space="preserve"> Recommended Decision, </w:t>
      </w:r>
      <w:r w:rsidR="00FD6024">
        <w:rPr>
          <w:sz w:val="26"/>
        </w:rPr>
        <w:t>ALJ Weismandel</w:t>
      </w:r>
      <w:r>
        <w:rPr>
          <w:sz w:val="26"/>
        </w:rPr>
        <w:t xml:space="preserve"> reviewed the record </w:t>
      </w:r>
      <w:r w:rsidR="00FD6024">
        <w:rPr>
          <w:sz w:val="26"/>
        </w:rPr>
        <w:t xml:space="preserve">and </w:t>
      </w:r>
      <w:r>
        <w:rPr>
          <w:sz w:val="26"/>
        </w:rPr>
        <w:t xml:space="preserve">the criteria for siting </w:t>
      </w:r>
      <w:r w:rsidR="00091A97">
        <w:rPr>
          <w:sz w:val="26"/>
        </w:rPr>
        <w:t xml:space="preserve">transmission lines </w:t>
      </w:r>
      <w:r>
        <w:rPr>
          <w:sz w:val="26"/>
        </w:rPr>
        <w:t xml:space="preserve">established in our regulations:  </w:t>
      </w:r>
      <w:r w:rsidR="005A18EE">
        <w:rPr>
          <w:sz w:val="26"/>
        </w:rPr>
        <w:t>He then considered the criteria for exempting public utility buildings from local zoning regulations.  Finally, he applied the criteria for granting an eminent domain application.</w:t>
      </w:r>
    </w:p>
    <w:p w:rsidR="005A7032" w:rsidRDefault="005A7032" w:rsidP="00640EBA">
      <w:pPr>
        <w:pStyle w:val="BodyText2"/>
        <w:spacing w:after="0" w:line="360" w:lineRule="auto"/>
        <w:rPr>
          <w:sz w:val="26"/>
        </w:rPr>
      </w:pPr>
    </w:p>
    <w:p w:rsidR="009C321B" w:rsidRPr="009C321B" w:rsidRDefault="009C321B" w:rsidP="009C321B">
      <w:pPr>
        <w:pStyle w:val="BodyText2"/>
        <w:spacing w:after="0" w:line="360" w:lineRule="auto"/>
        <w:ind w:firstLine="720"/>
        <w:rPr>
          <w:b/>
          <w:sz w:val="26"/>
        </w:rPr>
      </w:pPr>
      <w:r>
        <w:rPr>
          <w:b/>
          <w:sz w:val="26"/>
        </w:rPr>
        <w:t>Siting and Construction of the Transmission Line</w:t>
      </w:r>
    </w:p>
    <w:p w:rsidR="009C321B" w:rsidRDefault="009C321B" w:rsidP="00640EBA">
      <w:pPr>
        <w:pStyle w:val="BodyText2"/>
        <w:spacing w:after="0" w:line="360" w:lineRule="auto"/>
        <w:rPr>
          <w:sz w:val="26"/>
        </w:rPr>
      </w:pPr>
    </w:p>
    <w:p w:rsidR="009C321B" w:rsidRDefault="009C321B" w:rsidP="009C321B">
      <w:pPr>
        <w:pStyle w:val="BodyText2"/>
        <w:spacing w:after="0" w:line="360" w:lineRule="auto"/>
        <w:ind w:firstLine="1440"/>
        <w:rPr>
          <w:sz w:val="26"/>
        </w:rPr>
      </w:pPr>
      <w:r>
        <w:rPr>
          <w:sz w:val="26"/>
        </w:rPr>
        <w:t xml:space="preserve">In reviewing the Siting Application, ALJ Weismandel considered the need for the line; </w:t>
      </w:r>
      <w:r w:rsidR="00810DDB">
        <w:rPr>
          <w:sz w:val="26"/>
        </w:rPr>
        <w:t xml:space="preserve">the route and route selection process, and the issues of engineering </w:t>
      </w:r>
      <w:r>
        <w:rPr>
          <w:sz w:val="26"/>
        </w:rPr>
        <w:t>and safety</w:t>
      </w:r>
      <w:r w:rsidR="00810DDB">
        <w:rPr>
          <w:sz w:val="26"/>
        </w:rPr>
        <w:t>.</w:t>
      </w:r>
    </w:p>
    <w:p w:rsidR="009C321B" w:rsidRDefault="009C321B" w:rsidP="00640EBA">
      <w:pPr>
        <w:pStyle w:val="BodyText2"/>
        <w:spacing w:after="0" w:line="360" w:lineRule="auto"/>
        <w:rPr>
          <w:sz w:val="26"/>
        </w:rPr>
      </w:pPr>
    </w:p>
    <w:p w:rsidR="00640EBA" w:rsidRPr="00640EBA" w:rsidRDefault="00640EBA" w:rsidP="009C321B">
      <w:pPr>
        <w:pStyle w:val="BodyText2"/>
        <w:spacing w:after="0" w:line="360" w:lineRule="auto"/>
        <w:ind w:firstLine="1440"/>
        <w:rPr>
          <w:b/>
          <w:sz w:val="26"/>
        </w:rPr>
      </w:pPr>
      <w:r w:rsidRPr="00640EBA">
        <w:rPr>
          <w:b/>
          <w:sz w:val="26"/>
        </w:rPr>
        <w:t>Need for the Line</w:t>
      </w:r>
    </w:p>
    <w:p w:rsidR="00640EBA" w:rsidRDefault="00640EBA" w:rsidP="00640EBA">
      <w:pPr>
        <w:pStyle w:val="BodyText2"/>
        <w:spacing w:after="0" w:line="360" w:lineRule="auto"/>
        <w:rPr>
          <w:sz w:val="26"/>
        </w:rPr>
      </w:pPr>
    </w:p>
    <w:p w:rsidR="007C2DE4" w:rsidRDefault="005A7032" w:rsidP="00FD6024">
      <w:pPr>
        <w:pStyle w:val="BodyText2"/>
        <w:spacing w:after="0" w:line="360" w:lineRule="auto"/>
        <w:ind w:firstLine="1440"/>
        <w:rPr>
          <w:sz w:val="26"/>
        </w:rPr>
      </w:pPr>
      <w:r>
        <w:rPr>
          <w:sz w:val="26"/>
        </w:rPr>
        <w:t xml:space="preserve">With regard to the need for </w:t>
      </w:r>
      <w:r w:rsidR="009A472A">
        <w:rPr>
          <w:sz w:val="26"/>
        </w:rPr>
        <w:t xml:space="preserve">the </w:t>
      </w:r>
      <w:r>
        <w:rPr>
          <w:sz w:val="26"/>
        </w:rPr>
        <w:t xml:space="preserve">line, the ALJ found that the proposed line was a result of </w:t>
      </w:r>
      <w:r w:rsidR="00FD6024">
        <w:rPr>
          <w:sz w:val="26"/>
        </w:rPr>
        <w:t xml:space="preserve">a detailed system planning process and application of PPL’s planning guidelines.  R.D. at 27.  </w:t>
      </w:r>
      <w:r w:rsidR="00FE1251">
        <w:rPr>
          <w:sz w:val="26"/>
        </w:rPr>
        <w:t xml:space="preserve">In these particular cases, the ALJ found that PPL had identified several distribution lines and transformers in the Sun Valley/Jonas area </w:t>
      </w:r>
      <w:r w:rsidR="000E2985">
        <w:rPr>
          <w:sz w:val="26"/>
        </w:rPr>
        <w:t xml:space="preserve">that are, or soon will be, overloaded as a result of load growth due to housing development.  The ALJ noted that the Sun Valley/Jonas area receives its distribution services from the Meckesville 69-12 kV Substation, and two 12 kV distribution lines.  </w:t>
      </w:r>
      <w:r w:rsidR="004856F3">
        <w:rPr>
          <w:sz w:val="26"/>
        </w:rPr>
        <w:t>The ALJ found that the number of customers on the Meckesville 69-1 12 kV distribution l</w:t>
      </w:r>
      <w:r w:rsidR="00C06A92">
        <w:rPr>
          <w:sz w:val="26"/>
        </w:rPr>
        <w:t>ine increased by an average of three</w:t>
      </w:r>
      <w:r w:rsidR="004856F3">
        <w:rPr>
          <w:sz w:val="26"/>
        </w:rPr>
        <w:t xml:space="preserve"> percent per year, and the number of customers on the Meckesville 69-2 12 kV distribution line increased by an average of </w:t>
      </w:r>
      <w:r w:rsidR="00C06A92">
        <w:rPr>
          <w:sz w:val="26"/>
        </w:rPr>
        <w:t>six</w:t>
      </w:r>
      <w:r w:rsidR="004856F3">
        <w:rPr>
          <w:sz w:val="26"/>
        </w:rPr>
        <w:t xml:space="preserve"> percent per year.  </w:t>
      </w:r>
      <w:r w:rsidR="008E77AA">
        <w:rPr>
          <w:sz w:val="26"/>
        </w:rPr>
        <w:t>The ALJ also found that the 2011 winter load on the Meckesville 69-1 12 kV distribution line is projected to be 10.2 MVA</w:t>
      </w:r>
      <w:r w:rsidR="00687BAF">
        <w:rPr>
          <w:rStyle w:val="FootnoteReference"/>
        </w:rPr>
        <w:footnoteReference w:id="8"/>
      </w:r>
      <w:r w:rsidR="008E77AA">
        <w:rPr>
          <w:sz w:val="26"/>
        </w:rPr>
        <w:t>, which exceeds the normal planning guideline of 10 MVA.</w:t>
      </w:r>
      <w:r w:rsidR="00687BAF">
        <w:rPr>
          <w:sz w:val="26"/>
        </w:rPr>
        <w:t xml:space="preserve">  Similarly, the ALJ found that the Meckesville 69-1 12 kV distribution line began to exceed its normal planning guidelines of 11 MVA in 2006, and exceeded the emergency guideline of </w:t>
      </w:r>
      <w:r w:rsidR="00371138">
        <w:rPr>
          <w:sz w:val="26"/>
        </w:rPr>
        <w:t>13 MVA in 2008.  R.D. at 28.</w:t>
      </w:r>
    </w:p>
    <w:p w:rsidR="00E14B2D" w:rsidRDefault="00E14B2D" w:rsidP="00FD6024">
      <w:pPr>
        <w:pStyle w:val="BodyText2"/>
        <w:spacing w:after="0" w:line="360" w:lineRule="auto"/>
        <w:ind w:firstLine="1440"/>
        <w:rPr>
          <w:sz w:val="26"/>
        </w:rPr>
      </w:pPr>
    </w:p>
    <w:p w:rsidR="00E14B2D" w:rsidRDefault="00E14B2D" w:rsidP="00FD6024">
      <w:pPr>
        <w:pStyle w:val="BodyText2"/>
        <w:spacing w:after="0" w:line="360" w:lineRule="auto"/>
        <w:ind w:firstLine="1440"/>
        <w:rPr>
          <w:sz w:val="26"/>
        </w:rPr>
      </w:pPr>
      <w:r>
        <w:rPr>
          <w:sz w:val="26"/>
        </w:rPr>
        <w:t>The ALJ then discussed thermal guidelines, noting that a thermal guideline is the load at which the facility is in danger of melting.  The ALJ found that operating the Meckesville 69-1 and 69-2 distribution lines beyond their planning guidelines would overheat the lines and anneal the conductors which could result in an outage.  R.D. at 28.  The ALJ st</w:t>
      </w:r>
      <w:r w:rsidR="00D458CA">
        <w:rPr>
          <w:sz w:val="26"/>
        </w:rPr>
        <w:t>ated that in the event of a service interruption, PPL would normally transfer load to neighboring circuits until repairs or replacements could be completed.  However, the ALJ found that load transfer capability in the Sun Valley/Jonas area is limited</w:t>
      </w:r>
      <w:r w:rsidR="00024060">
        <w:rPr>
          <w:sz w:val="26"/>
        </w:rPr>
        <w:t xml:space="preserve"> because neighboring circuits are also approaching their emergency planning guidelines.  </w:t>
      </w:r>
      <w:r w:rsidR="00024060" w:rsidRPr="00024060">
        <w:rPr>
          <w:i/>
          <w:sz w:val="26"/>
        </w:rPr>
        <w:lastRenderedPageBreak/>
        <w:t>Id.</w:t>
      </w:r>
      <w:r w:rsidR="00024060">
        <w:rPr>
          <w:sz w:val="26"/>
        </w:rPr>
        <w:t xml:space="preserve">  The ALJ also found that the same analysis with projected overloads applies to the transformers at the Meckesville 69-12 kV Substation.  The ALJ stated, “In short, the Sun Valley/Jonas area is one of PPL Electric’s poorest performing areas in terms of the number of service outages, duration of outages, and number of customers affected.”  </w:t>
      </w:r>
      <w:r w:rsidR="00024060" w:rsidRPr="007B520A">
        <w:rPr>
          <w:i/>
          <w:sz w:val="26"/>
        </w:rPr>
        <w:t>Id.</w:t>
      </w:r>
      <w:r w:rsidR="009E1505">
        <w:rPr>
          <w:sz w:val="26"/>
        </w:rPr>
        <w:t> </w:t>
      </w:r>
      <w:r w:rsidR="00024060">
        <w:rPr>
          <w:sz w:val="26"/>
        </w:rPr>
        <w:t>at 29.</w:t>
      </w:r>
    </w:p>
    <w:p w:rsidR="006B0A91" w:rsidRDefault="006B0A91" w:rsidP="002326E8">
      <w:pPr>
        <w:pStyle w:val="BodyText2"/>
        <w:spacing w:after="0" w:line="360" w:lineRule="auto"/>
        <w:rPr>
          <w:sz w:val="26"/>
        </w:rPr>
      </w:pPr>
    </w:p>
    <w:p w:rsidR="007B520A" w:rsidRDefault="007B520A" w:rsidP="007B520A">
      <w:pPr>
        <w:pStyle w:val="BodyText2"/>
        <w:spacing w:after="0" w:line="360" w:lineRule="auto"/>
        <w:ind w:firstLine="1440"/>
        <w:rPr>
          <w:sz w:val="26"/>
        </w:rPr>
      </w:pPr>
      <w:r>
        <w:rPr>
          <w:sz w:val="26"/>
        </w:rPr>
        <w:t xml:space="preserve">Next, the ALJ reviewed the alternative solutions examined by PPL.  The preferred solution is that described above consisting of a new Effort Mountain 138-12 kV Substation with the two new 12 kV distribution lines in Chestnuthill and Polk Townships, Monroe County.  </w:t>
      </w:r>
      <w:r w:rsidR="007C6456">
        <w:rPr>
          <w:sz w:val="26"/>
        </w:rPr>
        <w:t xml:space="preserve">Again, the purpose of the project is to reduce the load on the Meckesville lines described above.  </w:t>
      </w:r>
    </w:p>
    <w:p w:rsidR="00354DCC" w:rsidRDefault="00354DCC" w:rsidP="007B520A">
      <w:pPr>
        <w:pStyle w:val="BodyText2"/>
        <w:spacing w:after="0" w:line="360" w:lineRule="auto"/>
        <w:ind w:firstLine="1440"/>
        <w:rPr>
          <w:sz w:val="26"/>
        </w:rPr>
      </w:pPr>
    </w:p>
    <w:p w:rsidR="00354DCC" w:rsidRDefault="00354DCC" w:rsidP="007B520A">
      <w:pPr>
        <w:pStyle w:val="BodyText2"/>
        <w:spacing w:after="0" w:line="360" w:lineRule="auto"/>
        <w:ind w:firstLine="1440"/>
        <w:rPr>
          <w:sz w:val="26"/>
        </w:rPr>
      </w:pPr>
      <w:r>
        <w:rPr>
          <w:sz w:val="26"/>
        </w:rPr>
        <w:t xml:space="preserve">One alternative to the preferred solution was for PPL to enhance the existing facilities in the Sun Valley/Jonas area.  The ALJ found that this would involve building two new lines from the Meckesville Substation.  However, the limited route options would require use of the existing poles for the 69-1 and 69-2 kV lines.  PPL explained that this would create the hazard that both circuits </w:t>
      </w:r>
      <w:r w:rsidR="00183B60">
        <w:rPr>
          <w:sz w:val="26"/>
        </w:rPr>
        <w:t xml:space="preserve">would be exposed to the same hazards that cause outages.  In addition, larger transformers would need to be installed at the Meckesville Substation and an additional substation to the east of the Meckesville Substation would be needed in the future.  The ALJ noted that PPL rejected this alternative because it “would not provide the same reliability benefits, load relief, or operating flexibility that a new substation would provide.”  R.D. at 31.  </w:t>
      </w:r>
    </w:p>
    <w:p w:rsidR="00B30F4F" w:rsidRDefault="00B30F4F" w:rsidP="007B520A">
      <w:pPr>
        <w:pStyle w:val="BodyText2"/>
        <w:spacing w:after="0" w:line="360" w:lineRule="auto"/>
        <w:ind w:firstLine="1440"/>
        <w:rPr>
          <w:sz w:val="26"/>
        </w:rPr>
      </w:pPr>
    </w:p>
    <w:p w:rsidR="00B30F4F" w:rsidRDefault="00B30F4F" w:rsidP="007B520A">
      <w:pPr>
        <w:pStyle w:val="BodyText2"/>
        <w:spacing w:after="0" w:line="360" w:lineRule="auto"/>
        <w:ind w:firstLine="1440"/>
        <w:rPr>
          <w:sz w:val="26"/>
        </w:rPr>
      </w:pPr>
      <w:r>
        <w:rPr>
          <w:sz w:val="26"/>
        </w:rPr>
        <w:t xml:space="preserve">PPL also considered constructing two new substations.  One substation would be built to the north of the existing Meckesville 69-2 12 kV line and an additional substation would be built approximately 1.5 miles south of the proposed Effort Mountain 138-12 kV Substation.  R.D. at 31.  PPL rejected this alternative because the line that would be used to supply the first substation is already heavily loaded.  In addition, PPL determined that a two-substation project would “require over 7.7 miles of transmission </w:t>
      </w:r>
      <w:r>
        <w:rPr>
          <w:sz w:val="26"/>
        </w:rPr>
        <w:lastRenderedPageBreak/>
        <w:t xml:space="preserve">facilities, two substations, and additional distribution facilities.  The estimated total cost of this alternative is $12,000,000.  Thus the preferred alternative provides greater reliability, load relief, and operating flexibility, while building fewer facilities at a lower cost.”  </w:t>
      </w:r>
      <w:r w:rsidRPr="00B30F4F">
        <w:rPr>
          <w:i/>
          <w:sz w:val="26"/>
        </w:rPr>
        <w:t>Id.</w:t>
      </w:r>
      <w:r>
        <w:rPr>
          <w:sz w:val="26"/>
        </w:rPr>
        <w:t xml:space="preserve"> at 32.  </w:t>
      </w:r>
    </w:p>
    <w:p w:rsidR="00C664E5" w:rsidRDefault="00C664E5" w:rsidP="007B520A">
      <w:pPr>
        <w:pStyle w:val="BodyText2"/>
        <w:spacing w:after="0" w:line="360" w:lineRule="auto"/>
        <w:ind w:firstLine="1440"/>
        <w:rPr>
          <w:sz w:val="26"/>
        </w:rPr>
      </w:pPr>
    </w:p>
    <w:p w:rsidR="00F1442D" w:rsidRDefault="00F1442D" w:rsidP="007B520A">
      <w:pPr>
        <w:pStyle w:val="BodyText2"/>
        <w:spacing w:after="0" w:line="360" w:lineRule="auto"/>
        <w:ind w:firstLine="1440"/>
        <w:rPr>
          <w:sz w:val="26"/>
        </w:rPr>
      </w:pPr>
      <w:r>
        <w:rPr>
          <w:sz w:val="26"/>
        </w:rPr>
        <w:t xml:space="preserve">Suzanne Hart raised several arguments in opposition to the proposed Effort Mountain solution before the ALJ.  She first argued that there was no need for the project because the projected national growth in electricity load had declined.  The ALJ found that while the projected national growth in usage had declined, </w:t>
      </w:r>
      <w:r w:rsidR="00C40BC4">
        <w:rPr>
          <w:sz w:val="26"/>
        </w:rPr>
        <w:t>there was still growth.  More importantly, the national projections of electrical usage ignored the fact that certain Sun Valley/Jonas area lines</w:t>
      </w:r>
      <w:r w:rsidR="00C06A92">
        <w:rPr>
          <w:sz w:val="26"/>
        </w:rPr>
        <w:t>,</w:t>
      </w:r>
      <w:r w:rsidR="00C40BC4">
        <w:rPr>
          <w:sz w:val="26"/>
        </w:rPr>
        <w:t xml:space="preserve"> which the Effort Mountain solution is designed to relieve</w:t>
      </w:r>
      <w:r w:rsidR="00DF2917">
        <w:rPr>
          <w:sz w:val="26"/>
        </w:rPr>
        <w:t>,</w:t>
      </w:r>
      <w:r w:rsidR="00C40BC4">
        <w:rPr>
          <w:sz w:val="26"/>
        </w:rPr>
        <w:t xml:space="preserve"> </w:t>
      </w:r>
      <w:r w:rsidR="00DF2917">
        <w:rPr>
          <w:sz w:val="26"/>
        </w:rPr>
        <w:t>are</w:t>
      </w:r>
      <w:r w:rsidR="00C40BC4">
        <w:rPr>
          <w:sz w:val="26"/>
        </w:rPr>
        <w:t xml:space="preserve"> already at or near overload capacity.  The ALJ found that “even if no further load were to occur, the distribution system in the Sun Valley/Jonas area needs to be reinforced now.”  R.D. at 32.</w:t>
      </w:r>
    </w:p>
    <w:p w:rsidR="00C40BC4" w:rsidRDefault="00C40BC4" w:rsidP="007B520A">
      <w:pPr>
        <w:pStyle w:val="BodyText2"/>
        <w:spacing w:after="0" w:line="360" w:lineRule="auto"/>
        <w:ind w:firstLine="1440"/>
        <w:rPr>
          <w:sz w:val="26"/>
        </w:rPr>
      </w:pPr>
    </w:p>
    <w:p w:rsidR="00C40BC4" w:rsidRDefault="00C40BC4" w:rsidP="007B520A">
      <w:pPr>
        <w:pStyle w:val="BodyText2"/>
        <w:spacing w:after="0" w:line="360" w:lineRule="auto"/>
        <w:ind w:firstLine="1440"/>
        <w:rPr>
          <w:sz w:val="26"/>
        </w:rPr>
      </w:pPr>
      <w:r>
        <w:rPr>
          <w:sz w:val="26"/>
        </w:rPr>
        <w:t xml:space="preserve">Ms. Hart next </w:t>
      </w:r>
      <w:r w:rsidR="00993F16">
        <w:rPr>
          <w:sz w:val="26"/>
        </w:rPr>
        <w:t xml:space="preserve">argued that PPL’s energy efficiency programs may eliminate the need for the proposed project.  The ALJ again pointed to the fact that while energy efficiency programs may reduce demand growth, the Sun Valley/Jonas area distribution </w:t>
      </w:r>
      <w:r w:rsidR="00FD45F1">
        <w:rPr>
          <w:sz w:val="26"/>
        </w:rPr>
        <w:t>system requires</w:t>
      </w:r>
      <w:r w:rsidR="00993F16">
        <w:rPr>
          <w:sz w:val="26"/>
        </w:rPr>
        <w:t xml:space="preserve"> relief now.  R.D. at 33.  Similarly, Ms. Hart argued that fuel cells, microgrids and smart grid technologies could serve to remove some of the need for the project.  The ALJ noted that the loading relief the Effort Mountain solution is designed to provide is needed now.  The various technologies put forth by Ms. Hart may have some future impact, but ignored the existing situation requiring the </w:t>
      </w:r>
      <w:r w:rsidR="00FF1E66">
        <w:rPr>
          <w:sz w:val="26"/>
        </w:rPr>
        <w:t xml:space="preserve">Effort Mountain solution.  </w:t>
      </w:r>
      <w:r w:rsidR="00FF1E66" w:rsidRPr="00FF1E66">
        <w:rPr>
          <w:i/>
          <w:sz w:val="26"/>
        </w:rPr>
        <w:t>Id.</w:t>
      </w:r>
    </w:p>
    <w:p w:rsidR="00FF1E66" w:rsidRDefault="00FF1E66" w:rsidP="007B520A">
      <w:pPr>
        <w:pStyle w:val="BodyText2"/>
        <w:spacing w:after="0" w:line="360" w:lineRule="auto"/>
        <w:ind w:firstLine="1440"/>
        <w:rPr>
          <w:sz w:val="26"/>
        </w:rPr>
      </w:pPr>
    </w:p>
    <w:p w:rsidR="00FF1E66" w:rsidRDefault="00FF1E66" w:rsidP="007B520A">
      <w:pPr>
        <w:pStyle w:val="BodyText2"/>
        <w:spacing w:after="0" w:line="360" w:lineRule="auto"/>
        <w:ind w:firstLine="1440"/>
        <w:rPr>
          <w:sz w:val="26"/>
        </w:rPr>
      </w:pPr>
      <w:r>
        <w:rPr>
          <w:sz w:val="26"/>
        </w:rPr>
        <w:t>Finally, as to need for the project, Ms. Hart asserted that the real purpose of the Effort Mountain project is to provide PPL with transmission capability to out-of-state markets.  However, the ALJ found that the proposal is entirely local in nature.  The ALJ noted that the project is designed to deliver power</w:t>
      </w:r>
      <w:r w:rsidR="00847DE2">
        <w:rPr>
          <w:sz w:val="26"/>
        </w:rPr>
        <w:t xml:space="preserve"> to the Effort Mountain Substation, </w:t>
      </w:r>
      <w:r w:rsidR="00FD45F1">
        <w:rPr>
          <w:sz w:val="26"/>
        </w:rPr>
        <w:t xml:space="preserve">then </w:t>
      </w:r>
      <w:r w:rsidR="00FD45F1">
        <w:rPr>
          <w:sz w:val="26"/>
        </w:rPr>
        <w:lastRenderedPageBreak/>
        <w:t>over</w:t>
      </w:r>
      <w:r>
        <w:rPr>
          <w:sz w:val="26"/>
        </w:rPr>
        <w:t xml:space="preserve"> 12 kV </w:t>
      </w:r>
      <w:r w:rsidR="00847DE2">
        <w:rPr>
          <w:sz w:val="26"/>
        </w:rPr>
        <w:t xml:space="preserve">distribution </w:t>
      </w:r>
      <w:r>
        <w:rPr>
          <w:sz w:val="26"/>
        </w:rPr>
        <w:t>lines</w:t>
      </w:r>
      <w:r w:rsidR="00847DE2">
        <w:rPr>
          <w:sz w:val="26"/>
        </w:rPr>
        <w:t xml:space="preserve"> to end-use residential customers.  Those 12 kV distribution lines are designed for local distribution and do not have the capacity to transport power out of state.  For all of the foregoing reasons, the ALJ found that Ms. Hart’s opposition to the need for the Effort Mountain Project was without merit.  Each of Ms. Hart’s arguments was found to disregard the fact that the loads on certain distribution facilities in the Sun Valley/Jonas area are already in excess of planning guidelines and others soon will be.  R.D. at 34.</w:t>
      </w:r>
    </w:p>
    <w:p w:rsidR="005663B7" w:rsidRDefault="005663B7" w:rsidP="007B520A">
      <w:pPr>
        <w:pStyle w:val="BodyText2"/>
        <w:spacing w:after="0" w:line="360" w:lineRule="auto"/>
        <w:ind w:firstLine="1440"/>
        <w:rPr>
          <w:sz w:val="26"/>
        </w:rPr>
      </w:pPr>
    </w:p>
    <w:p w:rsidR="00640EBA" w:rsidRPr="00640EBA" w:rsidRDefault="00DF2917" w:rsidP="00DF2917">
      <w:pPr>
        <w:pStyle w:val="BodyText2"/>
        <w:keepNext/>
        <w:keepLines/>
        <w:spacing w:after="0" w:line="360" w:lineRule="auto"/>
        <w:ind w:firstLine="1440"/>
        <w:rPr>
          <w:b/>
          <w:sz w:val="26"/>
        </w:rPr>
      </w:pPr>
      <w:r>
        <w:rPr>
          <w:b/>
          <w:sz w:val="26"/>
        </w:rPr>
        <w:t>Route and Route Selection Process</w:t>
      </w:r>
    </w:p>
    <w:p w:rsidR="00640EBA" w:rsidRDefault="00640EBA" w:rsidP="00D76D4B">
      <w:pPr>
        <w:pStyle w:val="BodyText2"/>
        <w:keepNext/>
        <w:keepLines/>
        <w:spacing w:after="0" w:line="360" w:lineRule="auto"/>
        <w:ind w:firstLine="1440"/>
        <w:rPr>
          <w:sz w:val="26"/>
        </w:rPr>
      </w:pPr>
    </w:p>
    <w:p w:rsidR="00D9715B" w:rsidRDefault="00C67672" w:rsidP="00D76D4B">
      <w:pPr>
        <w:pStyle w:val="BodyText2"/>
        <w:keepNext/>
        <w:keepLines/>
        <w:spacing w:after="0" w:line="360" w:lineRule="auto"/>
        <w:ind w:firstLine="1440"/>
        <w:rPr>
          <w:sz w:val="26"/>
        </w:rPr>
      </w:pPr>
      <w:r>
        <w:rPr>
          <w:sz w:val="26"/>
        </w:rPr>
        <w:t xml:space="preserve">The ALJ next examined PPL’s proposed route and the route selection process for the Effort Mountain Taps.  According to the ALJ, PPL’s “analysis included designation of a ‘Study Area’, compilation of an environmental inventory, identification of alternative routes, analysis of the alternative routes, and selection of the proposed line route.”  R.D. at 34.  </w:t>
      </w:r>
      <w:r w:rsidR="00CC49C4">
        <w:rPr>
          <w:sz w:val="26"/>
        </w:rPr>
        <w:t>The ALJ provides a thorough description of PPL’s</w:t>
      </w:r>
      <w:r w:rsidR="00D9715B">
        <w:rPr>
          <w:sz w:val="26"/>
        </w:rPr>
        <w:t xml:space="preserve"> route selection</w:t>
      </w:r>
      <w:r w:rsidR="00CC49C4">
        <w:rPr>
          <w:sz w:val="26"/>
        </w:rPr>
        <w:t xml:space="preserve"> process at pages 34 through 38 </w:t>
      </w:r>
      <w:r w:rsidR="00FD45F1">
        <w:rPr>
          <w:sz w:val="26"/>
        </w:rPr>
        <w:t>of the</w:t>
      </w:r>
      <w:r w:rsidR="00CC49C4">
        <w:rPr>
          <w:sz w:val="26"/>
        </w:rPr>
        <w:t xml:space="preserve"> Recomm</w:t>
      </w:r>
      <w:r w:rsidR="00D9715B">
        <w:rPr>
          <w:sz w:val="26"/>
        </w:rPr>
        <w:t>ended Decision.  The ALJ summarized the process as follows:</w:t>
      </w:r>
    </w:p>
    <w:p w:rsidR="00847DE2" w:rsidRDefault="00D9715B" w:rsidP="00D9715B">
      <w:pPr>
        <w:pStyle w:val="BodyText2"/>
        <w:spacing w:after="0" w:line="240" w:lineRule="auto"/>
        <w:ind w:left="1440" w:right="1440"/>
        <w:rPr>
          <w:sz w:val="26"/>
        </w:rPr>
      </w:pPr>
      <w:r>
        <w:rPr>
          <w:sz w:val="26"/>
        </w:rPr>
        <w:t xml:space="preserve">The siting methodology used for determining the preferred route for the Effort Mountain Taps uses a series of grid cells on aerial photographs or maps, which are assigned a value indicating how suitable the area in the cell is for a transmission line.  The features of each cell are identified and ranked from one (the most suitable areas) to nine (constraint areas).  Corridors with the cells having the lowest values </w:t>
      </w:r>
      <w:r w:rsidR="003F7B3A">
        <w:rPr>
          <w:sz w:val="26"/>
        </w:rPr>
        <w:t xml:space="preserve">have the highest overall suitability for a transmission line.  This process is repeated several times with cells of decreasing size and progressively more detailed and precise data.  To the extent practical, possible corridors were identified to avoid constraints.  (PPL Statement No. 4, pp. 4-9; PPL Exhibit 1, Exhibit D, pp. 4-10)  Although complete avoidance of all constraints is not feasible, PPL sought corridors that would avoid or minimize impacts on social and natural environmental features while meeting the functional and </w:t>
      </w:r>
      <w:r w:rsidR="003F7B3A">
        <w:rPr>
          <w:sz w:val="26"/>
        </w:rPr>
        <w:lastRenderedPageBreak/>
        <w:t>economic goals of the Effort Mountain Project.  (PPL Statement No. 2, pp. 6-9)</w:t>
      </w:r>
    </w:p>
    <w:p w:rsidR="003F7B3A" w:rsidRDefault="003F7B3A" w:rsidP="003F7B3A">
      <w:pPr>
        <w:pStyle w:val="BodyText2"/>
        <w:spacing w:after="0" w:line="360" w:lineRule="auto"/>
        <w:rPr>
          <w:sz w:val="26"/>
        </w:rPr>
      </w:pPr>
    </w:p>
    <w:p w:rsidR="003F7B3A" w:rsidRDefault="003F7B3A" w:rsidP="003F7B3A">
      <w:pPr>
        <w:pStyle w:val="BodyText2"/>
        <w:spacing w:after="0" w:line="360" w:lineRule="auto"/>
        <w:rPr>
          <w:sz w:val="26"/>
        </w:rPr>
      </w:pPr>
      <w:r>
        <w:rPr>
          <w:sz w:val="26"/>
        </w:rPr>
        <w:t>R.D. at 35-36.</w:t>
      </w:r>
    </w:p>
    <w:p w:rsidR="0096409A" w:rsidRDefault="0096409A" w:rsidP="003F7B3A">
      <w:pPr>
        <w:pStyle w:val="BodyText2"/>
        <w:spacing w:after="0" w:line="360" w:lineRule="auto"/>
        <w:rPr>
          <w:sz w:val="26"/>
        </w:rPr>
      </w:pPr>
    </w:p>
    <w:p w:rsidR="007475CC" w:rsidRDefault="0096409A" w:rsidP="0096409A">
      <w:pPr>
        <w:pStyle w:val="BodyText2"/>
        <w:spacing w:after="0" w:line="360" w:lineRule="auto"/>
        <w:ind w:firstLine="1440"/>
        <w:rPr>
          <w:sz w:val="26"/>
        </w:rPr>
      </w:pPr>
      <w:r>
        <w:rPr>
          <w:sz w:val="26"/>
        </w:rPr>
        <w:t xml:space="preserve">The ALJ noted that PPL identified several alternative routes using the above-described methodology.  PPL further refined those alternatives based on field surveys, location of residential properties, sight lines and “extensive public outreach.”  R.D. at 36.  </w:t>
      </w:r>
      <w:r w:rsidR="007475CC">
        <w:rPr>
          <w:sz w:val="26"/>
        </w:rPr>
        <w:t xml:space="preserve">At the end of that process, PPL developed four alternative routes with the route designated as “B1” as the preferred route.  </w:t>
      </w:r>
      <w:r w:rsidR="007475CC" w:rsidRPr="007475CC">
        <w:rPr>
          <w:i/>
          <w:sz w:val="26"/>
        </w:rPr>
        <w:t>Id.</w:t>
      </w:r>
      <w:r w:rsidR="007475CC">
        <w:rPr>
          <w:sz w:val="26"/>
        </w:rPr>
        <w:t xml:space="preserve">  Route B1 was selected as the preferred route after PPL compared all of the alternatives using both a qualitative and quantitative analysis.  The ALJ stated:</w:t>
      </w:r>
    </w:p>
    <w:p w:rsidR="00500D24" w:rsidRDefault="00500D24" w:rsidP="007475CC">
      <w:pPr>
        <w:pStyle w:val="BodyText2"/>
        <w:spacing w:after="0" w:line="240" w:lineRule="auto"/>
        <w:ind w:left="1440" w:right="1440"/>
        <w:rPr>
          <w:sz w:val="26"/>
        </w:rPr>
      </w:pPr>
    </w:p>
    <w:p w:rsidR="007475CC" w:rsidRDefault="00866D0F" w:rsidP="007475CC">
      <w:pPr>
        <w:pStyle w:val="BodyText2"/>
        <w:spacing w:after="0" w:line="240" w:lineRule="auto"/>
        <w:ind w:left="1440" w:right="1440"/>
        <w:rPr>
          <w:sz w:val="26"/>
        </w:rPr>
      </w:pPr>
      <w:r>
        <w:rPr>
          <w:sz w:val="26"/>
        </w:rPr>
        <w:t>Based on the quantitative and qualitative analysis explained in Exhibit D to PPL Exhibit 1, as well as the estimated costs of each alternative route (PPL Statement No. 3, p. 7), the Siting Team concluded that Route B1 was superior to the alternative routes.  Route B1 has the least overall adverse impact of all the routes giving consideration to the many factors that enter into selecting a transmission line route.  (PPL Statement No. 2, p. 17).</w:t>
      </w:r>
    </w:p>
    <w:p w:rsidR="00866D0F" w:rsidRDefault="00866D0F" w:rsidP="00866D0F">
      <w:pPr>
        <w:pStyle w:val="BodyText2"/>
        <w:spacing w:after="0" w:line="360" w:lineRule="auto"/>
        <w:rPr>
          <w:sz w:val="26"/>
        </w:rPr>
      </w:pPr>
    </w:p>
    <w:p w:rsidR="00866D0F" w:rsidRDefault="00866D0F" w:rsidP="00866D0F">
      <w:pPr>
        <w:pStyle w:val="BodyText2"/>
        <w:spacing w:after="0" w:line="360" w:lineRule="auto"/>
        <w:rPr>
          <w:sz w:val="26"/>
        </w:rPr>
      </w:pPr>
      <w:r>
        <w:rPr>
          <w:sz w:val="26"/>
        </w:rPr>
        <w:t>R.D. at 37.</w:t>
      </w:r>
    </w:p>
    <w:p w:rsidR="00866D0F" w:rsidRDefault="00866D0F" w:rsidP="00866D0F">
      <w:pPr>
        <w:pStyle w:val="BodyText2"/>
        <w:spacing w:after="0" w:line="360" w:lineRule="auto"/>
        <w:rPr>
          <w:sz w:val="26"/>
        </w:rPr>
      </w:pPr>
    </w:p>
    <w:p w:rsidR="00866D0F" w:rsidRDefault="00945570" w:rsidP="00945570">
      <w:pPr>
        <w:pStyle w:val="BodyText2"/>
        <w:spacing w:after="0" w:line="360" w:lineRule="auto"/>
        <w:ind w:firstLine="1440"/>
        <w:rPr>
          <w:sz w:val="26"/>
        </w:rPr>
      </w:pPr>
      <w:r>
        <w:rPr>
          <w:sz w:val="26"/>
        </w:rPr>
        <w:t xml:space="preserve">The ALJ further explained that once PPL determined that Route B1 was its preferred route, PPL continued to work with landowners and other interested persons to further reduce the impact of the project.  Those efforts resulted in additional modifications of Route B1.  </w:t>
      </w:r>
      <w:r w:rsidR="002D7A91">
        <w:rPr>
          <w:sz w:val="26"/>
        </w:rPr>
        <w:t xml:space="preserve">Significantly, PPL coordinated the purchase of 123 acres which are adjacent to the Jonas Mountain Preserve and over which Route B1 will traverse.  PPL donated the tract to the Jonas Mountain Preserve which not only substantially expanded the Preserve, but also resolved the concerns of many interested landowners.  R.D. at 37-38.  </w:t>
      </w:r>
    </w:p>
    <w:p w:rsidR="00F22BD1" w:rsidRDefault="00F22BD1" w:rsidP="00945570">
      <w:pPr>
        <w:pStyle w:val="BodyText2"/>
        <w:spacing w:after="0" w:line="360" w:lineRule="auto"/>
        <w:ind w:firstLine="1440"/>
        <w:rPr>
          <w:sz w:val="26"/>
        </w:rPr>
      </w:pPr>
    </w:p>
    <w:p w:rsidR="00F22BD1" w:rsidRDefault="00F22BD1" w:rsidP="00945570">
      <w:pPr>
        <w:pStyle w:val="BodyText2"/>
        <w:spacing w:after="0" w:line="360" w:lineRule="auto"/>
        <w:ind w:firstLine="1440"/>
        <w:rPr>
          <w:sz w:val="26"/>
        </w:rPr>
      </w:pPr>
      <w:r>
        <w:rPr>
          <w:sz w:val="26"/>
        </w:rPr>
        <w:t xml:space="preserve">Based on the foregoing reasons, the ALJ determined that </w:t>
      </w:r>
      <w:r w:rsidR="00500D24">
        <w:rPr>
          <w:sz w:val="26"/>
        </w:rPr>
        <w:t xml:space="preserve">the </w:t>
      </w:r>
      <w:r>
        <w:rPr>
          <w:sz w:val="26"/>
        </w:rPr>
        <w:t>final version of Route B1 will have the least impact on surrounding areas.  The ALJ noted that PPL has committed to obtaining all necessary permits prior to the construction of the Effort Mountain Project and will comply with all requirements for the issuance of such permits.  R.D. at 38.</w:t>
      </w:r>
    </w:p>
    <w:p w:rsidR="00640EBA" w:rsidRDefault="00640EBA" w:rsidP="00945570">
      <w:pPr>
        <w:pStyle w:val="BodyText2"/>
        <w:spacing w:after="0" w:line="360" w:lineRule="auto"/>
        <w:ind w:firstLine="1440"/>
        <w:rPr>
          <w:sz w:val="26"/>
        </w:rPr>
      </w:pPr>
    </w:p>
    <w:p w:rsidR="00DD5C38" w:rsidRPr="00640EBA" w:rsidRDefault="00640EBA" w:rsidP="00500D24">
      <w:pPr>
        <w:pStyle w:val="BodyText2"/>
        <w:keepNext/>
        <w:keepLines/>
        <w:spacing w:after="0" w:line="360" w:lineRule="auto"/>
        <w:ind w:firstLine="1440"/>
        <w:rPr>
          <w:b/>
          <w:sz w:val="26"/>
        </w:rPr>
      </w:pPr>
      <w:r w:rsidRPr="00640EBA">
        <w:rPr>
          <w:b/>
          <w:sz w:val="26"/>
        </w:rPr>
        <w:t>Engineering and Safety</w:t>
      </w:r>
    </w:p>
    <w:p w:rsidR="00640EBA" w:rsidRDefault="00640EBA" w:rsidP="00640EBA">
      <w:pPr>
        <w:pStyle w:val="BodyText2"/>
        <w:keepNext/>
        <w:keepLines/>
        <w:spacing w:after="0" w:line="360" w:lineRule="auto"/>
        <w:rPr>
          <w:sz w:val="26"/>
        </w:rPr>
      </w:pPr>
    </w:p>
    <w:p w:rsidR="003377BC" w:rsidRDefault="00DD5C38" w:rsidP="00640EBA">
      <w:pPr>
        <w:pStyle w:val="BodyText2"/>
        <w:keepNext/>
        <w:keepLines/>
        <w:spacing w:after="0" w:line="360" w:lineRule="auto"/>
        <w:ind w:firstLine="1440"/>
        <w:rPr>
          <w:sz w:val="26"/>
        </w:rPr>
      </w:pPr>
      <w:r>
        <w:rPr>
          <w:sz w:val="26"/>
        </w:rPr>
        <w:t>The ALJ then discussed the issues of engineering and safety.  The ALJ specifically described the proposed construction details for the line supports of the project.  R</w:t>
      </w:r>
      <w:r w:rsidR="003377BC">
        <w:rPr>
          <w:sz w:val="26"/>
        </w:rPr>
        <w:t>.D. at 39.  The ALJ found that:</w:t>
      </w:r>
    </w:p>
    <w:p w:rsidR="003377BC" w:rsidRDefault="00DD5C38" w:rsidP="003377BC">
      <w:pPr>
        <w:pStyle w:val="BodyText2"/>
        <w:keepNext/>
        <w:keepLines/>
        <w:spacing w:after="0" w:line="240" w:lineRule="auto"/>
        <w:ind w:left="1440" w:right="1440"/>
        <w:rPr>
          <w:sz w:val="26"/>
        </w:rPr>
      </w:pPr>
      <w:r>
        <w:rPr>
          <w:sz w:val="26"/>
        </w:rPr>
        <w:t xml:space="preserve">It is uncontested that the proposed Effort Mountain Taps will be designed and </w:t>
      </w:r>
      <w:r w:rsidR="005859D9">
        <w:rPr>
          <w:sz w:val="26"/>
        </w:rPr>
        <w:t>constructed according to, and will meet or exceed, all applicable [National Electric Safety Code (NESC)] minimum standards.  All of the clearance and thermal ratings meet, or exceed, the requirements of the NESC.  (PPL Statement No. 3, p. 5)</w:t>
      </w:r>
    </w:p>
    <w:p w:rsidR="003377BC" w:rsidRDefault="003377BC" w:rsidP="00640EBA">
      <w:pPr>
        <w:pStyle w:val="BodyText2"/>
        <w:keepNext/>
        <w:keepLines/>
        <w:spacing w:after="0" w:line="360" w:lineRule="auto"/>
        <w:ind w:firstLine="1440"/>
        <w:rPr>
          <w:i/>
          <w:sz w:val="26"/>
        </w:rPr>
      </w:pPr>
    </w:p>
    <w:p w:rsidR="00DD5C38" w:rsidRDefault="005859D9" w:rsidP="003377BC">
      <w:pPr>
        <w:pStyle w:val="BodyText2"/>
        <w:keepNext/>
        <w:keepLines/>
        <w:spacing w:after="0" w:line="360" w:lineRule="auto"/>
        <w:rPr>
          <w:sz w:val="26"/>
        </w:rPr>
      </w:pPr>
      <w:r w:rsidRPr="005859D9">
        <w:rPr>
          <w:i/>
          <w:sz w:val="26"/>
        </w:rPr>
        <w:t>Id.</w:t>
      </w:r>
      <w:r>
        <w:rPr>
          <w:sz w:val="26"/>
        </w:rPr>
        <w:t xml:space="preserve">  </w:t>
      </w:r>
      <w:r w:rsidR="00196D61">
        <w:rPr>
          <w:sz w:val="26"/>
        </w:rPr>
        <w:t xml:space="preserve">The ALJ then noted that this “Commission has found in numerous cases that transmission lines that meet or exceed NESC requirements do not create an unreasonable risk or danger to the health and safety of the public.”  </w:t>
      </w:r>
      <w:r w:rsidR="00196D61" w:rsidRPr="00196D61">
        <w:rPr>
          <w:i/>
          <w:sz w:val="26"/>
        </w:rPr>
        <w:t>Id</w:t>
      </w:r>
      <w:r w:rsidR="00196D61">
        <w:rPr>
          <w:sz w:val="26"/>
        </w:rPr>
        <w:t xml:space="preserve">., </w:t>
      </w:r>
      <w:r w:rsidR="00196D61" w:rsidRPr="00D27A73">
        <w:rPr>
          <w:sz w:val="26"/>
        </w:rPr>
        <w:t>citing,</w:t>
      </w:r>
      <w:r w:rsidR="00196D61">
        <w:rPr>
          <w:sz w:val="26"/>
        </w:rPr>
        <w:t xml:space="preserve"> </w:t>
      </w:r>
      <w:r w:rsidR="00196D61">
        <w:rPr>
          <w:i/>
          <w:sz w:val="26"/>
        </w:rPr>
        <w:t>Application of PP&amp;L for Approval to Locate and Construct a 138 kV Transmission Line Between West Allentown and Salisbury Substations,</w:t>
      </w:r>
      <w:r w:rsidR="00196D61">
        <w:rPr>
          <w:sz w:val="26"/>
        </w:rPr>
        <w:t xml:space="preserve"> Docket No. A-00101826 (Order entered April 3, 1981); </w:t>
      </w:r>
      <w:r w:rsidR="00196D61">
        <w:rPr>
          <w:i/>
          <w:sz w:val="26"/>
        </w:rPr>
        <w:t xml:space="preserve">Larkin v. </w:t>
      </w:r>
      <w:r w:rsidR="008D77E6">
        <w:rPr>
          <w:i/>
          <w:sz w:val="26"/>
        </w:rPr>
        <w:t>Philadelphia Electric Co.</w:t>
      </w:r>
      <w:r w:rsidR="008D77E6">
        <w:rPr>
          <w:sz w:val="26"/>
        </w:rPr>
        <w:t>, 39 Pa. P</w:t>
      </w:r>
      <w:r w:rsidR="00D27A73">
        <w:rPr>
          <w:sz w:val="26"/>
        </w:rPr>
        <w:t>.</w:t>
      </w:r>
      <w:r w:rsidR="008D77E6">
        <w:rPr>
          <w:sz w:val="26"/>
        </w:rPr>
        <w:t>U</w:t>
      </w:r>
      <w:r w:rsidR="00D27A73">
        <w:rPr>
          <w:sz w:val="26"/>
        </w:rPr>
        <w:t>.</w:t>
      </w:r>
      <w:r w:rsidR="008D77E6">
        <w:rPr>
          <w:sz w:val="26"/>
        </w:rPr>
        <w:t>C</w:t>
      </w:r>
      <w:r w:rsidR="00D27A73">
        <w:rPr>
          <w:sz w:val="26"/>
        </w:rPr>
        <w:t>.</w:t>
      </w:r>
      <w:r w:rsidR="008D77E6">
        <w:rPr>
          <w:sz w:val="26"/>
        </w:rPr>
        <w:t xml:space="preserve"> 777 (1961).  Based on the foregoing, the ALJ found that, “The construction of the Effort Mountain Taps along Route B1 will not create any unreasonable risk to the health or safety of the public.”  </w:t>
      </w:r>
      <w:r w:rsidR="008D77E6" w:rsidRPr="008D77E6">
        <w:rPr>
          <w:i/>
          <w:sz w:val="26"/>
        </w:rPr>
        <w:t>Id</w:t>
      </w:r>
      <w:r w:rsidR="008D77E6">
        <w:rPr>
          <w:sz w:val="26"/>
        </w:rPr>
        <w:t>. at 40.</w:t>
      </w:r>
    </w:p>
    <w:p w:rsidR="008D77E6" w:rsidRDefault="008D77E6" w:rsidP="00945570">
      <w:pPr>
        <w:pStyle w:val="BodyText2"/>
        <w:spacing w:after="0" w:line="360" w:lineRule="auto"/>
        <w:ind w:firstLine="1440"/>
        <w:rPr>
          <w:sz w:val="26"/>
        </w:rPr>
      </w:pPr>
    </w:p>
    <w:p w:rsidR="008D77E6" w:rsidRDefault="008D77E6" w:rsidP="00945570">
      <w:pPr>
        <w:pStyle w:val="BodyText2"/>
        <w:spacing w:after="0" w:line="360" w:lineRule="auto"/>
        <w:ind w:firstLine="1440"/>
        <w:rPr>
          <w:sz w:val="26"/>
        </w:rPr>
      </w:pPr>
      <w:r>
        <w:rPr>
          <w:sz w:val="26"/>
        </w:rPr>
        <w:t xml:space="preserve">The ALJ also addressed the issue of electric and magnetic fields.  In this context, the ALJ noted that PPL has adopted a Plan for Magnetic Field Management </w:t>
      </w:r>
      <w:r w:rsidR="00686442">
        <w:rPr>
          <w:sz w:val="26"/>
        </w:rPr>
        <w:t xml:space="preserve">(PMFM).  Consistent with PPL’s PMFM, PPL will reverse phase the proposed Effort </w:t>
      </w:r>
      <w:r w:rsidR="00686442">
        <w:rPr>
          <w:sz w:val="26"/>
        </w:rPr>
        <w:lastRenderedPageBreak/>
        <w:t>Mountain Taps where there are two circuit</w:t>
      </w:r>
      <w:r w:rsidR="005320B6">
        <w:rPr>
          <w:sz w:val="26"/>
        </w:rPr>
        <w:t>s and increase pole heights by five</w:t>
      </w:r>
      <w:r w:rsidR="00686442">
        <w:rPr>
          <w:sz w:val="26"/>
        </w:rPr>
        <w:t xml:space="preserve"> feet above the minimum height required by the NESC.  The ALJ observed that this Commission has commented favorably on PPL’s PMFM in previous proceedings.  R.D. at 40, </w:t>
      </w:r>
      <w:r w:rsidR="00686442" w:rsidRPr="00D27A73">
        <w:rPr>
          <w:sz w:val="26"/>
        </w:rPr>
        <w:t>citing,</w:t>
      </w:r>
      <w:r w:rsidR="00686442">
        <w:rPr>
          <w:i/>
          <w:sz w:val="26"/>
        </w:rPr>
        <w:t xml:space="preserve"> Certification Application of Pennsylvania Power &amp; Lig</w:t>
      </w:r>
      <w:r w:rsidR="009E1505">
        <w:rPr>
          <w:i/>
          <w:sz w:val="26"/>
        </w:rPr>
        <w:t>ht Company filed Pursuant to 52 </w:t>
      </w:r>
      <w:r w:rsidR="00686442">
        <w:rPr>
          <w:i/>
          <w:sz w:val="26"/>
        </w:rPr>
        <w:t xml:space="preserve">Pa. Code Chapter 57, </w:t>
      </w:r>
      <w:r w:rsidR="00686442">
        <w:rPr>
          <w:sz w:val="26"/>
        </w:rPr>
        <w:t>1994 Pa. PUC LEXIS 65, *67-</w:t>
      </w:r>
      <w:r w:rsidR="00571BB2">
        <w:rPr>
          <w:sz w:val="26"/>
        </w:rPr>
        <w:t>*69 (October 21, 1994).</w:t>
      </w:r>
    </w:p>
    <w:p w:rsidR="00571BB2" w:rsidRDefault="00571BB2" w:rsidP="00945570">
      <w:pPr>
        <w:pStyle w:val="BodyText2"/>
        <w:spacing w:after="0" w:line="360" w:lineRule="auto"/>
        <w:ind w:firstLine="1440"/>
        <w:rPr>
          <w:sz w:val="26"/>
        </w:rPr>
      </w:pPr>
    </w:p>
    <w:p w:rsidR="00571BB2" w:rsidRDefault="00571BB2" w:rsidP="00945570">
      <w:pPr>
        <w:pStyle w:val="BodyText2"/>
        <w:spacing w:after="0" w:line="360" w:lineRule="auto"/>
        <w:ind w:firstLine="1440"/>
        <w:rPr>
          <w:sz w:val="26"/>
        </w:rPr>
      </w:pPr>
      <w:r>
        <w:rPr>
          <w:sz w:val="26"/>
        </w:rPr>
        <w:t xml:space="preserve">LaRue High, the sole condemnee in this proceeding, advanced several arguments in opposition to the route selection and engineering of the proposed Effort Mountain Project.  Ms. High </w:t>
      </w:r>
      <w:r w:rsidR="005320B6">
        <w:rPr>
          <w:sz w:val="26"/>
        </w:rPr>
        <w:t xml:space="preserve">was concerned that </w:t>
      </w:r>
      <w:r>
        <w:rPr>
          <w:sz w:val="26"/>
        </w:rPr>
        <w:t xml:space="preserve">invasive species </w:t>
      </w:r>
      <w:r w:rsidR="005320B6">
        <w:rPr>
          <w:sz w:val="26"/>
        </w:rPr>
        <w:t xml:space="preserve">would </w:t>
      </w:r>
      <w:r>
        <w:rPr>
          <w:sz w:val="26"/>
        </w:rPr>
        <w:t>interfer</w:t>
      </w:r>
      <w:r w:rsidR="005320B6">
        <w:rPr>
          <w:sz w:val="26"/>
        </w:rPr>
        <w:t>e</w:t>
      </w:r>
      <w:r>
        <w:rPr>
          <w:sz w:val="26"/>
        </w:rPr>
        <w:t xml:space="preserve"> with farming operations</w:t>
      </w:r>
      <w:r w:rsidR="005320B6">
        <w:rPr>
          <w:sz w:val="26"/>
        </w:rPr>
        <w:t xml:space="preserve"> and </w:t>
      </w:r>
      <w:r>
        <w:rPr>
          <w:sz w:val="26"/>
        </w:rPr>
        <w:t>that the route would interfere with farming operations</w:t>
      </w:r>
      <w:r w:rsidR="005320B6">
        <w:rPr>
          <w:sz w:val="26"/>
        </w:rPr>
        <w:t xml:space="preserve">.  She also questioned </w:t>
      </w:r>
      <w:r>
        <w:rPr>
          <w:sz w:val="26"/>
        </w:rPr>
        <w:t xml:space="preserve">whether the transmission lines could be </w:t>
      </w:r>
      <w:r w:rsidR="005320B6">
        <w:rPr>
          <w:sz w:val="26"/>
        </w:rPr>
        <w:t xml:space="preserve">placed </w:t>
      </w:r>
      <w:r w:rsidR="00026018">
        <w:rPr>
          <w:sz w:val="26"/>
        </w:rPr>
        <w:t>underground.  The ALJ found that the construction will not alter the environmental characteristics of the farmland and thus would not exacerbate any invasive species or flora issues.  The ALJ also determined that the portion of Ms. High’s property impacted by the preferred route was not actively farmed, thus the Project will not impact any farming operations.  The ALJ also found tha</w:t>
      </w:r>
      <w:r w:rsidR="00647EAD">
        <w:rPr>
          <w:sz w:val="26"/>
        </w:rPr>
        <w:t>t there is no requirement that high voltage transmission lines, such as the Effort Mountain 138 kV Taps, be installed underground.  The ALJ further found that the cost of underground installation would be significantly higher than the overhead configuration.  Since that increased cost would be passed on to all PPL rate-payers, the ALJ determined that it is not practical to construct the lines underground where the overhead construction is feasible.  R.D. at 41-42.</w:t>
      </w:r>
    </w:p>
    <w:p w:rsidR="00647EAD" w:rsidRDefault="00647EAD" w:rsidP="00945570">
      <w:pPr>
        <w:pStyle w:val="BodyText2"/>
        <w:spacing w:after="0" w:line="360" w:lineRule="auto"/>
        <w:ind w:firstLine="1440"/>
        <w:rPr>
          <w:sz w:val="26"/>
        </w:rPr>
      </w:pPr>
    </w:p>
    <w:p w:rsidR="00647EAD" w:rsidRDefault="00647EAD" w:rsidP="00945570">
      <w:pPr>
        <w:pStyle w:val="BodyText2"/>
        <w:spacing w:after="0" w:line="360" w:lineRule="auto"/>
        <w:ind w:firstLine="1440"/>
        <w:rPr>
          <w:sz w:val="26"/>
        </w:rPr>
      </w:pPr>
      <w:r>
        <w:rPr>
          <w:sz w:val="26"/>
        </w:rPr>
        <w:t xml:space="preserve">Suzanne Hart also submitted arguments opposing the route selection for the project.  </w:t>
      </w:r>
      <w:r w:rsidR="002E475A">
        <w:rPr>
          <w:sz w:val="26"/>
        </w:rPr>
        <w:t xml:space="preserve">Ms. Hart first argued that PPL failed to properly consider the impact of the project on streams and other bodies of water.  The ALJ found that PPL fully considered such impacts.  To the extent any such impacts exist, PPL will create protective buffers for many of the streams to limit the total number of streams crossed and/or to limit the proximity of structures to those streams.  </w:t>
      </w:r>
      <w:r w:rsidR="00722CE9">
        <w:rPr>
          <w:sz w:val="26"/>
        </w:rPr>
        <w:t xml:space="preserve">The ALJ also determined that streams are not materially affected by transmission lines that merely span them.  The ALJ further noted </w:t>
      </w:r>
      <w:r w:rsidR="00722CE9">
        <w:rPr>
          <w:sz w:val="26"/>
        </w:rPr>
        <w:lastRenderedPageBreak/>
        <w:t xml:space="preserve">that the preferred route does not cross the main stems of named streams, but only </w:t>
      </w:r>
      <w:r w:rsidR="00FD45F1">
        <w:rPr>
          <w:sz w:val="26"/>
        </w:rPr>
        <w:t>crosses</w:t>
      </w:r>
      <w:r w:rsidR="00722CE9">
        <w:rPr>
          <w:sz w:val="26"/>
        </w:rPr>
        <w:t xml:space="preserve"> smaller tributaries.  R.D. at 42.</w:t>
      </w:r>
    </w:p>
    <w:p w:rsidR="00722CE9" w:rsidRDefault="00722CE9" w:rsidP="00945570">
      <w:pPr>
        <w:pStyle w:val="BodyText2"/>
        <w:spacing w:after="0" w:line="360" w:lineRule="auto"/>
        <w:ind w:firstLine="1440"/>
        <w:rPr>
          <w:sz w:val="26"/>
        </w:rPr>
      </w:pPr>
    </w:p>
    <w:p w:rsidR="004B5255" w:rsidRDefault="00722CE9" w:rsidP="00945570">
      <w:pPr>
        <w:pStyle w:val="BodyText2"/>
        <w:spacing w:after="0" w:line="360" w:lineRule="auto"/>
        <w:ind w:firstLine="1440"/>
        <w:rPr>
          <w:sz w:val="26"/>
        </w:rPr>
      </w:pPr>
      <w:r>
        <w:rPr>
          <w:sz w:val="26"/>
        </w:rPr>
        <w:t xml:space="preserve">Ms. Hart also </w:t>
      </w:r>
      <w:r w:rsidR="00721CAB">
        <w:rPr>
          <w:sz w:val="26"/>
        </w:rPr>
        <w:t>raised issues regarding the removal of trees in forested areas along the preferred route.  The ALJ described PPL’s intention of using selective tree clearing and also referred to the donation of a substantial tract of forested land to the Jonas Mountain Preserve</w:t>
      </w:r>
      <w:r w:rsidR="00065827">
        <w:rPr>
          <w:sz w:val="26"/>
        </w:rPr>
        <w:t>,</w:t>
      </w:r>
      <w:r w:rsidR="00721CAB">
        <w:rPr>
          <w:sz w:val="26"/>
        </w:rPr>
        <w:t xml:space="preserve"> which will protect the land from future development.  </w:t>
      </w:r>
    </w:p>
    <w:p w:rsidR="00722CE9" w:rsidRDefault="00721CAB" w:rsidP="004B5255">
      <w:pPr>
        <w:pStyle w:val="BodyText2"/>
        <w:spacing w:after="0" w:line="360" w:lineRule="auto"/>
        <w:rPr>
          <w:sz w:val="26"/>
        </w:rPr>
      </w:pPr>
      <w:r>
        <w:rPr>
          <w:sz w:val="26"/>
        </w:rPr>
        <w:t>R.D</w:t>
      </w:r>
      <w:r w:rsidR="004B5255">
        <w:rPr>
          <w:sz w:val="26"/>
        </w:rPr>
        <w:t>. at </w:t>
      </w:r>
      <w:r>
        <w:rPr>
          <w:sz w:val="26"/>
        </w:rPr>
        <w:t>42.</w:t>
      </w:r>
    </w:p>
    <w:p w:rsidR="00721CAB" w:rsidRDefault="00721CAB" w:rsidP="00945570">
      <w:pPr>
        <w:pStyle w:val="BodyText2"/>
        <w:spacing w:after="0" w:line="360" w:lineRule="auto"/>
        <w:ind w:firstLine="1440"/>
        <w:rPr>
          <w:sz w:val="26"/>
        </w:rPr>
      </w:pPr>
    </w:p>
    <w:p w:rsidR="004B5255" w:rsidRDefault="00721CAB" w:rsidP="00945570">
      <w:pPr>
        <w:pStyle w:val="BodyText2"/>
        <w:spacing w:after="0" w:line="360" w:lineRule="auto"/>
        <w:ind w:firstLine="1440"/>
        <w:rPr>
          <w:sz w:val="26"/>
        </w:rPr>
      </w:pPr>
      <w:r>
        <w:rPr>
          <w:sz w:val="26"/>
        </w:rPr>
        <w:t xml:space="preserve">Ms. Hart suggested an alternative route which would involve the installation of three distribution lines along State Route 534, State Route 115 and the Toll Road.  </w:t>
      </w:r>
      <w:r w:rsidR="00BF6CE4">
        <w:rPr>
          <w:sz w:val="26"/>
        </w:rPr>
        <w:t xml:space="preserve">However, the ALJ found that Ms. Hart’s proposed alternative was not practical.  First, PPL would not be able to run lines along State Routes 534 and 115 because the right-of-way along those roads is not wide enough to maintain proper structure clearances in compliance with the NESC.  Second, there are many residential dwellings </w:t>
      </w:r>
      <w:r w:rsidR="00CE06E6">
        <w:rPr>
          <w:sz w:val="26"/>
        </w:rPr>
        <w:t>along all three roads and the cu</w:t>
      </w:r>
      <w:r w:rsidR="00BF6CE4">
        <w:rPr>
          <w:sz w:val="26"/>
        </w:rPr>
        <w:t xml:space="preserve">rtilage of many of those dwellings would be within 100 meters </w:t>
      </w:r>
      <w:r w:rsidR="00FD45F1">
        <w:rPr>
          <w:sz w:val="26"/>
        </w:rPr>
        <w:t>of the</w:t>
      </w:r>
      <w:r w:rsidR="00BF6CE4">
        <w:rPr>
          <w:sz w:val="26"/>
        </w:rPr>
        <w:t xml:space="preserve"> routes along those roads.  </w:t>
      </w:r>
      <w:r w:rsidR="00F02264">
        <w:rPr>
          <w:sz w:val="26"/>
        </w:rPr>
        <w:t>Because of that factor, PPL would not be able to exercise the power of eminent domain across the numerous residential properties that would be subject to the right-of-way due to limitations in Section 1511 of the Pennsylvania Business Corporation Law of 1988, 15 Pa. C.S. § 1511.  To the extent that any property owner along those roads was unwilling to enter into an agreement with PPL for a sufficient right-of-way, PPL would be unable to go forw</w:t>
      </w:r>
      <w:r w:rsidR="004B5255">
        <w:rPr>
          <w:sz w:val="26"/>
        </w:rPr>
        <w:t xml:space="preserve">ard with construction.  </w:t>
      </w:r>
    </w:p>
    <w:p w:rsidR="00721CAB" w:rsidRDefault="004B5255" w:rsidP="004B5255">
      <w:pPr>
        <w:pStyle w:val="BodyText2"/>
        <w:spacing w:after="0" w:line="360" w:lineRule="auto"/>
        <w:rPr>
          <w:sz w:val="26"/>
        </w:rPr>
      </w:pPr>
      <w:r>
        <w:rPr>
          <w:sz w:val="26"/>
        </w:rPr>
        <w:t>R.D. at </w:t>
      </w:r>
      <w:r w:rsidR="00F02264">
        <w:rPr>
          <w:sz w:val="26"/>
        </w:rPr>
        <w:t>42-43.</w:t>
      </w:r>
    </w:p>
    <w:p w:rsidR="00DD283C" w:rsidRDefault="00DD283C" w:rsidP="00945570">
      <w:pPr>
        <w:pStyle w:val="BodyText2"/>
        <w:spacing w:after="0" w:line="360" w:lineRule="auto"/>
        <w:ind w:firstLine="1440"/>
        <w:rPr>
          <w:sz w:val="26"/>
        </w:rPr>
      </w:pPr>
    </w:p>
    <w:p w:rsidR="00DD283C" w:rsidRDefault="00DD283C" w:rsidP="00945570">
      <w:pPr>
        <w:pStyle w:val="BodyText2"/>
        <w:spacing w:after="0" w:line="360" w:lineRule="auto"/>
        <w:ind w:firstLine="1440"/>
        <w:rPr>
          <w:sz w:val="26"/>
        </w:rPr>
      </w:pPr>
      <w:r>
        <w:rPr>
          <w:sz w:val="26"/>
        </w:rPr>
        <w:t xml:space="preserve">Finally, Ms. Hart suggested that PPL’s motive for moving the preferred route further into the Jonas Mountain Preserve was to obtain favorable tax treatment rather than mitigate the impact of the project.  However, the ALJ found that PPL modified the preferred route to accommodate the concerns of the residents of Birch Hallow Estates, the Pocono Heritage Land Trust, </w:t>
      </w:r>
      <w:r w:rsidR="00CE06E6">
        <w:rPr>
          <w:sz w:val="26"/>
        </w:rPr>
        <w:t xml:space="preserve">the </w:t>
      </w:r>
      <w:r>
        <w:rPr>
          <w:sz w:val="26"/>
        </w:rPr>
        <w:t xml:space="preserve">owners of the Jonas Mountain </w:t>
      </w:r>
      <w:r>
        <w:rPr>
          <w:sz w:val="26"/>
        </w:rPr>
        <w:lastRenderedPageBreak/>
        <w:t xml:space="preserve">Preserve, and the owners of the Knappenberger tract.   </w:t>
      </w:r>
      <w:r w:rsidR="00AE4870">
        <w:rPr>
          <w:sz w:val="26"/>
        </w:rPr>
        <w:t>As part of the modification of the preferred route, PPL purchased the Knappenberger tract and resold the land to the Pocono Heritage Land Trust in exchange for a right-of-way through the Jonas Mountain Preserve.  As required by t</w:t>
      </w:r>
      <w:r w:rsidR="00CE06E6">
        <w:rPr>
          <w:sz w:val="26"/>
        </w:rPr>
        <w:t>he Department of Conservation and</w:t>
      </w:r>
      <w:r w:rsidR="00AE4870">
        <w:rPr>
          <w:sz w:val="26"/>
        </w:rPr>
        <w:t xml:space="preserve"> Natural Resources, PPL provided replacement land for the Jonas Mountain Preserve before PPL could be granted the right-of-way needed for the modified Route B1.  The difference in the price of PPL’s purchase and the price of the sale to the Jonas Mountain Preserve is deemed to be the cost of the right-of-way.  That difference will be a capital investment and eventually included in rate base.  </w:t>
      </w:r>
      <w:r w:rsidR="006E02F5">
        <w:rPr>
          <w:sz w:val="26"/>
        </w:rPr>
        <w:t xml:space="preserve">Based on the foregoing, the ALJ determined that PPL did not modify Route B1 for the purpose of obtaining favorable tax treatment.  </w:t>
      </w:r>
      <w:r w:rsidR="00AE4870">
        <w:rPr>
          <w:sz w:val="26"/>
        </w:rPr>
        <w:t>R.D. at 43.</w:t>
      </w:r>
    </w:p>
    <w:p w:rsidR="007E6057" w:rsidRDefault="007E6057" w:rsidP="00945570">
      <w:pPr>
        <w:pStyle w:val="BodyText2"/>
        <w:spacing w:after="0" w:line="360" w:lineRule="auto"/>
        <w:ind w:firstLine="1440"/>
        <w:rPr>
          <w:sz w:val="26"/>
        </w:rPr>
      </w:pPr>
    </w:p>
    <w:p w:rsidR="007E6057" w:rsidRDefault="00CE06E6" w:rsidP="00CE06E6">
      <w:pPr>
        <w:pStyle w:val="BodyText2"/>
        <w:spacing w:after="0" w:line="360" w:lineRule="auto"/>
        <w:ind w:firstLine="720"/>
        <w:rPr>
          <w:sz w:val="26"/>
        </w:rPr>
      </w:pPr>
      <w:r>
        <w:rPr>
          <w:b/>
          <w:sz w:val="26"/>
        </w:rPr>
        <w:t>Exemption</w:t>
      </w:r>
      <w:r w:rsidR="007E6057">
        <w:rPr>
          <w:b/>
          <w:sz w:val="26"/>
        </w:rPr>
        <w:t xml:space="preserve"> from Local Zoning</w:t>
      </w:r>
    </w:p>
    <w:p w:rsidR="007E6057" w:rsidRDefault="007E6057" w:rsidP="007E6057">
      <w:pPr>
        <w:pStyle w:val="BodyText2"/>
        <w:spacing w:after="0" w:line="360" w:lineRule="auto"/>
        <w:rPr>
          <w:sz w:val="26"/>
        </w:rPr>
      </w:pPr>
    </w:p>
    <w:p w:rsidR="007E6057" w:rsidRDefault="007E6057" w:rsidP="007E6057">
      <w:pPr>
        <w:pStyle w:val="BodyText2"/>
        <w:spacing w:after="0" w:line="360" w:lineRule="auto"/>
        <w:ind w:firstLine="1440"/>
        <w:rPr>
          <w:sz w:val="26"/>
        </w:rPr>
      </w:pPr>
      <w:r>
        <w:rPr>
          <w:sz w:val="26"/>
        </w:rPr>
        <w:t>The ALJ next examined PPL’s Zoning Petition</w:t>
      </w:r>
      <w:r w:rsidR="00CE06E6">
        <w:rPr>
          <w:sz w:val="26"/>
        </w:rPr>
        <w:t>,</w:t>
      </w:r>
      <w:r>
        <w:rPr>
          <w:sz w:val="26"/>
        </w:rPr>
        <w:t xml:space="preserve"> which requests a finding that the building to shelter control equipment at the proposed Effort Mountain Substation site in Chestnuthill Township, Monroe County, Pennsylvania (Control Equipment Building) is reasonably necessary for the convenience or welfare of the public and, therefore, is exempt from local zoning regulations.  This finding is necessary in order to </w:t>
      </w:r>
      <w:r w:rsidR="00231D02">
        <w:rPr>
          <w:sz w:val="26"/>
        </w:rPr>
        <w:t xml:space="preserve">meet the requirements of Section 619 of the Pennsylvania Municipalities Planning Code (MPC), 53 P.S. § 10619 (relating to exemptions from the MCP for buildings found by the Commission to be </w:t>
      </w:r>
      <w:r w:rsidR="001245BF">
        <w:rPr>
          <w:sz w:val="26"/>
        </w:rPr>
        <w:t>reasonably necessary for the convenience or welfare of the public).</w:t>
      </w:r>
    </w:p>
    <w:p w:rsidR="001245BF" w:rsidRDefault="001245BF" w:rsidP="007E6057">
      <w:pPr>
        <w:pStyle w:val="BodyText2"/>
        <w:spacing w:after="0" w:line="360" w:lineRule="auto"/>
        <w:ind w:firstLine="1440"/>
        <w:rPr>
          <w:sz w:val="26"/>
        </w:rPr>
      </w:pPr>
    </w:p>
    <w:p w:rsidR="001245BF" w:rsidRDefault="001245BF" w:rsidP="007E6057">
      <w:pPr>
        <w:pStyle w:val="BodyText2"/>
        <w:spacing w:after="0" w:line="360" w:lineRule="auto"/>
        <w:ind w:firstLine="1440"/>
        <w:rPr>
          <w:sz w:val="26"/>
        </w:rPr>
      </w:pPr>
      <w:r>
        <w:rPr>
          <w:sz w:val="26"/>
        </w:rPr>
        <w:t>The ALJ noted that the Effort Mountain Taps and the Effort Mountain Substation are required to address and remedy the existing and projected overloaded conditions on distribution lines and transformers in the Sun Valley/Jonas area and to permit PPL to continue to provide adequate and reliable service in that area.  The Effort Mountain Substation will include a building to house required control equipment, primarily switches, relays and other control equipment to control the flow of electricity into, within and from the substation</w:t>
      </w:r>
      <w:r w:rsidR="00BE18A4">
        <w:rPr>
          <w:sz w:val="26"/>
        </w:rPr>
        <w:t>.  The building will also contain</w:t>
      </w:r>
      <w:r>
        <w:rPr>
          <w:sz w:val="26"/>
        </w:rPr>
        <w:t xml:space="preserve"> Supervisory Control </w:t>
      </w:r>
      <w:r>
        <w:rPr>
          <w:sz w:val="26"/>
        </w:rPr>
        <w:lastRenderedPageBreak/>
        <w:t>and Data Acquisition (SCA</w:t>
      </w:r>
      <w:r w:rsidR="00BE18A4">
        <w:rPr>
          <w:sz w:val="26"/>
        </w:rPr>
        <w:t>DA) equipment to monitor the operation of the substation.  The purpose of the proposed building in the Effort Mountain Substation is to protect this equipment from the elements so that the equipment, and the entire Substation, can function properly.  R.D. at 44.</w:t>
      </w:r>
    </w:p>
    <w:p w:rsidR="00BE18A4" w:rsidRDefault="00BE18A4" w:rsidP="007E6057">
      <w:pPr>
        <w:pStyle w:val="BodyText2"/>
        <w:spacing w:after="0" w:line="360" w:lineRule="auto"/>
        <w:ind w:firstLine="1440"/>
        <w:rPr>
          <w:sz w:val="26"/>
        </w:rPr>
      </w:pPr>
    </w:p>
    <w:p w:rsidR="00205A24" w:rsidRDefault="00BE18A4" w:rsidP="007E6057">
      <w:pPr>
        <w:pStyle w:val="BodyText2"/>
        <w:spacing w:after="0" w:line="360" w:lineRule="auto"/>
        <w:ind w:firstLine="1440"/>
        <w:rPr>
          <w:sz w:val="26"/>
        </w:rPr>
      </w:pPr>
      <w:r>
        <w:rPr>
          <w:sz w:val="26"/>
        </w:rPr>
        <w:t>The ALJ found</w:t>
      </w:r>
      <w:r w:rsidR="00205A24">
        <w:rPr>
          <w:sz w:val="26"/>
        </w:rPr>
        <w:t>:</w:t>
      </w:r>
    </w:p>
    <w:p w:rsidR="00205A24" w:rsidRDefault="00205A24" w:rsidP="00205A24">
      <w:pPr>
        <w:pStyle w:val="BodyText2"/>
        <w:spacing w:after="0" w:line="240" w:lineRule="auto"/>
        <w:ind w:left="1440" w:right="1440"/>
        <w:rPr>
          <w:sz w:val="26"/>
        </w:rPr>
      </w:pPr>
      <w:r>
        <w:rPr>
          <w:sz w:val="26"/>
        </w:rPr>
        <w:t xml:space="preserve">The </w:t>
      </w:r>
      <w:r w:rsidR="00BE18A4">
        <w:rPr>
          <w:sz w:val="26"/>
        </w:rPr>
        <w:t>Control Equipment Building is reasonably necessary for the convenience or welfare of the public be</w:t>
      </w:r>
      <w:r>
        <w:rPr>
          <w:sz w:val="26"/>
        </w:rPr>
        <w:t>cause it is a necessary component of PPL’s overall plan to relieve the existing and projected overloaded conditions on distribution lines and transformers presently serving the Sun Valley/Jonas area.  The reinforcement of the distribution system is necessary to assure continued reliable service to the customers of the area.</w:t>
      </w:r>
    </w:p>
    <w:p w:rsidR="00205A24" w:rsidRDefault="00205A24" w:rsidP="00205A24">
      <w:pPr>
        <w:pStyle w:val="BodyText2"/>
        <w:spacing w:after="0" w:line="360" w:lineRule="auto"/>
        <w:rPr>
          <w:sz w:val="26"/>
        </w:rPr>
      </w:pPr>
    </w:p>
    <w:p w:rsidR="00BE18A4" w:rsidRDefault="00205A24" w:rsidP="00205A24">
      <w:pPr>
        <w:pStyle w:val="BodyText2"/>
        <w:spacing w:after="0" w:line="360" w:lineRule="auto"/>
        <w:rPr>
          <w:sz w:val="26"/>
        </w:rPr>
      </w:pPr>
      <w:r>
        <w:rPr>
          <w:sz w:val="26"/>
        </w:rPr>
        <w:t xml:space="preserve">R.D. at 44-45.  </w:t>
      </w:r>
    </w:p>
    <w:p w:rsidR="00205A24" w:rsidRDefault="00205A24" w:rsidP="00205A24">
      <w:pPr>
        <w:pStyle w:val="BodyText2"/>
        <w:spacing w:after="0" w:line="360" w:lineRule="auto"/>
        <w:rPr>
          <w:sz w:val="26"/>
        </w:rPr>
      </w:pPr>
    </w:p>
    <w:p w:rsidR="00205A24" w:rsidRDefault="00205A24" w:rsidP="00205A24">
      <w:pPr>
        <w:pStyle w:val="BodyText2"/>
        <w:spacing w:after="0" w:line="360" w:lineRule="auto"/>
        <w:ind w:firstLine="1440"/>
        <w:rPr>
          <w:sz w:val="26"/>
        </w:rPr>
      </w:pPr>
      <w:r>
        <w:rPr>
          <w:sz w:val="26"/>
        </w:rPr>
        <w:t>The ALJ specifically described the Control Equipment Building</w:t>
      </w:r>
      <w:r w:rsidR="008B77BF">
        <w:rPr>
          <w:sz w:val="26"/>
        </w:rPr>
        <w:t xml:space="preserve">, including measures taken to restrict access, the fact that there will be no need for any water or sanitary facilities and the fact that the proposed location of the Effort Mountain Substation is advantageous because it is centrally located to the load that it will serve.  R.D. at 45.  The ALJ also noted that the Commission considers the impact of these types of decisions on local comprehensive plans and zoning ordinances pursuant to this Commission’s regulation at 52 Pa. Code § 69.1101.  The ALJ found that the proposed location of the Effort Mountain Substation would be in a portion of Chestnuthill Township designated as R-1, Low Density Residential.  </w:t>
      </w:r>
      <w:r w:rsidR="005C5410">
        <w:rPr>
          <w:sz w:val="26"/>
        </w:rPr>
        <w:t xml:space="preserve">Pursuant to Chestnuthill’s Zoning Ordinance, construction of a “Public Utility Facility” is not permitted in an R-1, Low Residential Density area.  Accordingly, the ALJ found that the Chestnuthill Zoning Ordinance is subject to an interpretation that PPL may not construct a “Public Utility Facility” at the proposed location for the Effort Mountain Substation.  </w:t>
      </w:r>
      <w:r w:rsidR="005C5410" w:rsidRPr="005C5410">
        <w:rPr>
          <w:i/>
          <w:sz w:val="26"/>
        </w:rPr>
        <w:t>Id.</w:t>
      </w:r>
      <w:r w:rsidR="005C5410">
        <w:rPr>
          <w:sz w:val="26"/>
        </w:rPr>
        <w:t xml:space="preserve">  </w:t>
      </w:r>
    </w:p>
    <w:p w:rsidR="00BB6E72" w:rsidRDefault="00BB6E72" w:rsidP="00205A24">
      <w:pPr>
        <w:pStyle w:val="BodyText2"/>
        <w:spacing w:after="0" w:line="360" w:lineRule="auto"/>
        <w:ind w:firstLine="1440"/>
        <w:rPr>
          <w:sz w:val="26"/>
        </w:rPr>
      </w:pPr>
    </w:p>
    <w:p w:rsidR="00BB6E72" w:rsidRDefault="00BB6E72" w:rsidP="00205A24">
      <w:pPr>
        <w:pStyle w:val="BodyText2"/>
        <w:spacing w:after="0" w:line="360" w:lineRule="auto"/>
        <w:ind w:firstLine="1440"/>
        <w:rPr>
          <w:sz w:val="26"/>
        </w:rPr>
      </w:pPr>
      <w:r>
        <w:rPr>
          <w:sz w:val="26"/>
        </w:rPr>
        <w:lastRenderedPageBreak/>
        <w:t>The ALJ noted that PPL met with the officials from Chestnuthill Township and its Planning Commission, and Monroe County and its Planning Commission to explain the Effort Mountain Project.  None of these entities have expressed any objection to the project, nor did they participate in any of the proceedings even though they received notice.  For all of the foregoing reasons, the ALJ found that the Control Equipment Building at the proposed Effort Mountain Substation site in Chestnuthill Township, Monroe County, Pennsylvania is reasonably necessary for the convenience or welfare of the public and, therefore, exempt from local zoning regulations.  R.D. at 46.</w:t>
      </w:r>
    </w:p>
    <w:p w:rsidR="000A3417" w:rsidRDefault="000A3417" w:rsidP="00205A24">
      <w:pPr>
        <w:pStyle w:val="BodyText2"/>
        <w:spacing w:after="0" w:line="360" w:lineRule="auto"/>
        <w:ind w:firstLine="1440"/>
        <w:rPr>
          <w:sz w:val="26"/>
        </w:rPr>
      </w:pPr>
    </w:p>
    <w:p w:rsidR="000A3417" w:rsidRDefault="000A3417" w:rsidP="00843BC4">
      <w:pPr>
        <w:pStyle w:val="BodyText2"/>
        <w:spacing w:after="0" w:line="360" w:lineRule="auto"/>
        <w:ind w:firstLine="720"/>
        <w:rPr>
          <w:sz w:val="26"/>
        </w:rPr>
      </w:pPr>
      <w:r>
        <w:rPr>
          <w:b/>
          <w:sz w:val="26"/>
        </w:rPr>
        <w:t>Condemnation Application</w:t>
      </w:r>
    </w:p>
    <w:p w:rsidR="000A3417" w:rsidRDefault="000A3417" w:rsidP="000A3417">
      <w:pPr>
        <w:pStyle w:val="BodyText2"/>
        <w:spacing w:after="0" w:line="360" w:lineRule="auto"/>
        <w:rPr>
          <w:sz w:val="26"/>
        </w:rPr>
      </w:pPr>
    </w:p>
    <w:p w:rsidR="009E0FDD" w:rsidRDefault="000A3417" w:rsidP="000A3417">
      <w:pPr>
        <w:pStyle w:val="BodyText2"/>
        <w:spacing w:after="0" w:line="360" w:lineRule="auto"/>
        <w:ind w:firstLine="1440"/>
        <w:rPr>
          <w:sz w:val="26"/>
        </w:rPr>
      </w:pPr>
      <w:r>
        <w:rPr>
          <w:sz w:val="26"/>
        </w:rPr>
        <w:t xml:space="preserve">In its Condemnation Application, PPL proposed the exercise of the power of eminent domain to acquire a right-of-way and easement for the construction, operation, and maintenance of the proposed Effort Mountain Taps over and across the land of LaRue High.  In order for PPL to initiate the exercise of the power of </w:t>
      </w:r>
      <w:r w:rsidR="009E0FDD">
        <w:rPr>
          <w:sz w:val="26"/>
        </w:rPr>
        <w:t>eminent domain, PPL must obtain a finding that the proposed service is necessary or proper for the service, accommodation, convenience, or safety of the public.  15 Pa. C.S. § 1511(c).</w:t>
      </w:r>
    </w:p>
    <w:p w:rsidR="009E0FDD" w:rsidRDefault="009E0FDD" w:rsidP="000A3417">
      <w:pPr>
        <w:pStyle w:val="BodyText2"/>
        <w:spacing w:after="0" w:line="360" w:lineRule="auto"/>
        <w:ind w:firstLine="1440"/>
        <w:rPr>
          <w:sz w:val="26"/>
        </w:rPr>
      </w:pPr>
    </w:p>
    <w:p w:rsidR="004B5255" w:rsidRDefault="009E0FDD" w:rsidP="000A3417">
      <w:pPr>
        <w:pStyle w:val="BodyText2"/>
        <w:spacing w:after="0" w:line="360" w:lineRule="auto"/>
        <w:ind w:firstLine="1440"/>
        <w:rPr>
          <w:sz w:val="26"/>
        </w:rPr>
      </w:pPr>
      <w:r>
        <w:rPr>
          <w:sz w:val="26"/>
        </w:rPr>
        <w:t xml:space="preserve">The ALJ again described the need for the Effort Mountain Project, the process for route selection and location of the Effort Mountain Substation, the potential alternatives </w:t>
      </w:r>
      <w:r w:rsidR="00FC0FF2">
        <w:rPr>
          <w:sz w:val="26"/>
        </w:rPr>
        <w:t xml:space="preserve">and the basis for the preferred route selection.  The preferred route, Route B1, crosses three tracts of land that are owned by LaRue High.  The property is approximately 352 acres located in Chestnuthill and Polk Townships, Monroe </w:t>
      </w:r>
      <w:r w:rsidR="00FD45F1">
        <w:rPr>
          <w:sz w:val="26"/>
        </w:rPr>
        <w:t>County</w:t>
      </w:r>
      <w:r w:rsidR="00FC0FF2">
        <w:rPr>
          <w:sz w:val="26"/>
        </w:rPr>
        <w:t xml:space="preserve">, Pennsylvania.  The ALJ described the property as fallow agricultural land that is not currently used for farming purposes.  The ALJ noted that PPL attempted to purchase the right-of-way and easement but was unable to reach an agreement with Ms. High.  </w:t>
      </w:r>
    </w:p>
    <w:p w:rsidR="00FC0FF2" w:rsidRDefault="00FC0FF2" w:rsidP="004B5255">
      <w:pPr>
        <w:pStyle w:val="BodyText2"/>
        <w:spacing w:after="0" w:line="360" w:lineRule="auto"/>
        <w:rPr>
          <w:sz w:val="26"/>
        </w:rPr>
      </w:pPr>
      <w:r>
        <w:rPr>
          <w:sz w:val="26"/>
        </w:rPr>
        <w:t>R.D. at 48.</w:t>
      </w:r>
    </w:p>
    <w:p w:rsidR="00FC0FF2" w:rsidRDefault="00FC0FF2" w:rsidP="000A3417">
      <w:pPr>
        <w:pStyle w:val="BodyText2"/>
        <w:spacing w:after="0" w:line="360" w:lineRule="auto"/>
        <w:ind w:firstLine="1440"/>
        <w:rPr>
          <w:sz w:val="26"/>
        </w:rPr>
      </w:pPr>
    </w:p>
    <w:p w:rsidR="000A3417" w:rsidRDefault="00FC0FF2" w:rsidP="000A3417">
      <w:pPr>
        <w:pStyle w:val="BodyText2"/>
        <w:spacing w:after="0" w:line="360" w:lineRule="auto"/>
        <w:ind w:firstLine="1440"/>
        <w:rPr>
          <w:sz w:val="26"/>
        </w:rPr>
      </w:pPr>
      <w:r>
        <w:rPr>
          <w:sz w:val="26"/>
        </w:rPr>
        <w:lastRenderedPageBreak/>
        <w:t xml:space="preserve">The ALJ found that PPL must be able to route the Effort Mountain Taps over and across Ms. High’s property in order to site, construct, and operate that line at the selected route.  </w:t>
      </w:r>
      <w:r w:rsidR="00772EB2">
        <w:rPr>
          <w:sz w:val="26"/>
        </w:rPr>
        <w:t xml:space="preserve">The ALJ noted that the proposed right-of-way over Ms. High’s property will not cross any place of public worship, burying ground, dwelling or its reasonable curtilage.  </w:t>
      </w:r>
      <w:r w:rsidR="00772EB2" w:rsidRPr="00843BC4">
        <w:rPr>
          <w:i/>
          <w:sz w:val="26"/>
        </w:rPr>
        <w:t>See</w:t>
      </w:r>
      <w:r w:rsidR="00772EB2">
        <w:rPr>
          <w:sz w:val="26"/>
        </w:rPr>
        <w:t xml:space="preserve">, 15 Pa. C.S. § 1511(b).  </w:t>
      </w:r>
      <w:r w:rsidR="00B33FBB">
        <w:rPr>
          <w:sz w:val="26"/>
        </w:rPr>
        <w:t>The ALJ also noted that</w:t>
      </w:r>
      <w:r w:rsidR="00843BC4">
        <w:rPr>
          <w:sz w:val="26"/>
        </w:rPr>
        <w:t>,</w:t>
      </w:r>
      <w:r w:rsidR="00B33FBB">
        <w:rPr>
          <w:sz w:val="26"/>
        </w:rPr>
        <w:t xml:space="preserve"> while a dwelling is located on the property, it is approximately 450 feet from the right-of-way at its nearest point.  The ALJ found that “PPL’s proposed exercise of the power of eminent domain to acquire a right-of-way and easement for the proposed Effort Mountain Taps over the land of Ms. High is necessary and, therefore should be approved.</w:t>
      </w:r>
      <w:r w:rsidR="005E6386">
        <w:rPr>
          <w:sz w:val="26"/>
        </w:rPr>
        <w:t>”</w:t>
      </w:r>
      <w:r w:rsidR="00B33FBB">
        <w:rPr>
          <w:sz w:val="26"/>
        </w:rPr>
        <w:t xml:space="preserve">  R</w:t>
      </w:r>
      <w:r w:rsidR="00772EB2">
        <w:rPr>
          <w:sz w:val="26"/>
        </w:rPr>
        <w:t>.D. at 48.</w:t>
      </w:r>
      <w:r w:rsidR="000A3417">
        <w:rPr>
          <w:sz w:val="26"/>
        </w:rPr>
        <w:t xml:space="preserve"> </w:t>
      </w:r>
    </w:p>
    <w:p w:rsidR="005E6386" w:rsidRDefault="005E6386" w:rsidP="000A3417">
      <w:pPr>
        <w:pStyle w:val="BodyText2"/>
        <w:spacing w:after="0" w:line="360" w:lineRule="auto"/>
        <w:ind w:firstLine="1440"/>
        <w:rPr>
          <w:sz w:val="26"/>
        </w:rPr>
      </w:pPr>
    </w:p>
    <w:p w:rsidR="005E6386" w:rsidRDefault="005E6386" w:rsidP="000A3417">
      <w:pPr>
        <w:pStyle w:val="BodyText2"/>
        <w:spacing w:after="0" w:line="360" w:lineRule="auto"/>
        <w:ind w:firstLine="1440"/>
        <w:rPr>
          <w:sz w:val="26"/>
        </w:rPr>
      </w:pPr>
      <w:r>
        <w:rPr>
          <w:sz w:val="26"/>
        </w:rPr>
        <w:t xml:space="preserve">Ms. High advanced several arguments in opposition </w:t>
      </w:r>
      <w:r w:rsidR="00F60CBF">
        <w:rPr>
          <w:sz w:val="26"/>
        </w:rPr>
        <w:t xml:space="preserve">to </w:t>
      </w:r>
      <w:r>
        <w:rPr>
          <w:sz w:val="26"/>
        </w:rPr>
        <w:t>PPL’</w:t>
      </w:r>
      <w:r w:rsidR="00F60CBF">
        <w:rPr>
          <w:sz w:val="26"/>
        </w:rPr>
        <w:t>s Condemnation Application.  Ms. High first objected on the basis that her property was part of an Agricultural Security Area pursuant to 3 P.S. § 913</w:t>
      </w:r>
      <w:r w:rsidR="00147F0B">
        <w:rPr>
          <w:sz w:val="26"/>
        </w:rPr>
        <w:t xml:space="preserve"> (relating to the Agriculture Security Program)</w:t>
      </w:r>
      <w:r w:rsidR="00F60CBF">
        <w:rPr>
          <w:sz w:val="26"/>
        </w:rPr>
        <w:t xml:space="preserve">.  However, the ALJ noted that </w:t>
      </w:r>
      <w:r w:rsidR="00147F0B">
        <w:rPr>
          <w:sz w:val="26"/>
        </w:rPr>
        <w:t>Subs</w:t>
      </w:r>
      <w:r w:rsidR="00F60CBF">
        <w:rPr>
          <w:sz w:val="26"/>
        </w:rPr>
        <w:t>ection 913</w:t>
      </w:r>
      <w:r w:rsidR="00147F0B">
        <w:rPr>
          <w:sz w:val="26"/>
        </w:rPr>
        <w:t>(b)</w:t>
      </w:r>
      <w:r w:rsidR="00F60CBF">
        <w:rPr>
          <w:sz w:val="26"/>
        </w:rPr>
        <w:t xml:space="preserve"> expressly recognizes an exemption</w:t>
      </w:r>
      <w:r w:rsidR="00147F0B">
        <w:rPr>
          <w:sz w:val="26"/>
        </w:rPr>
        <w:t xml:space="preserve"> from the requirements of the Agricultural Security Program</w:t>
      </w:r>
      <w:r w:rsidR="00F60CBF">
        <w:rPr>
          <w:sz w:val="26"/>
        </w:rPr>
        <w:t xml:space="preserve"> for instances in which a public utility has been </w:t>
      </w:r>
      <w:r w:rsidR="00F723F8">
        <w:rPr>
          <w:sz w:val="26"/>
        </w:rPr>
        <w:t>given approval for the exercise of the power of eminent domain by the Public Utility Commission.  R.D. at 49.</w:t>
      </w:r>
      <w:r w:rsidR="00147F0B">
        <w:rPr>
          <w:sz w:val="26"/>
        </w:rPr>
        <w:t xml:space="preserve">  The ALJ also noted that Ms. High complained about the manner in which PPL and everyone else approached her about </w:t>
      </w:r>
      <w:r w:rsidR="00FD45F1">
        <w:rPr>
          <w:sz w:val="26"/>
        </w:rPr>
        <w:t>negotiating the</w:t>
      </w:r>
      <w:r w:rsidR="00147F0B">
        <w:rPr>
          <w:sz w:val="26"/>
        </w:rPr>
        <w:t xml:space="preserve"> right-of-way agreement.  However, the ALJ observed that </w:t>
      </w:r>
      <w:r w:rsidR="008F7D08">
        <w:rPr>
          <w:sz w:val="26"/>
        </w:rPr>
        <w:t xml:space="preserve">there have been no other complaints from affected landowners regarding the conduct of PPL’s representatives.  </w:t>
      </w:r>
      <w:r w:rsidR="008F7D08" w:rsidRPr="008F7D08">
        <w:rPr>
          <w:i/>
          <w:sz w:val="26"/>
        </w:rPr>
        <w:t>Id</w:t>
      </w:r>
      <w:r w:rsidR="008F7D08">
        <w:rPr>
          <w:sz w:val="26"/>
        </w:rPr>
        <w:t>. at 50.</w:t>
      </w:r>
    </w:p>
    <w:p w:rsidR="008F7D08" w:rsidRDefault="008F7D08" w:rsidP="000A3417">
      <w:pPr>
        <w:pStyle w:val="BodyText2"/>
        <w:spacing w:after="0" w:line="360" w:lineRule="auto"/>
        <w:ind w:firstLine="1440"/>
        <w:rPr>
          <w:sz w:val="26"/>
        </w:rPr>
      </w:pPr>
    </w:p>
    <w:p w:rsidR="002945D5" w:rsidRPr="002945D5" w:rsidRDefault="002945D5" w:rsidP="000A3417">
      <w:pPr>
        <w:pStyle w:val="BodyText2"/>
        <w:spacing w:after="0" w:line="360" w:lineRule="auto"/>
        <w:ind w:firstLine="1440"/>
        <w:rPr>
          <w:b/>
          <w:sz w:val="26"/>
        </w:rPr>
      </w:pPr>
      <w:r>
        <w:rPr>
          <w:b/>
          <w:sz w:val="26"/>
        </w:rPr>
        <w:t>ALJ’s Recommendation</w:t>
      </w:r>
    </w:p>
    <w:p w:rsidR="002945D5" w:rsidRDefault="002945D5" w:rsidP="000A3417">
      <w:pPr>
        <w:pStyle w:val="BodyText2"/>
        <w:spacing w:after="0" w:line="360" w:lineRule="auto"/>
        <w:ind w:firstLine="1440"/>
        <w:rPr>
          <w:sz w:val="26"/>
        </w:rPr>
      </w:pPr>
    </w:p>
    <w:p w:rsidR="008F7D08" w:rsidRDefault="008F7D08" w:rsidP="000A3417">
      <w:pPr>
        <w:pStyle w:val="BodyText2"/>
        <w:spacing w:after="0" w:line="360" w:lineRule="auto"/>
        <w:ind w:firstLine="1440"/>
        <w:rPr>
          <w:sz w:val="26"/>
        </w:rPr>
      </w:pPr>
      <w:r>
        <w:rPr>
          <w:sz w:val="26"/>
        </w:rPr>
        <w:t xml:space="preserve">For all the foregoing reasons, the ALJ recommended that the Commission approve PPL’s Siting Application, PPL’s Zoning Petition and PPL’s Eminent Domain Application.  Based upon the failure of the Complainant, </w:t>
      </w:r>
      <w:r w:rsidR="00496B38">
        <w:rPr>
          <w:sz w:val="26"/>
        </w:rPr>
        <w:t>Albert Barney, to appear in support of his formal Complaint, the ALJ recommended dismissal of the Complaint, with prejudice.</w:t>
      </w:r>
    </w:p>
    <w:p w:rsidR="00C6646B" w:rsidRDefault="00C6646B" w:rsidP="000A3417">
      <w:pPr>
        <w:pStyle w:val="BodyText2"/>
        <w:spacing w:after="0" w:line="360" w:lineRule="auto"/>
        <w:ind w:firstLine="1440"/>
        <w:rPr>
          <w:sz w:val="26"/>
        </w:rPr>
      </w:pPr>
    </w:p>
    <w:p w:rsidR="00FF5E4C" w:rsidRDefault="00FF5E4C" w:rsidP="00C6646B">
      <w:pPr>
        <w:pStyle w:val="BodyText2"/>
        <w:spacing w:after="0" w:line="360" w:lineRule="auto"/>
        <w:rPr>
          <w:b/>
          <w:sz w:val="26"/>
        </w:rPr>
      </w:pPr>
      <w:r>
        <w:rPr>
          <w:b/>
          <w:sz w:val="26"/>
        </w:rPr>
        <w:t>Disposition</w:t>
      </w:r>
    </w:p>
    <w:p w:rsidR="00FF5E4C" w:rsidRDefault="00FF5E4C" w:rsidP="00C6646B">
      <w:pPr>
        <w:pStyle w:val="BodyText2"/>
        <w:spacing w:after="0" w:line="360" w:lineRule="auto"/>
        <w:rPr>
          <w:b/>
          <w:sz w:val="26"/>
        </w:rPr>
      </w:pPr>
    </w:p>
    <w:p w:rsidR="00C6646B" w:rsidRDefault="00F44049" w:rsidP="00FF5E4C">
      <w:pPr>
        <w:pStyle w:val="BodyText2"/>
        <w:spacing w:after="0" w:line="360" w:lineRule="auto"/>
        <w:ind w:firstLine="720"/>
        <w:rPr>
          <w:b/>
          <w:sz w:val="26"/>
        </w:rPr>
      </w:pPr>
      <w:r>
        <w:rPr>
          <w:b/>
          <w:sz w:val="26"/>
        </w:rPr>
        <w:t xml:space="preserve">Albert </w:t>
      </w:r>
      <w:r w:rsidR="00C6646B" w:rsidRPr="00C6646B">
        <w:rPr>
          <w:b/>
          <w:sz w:val="26"/>
        </w:rPr>
        <w:t>Barney Complaint</w:t>
      </w:r>
    </w:p>
    <w:p w:rsidR="00C6646B" w:rsidRDefault="00C6646B" w:rsidP="00C6646B">
      <w:pPr>
        <w:pStyle w:val="BodyText2"/>
        <w:spacing w:after="0" w:line="360" w:lineRule="auto"/>
        <w:rPr>
          <w:b/>
          <w:sz w:val="26"/>
        </w:rPr>
      </w:pPr>
    </w:p>
    <w:p w:rsidR="00C6646B" w:rsidRDefault="00C6646B" w:rsidP="00C6646B">
      <w:pPr>
        <w:pStyle w:val="BodyText2"/>
        <w:spacing w:after="0" w:line="360" w:lineRule="auto"/>
        <w:ind w:firstLine="1440"/>
        <w:rPr>
          <w:sz w:val="26"/>
        </w:rPr>
      </w:pPr>
      <w:r>
        <w:rPr>
          <w:sz w:val="26"/>
        </w:rPr>
        <w:t>The first issue we will address is the Complaint filed by Albert Barney.  The record in th</w:t>
      </w:r>
      <w:r w:rsidR="005F1F4C">
        <w:rPr>
          <w:sz w:val="26"/>
        </w:rPr>
        <w:t>ese consolidated</w:t>
      </w:r>
      <w:r>
        <w:rPr>
          <w:sz w:val="26"/>
        </w:rPr>
        <w:t xml:space="preserve"> proceeding</w:t>
      </w:r>
      <w:r w:rsidR="005F1F4C">
        <w:rPr>
          <w:sz w:val="26"/>
        </w:rPr>
        <w:t>s</w:t>
      </w:r>
      <w:r>
        <w:rPr>
          <w:sz w:val="26"/>
        </w:rPr>
        <w:t xml:space="preserve"> reveals that the Complainant received a</w:t>
      </w:r>
      <w:r w:rsidR="005F1F4C">
        <w:rPr>
          <w:sz w:val="26"/>
        </w:rPr>
        <w:t xml:space="preserve">ll notices pertaining to the pre-hearing conference and evidentiary hearings in these consolidated proceedings.  </w:t>
      </w:r>
      <w:r w:rsidR="005F1F4C" w:rsidRPr="005F1F4C">
        <w:rPr>
          <w:i/>
          <w:sz w:val="26"/>
        </w:rPr>
        <w:t>See, e.g</w:t>
      </w:r>
      <w:r w:rsidR="005F1F4C">
        <w:rPr>
          <w:sz w:val="26"/>
        </w:rPr>
        <w:t xml:space="preserve">., R.D. at 2-3.  Despite receiving notice, the Complainant failed to appear and support his Complaint.  </w:t>
      </w:r>
      <w:r w:rsidR="005F1F4C" w:rsidRPr="00341748">
        <w:rPr>
          <w:i/>
          <w:sz w:val="26"/>
        </w:rPr>
        <w:t>Id</w:t>
      </w:r>
      <w:r w:rsidR="005F1F4C">
        <w:rPr>
          <w:sz w:val="26"/>
        </w:rPr>
        <w:t>.</w:t>
      </w:r>
      <w:r w:rsidR="00341748">
        <w:rPr>
          <w:sz w:val="26"/>
        </w:rPr>
        <w:t xml:space="preserve"> at 4-5.</w:t>
      </w:r>
    </w:p>
    <w:p w:rsidR="00341748" w:rsidRDefault="00341748" w:rsidP="00C6646B">
      <w:pPr>
        <w:pStyle w:val="BodyText2"/>
        <w:spacing w:after="0" w:line="360" w:lineRule="auto"/>
        <w:ind w:firstLine="1440"/>
        <w:rPr>
          <w:sz w:val="26"/>
        </w:rPr>
      </w:pPr>
    </w:p>
    <w:p w:rsidR="00341748" w:rsidRDefault="00341748" w:rsidP="00C6646B">
      <w:pPr>
        <w:pStyle w:val="BodyText2"/>
        <w:spacing w:after="0" w:line="360" w:lineRule="auto"/>
        <w:ind w:firstLine="1440"/>
        <w:rPr>
          <w:sz w:val="26"/>
          <w:szCs w:val="20"/>
        </w:rPr>
      </w:pPr>
      <w:r w:rsidRPr="00341748">
        <w:rPr>
          <w:sz w:val="26"/>
          <w:szCs w:val="20"/>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4357EC">
        <w:rPr>
          <w:i/>
          <w:iCs/>
          <w:sz w:val="26"/>
          <w:szCs w:val="20"/>
        </w:rPr>
        <w:t>Schneider v. P</w:t>
      </w:r>
      <w:r w:rsidR="004357EC" w:rsidRPr="004357EC">
        <w:rPr>
          <w:i/>
          <w:iCs/>
          <w:sz w:val="26"/>
          <w:szCs w:val="20"/>
        </w:rPr>
        <w:t>ennsylvania Public Utility Commission</w:t>
      </w:r>
      <w:r w:rsidRPr="004357EC">
        <w:rPr>
          <w:sz w:val="26"/>
          <w:szCs w:val="20"/>
        </w:rPr>
        <w:t>, 479 A.2d 10 (</w:t>
      </w:r>
      <w:r w:rsidR="004357EC" w:rsidRPr="004357EC">
        <w:rPr>
          <w:sz w:val="26"/>
          <w:szCs w:val="20"/>
        </w:rPr>
        <w:t xml:space="preserve">Pa. Cmwlth. </w:t>
      </w:r>
      <w:r w:rsidRPr="004357EC">
        <w:rPr>
          <w:sz w:val="26"/>
          <w:szCs w:val="20"/>
        </w:rPr>
        <w:t>1984).</w:t>
      </w:r>
      <w:r w:rsidRPr="00341748">
        <w:rPr>
          <w:sz w:val="26"/>
          <w:szCs w:val="20"/>
        </w:rPr>
        <w:t xml:space="preserve"> Notice mailed to a party's last known address and not returned by the post office is presumed to have been received. </w:t>
      </w:r>
      <w:r w:rsidRPr="00AD1CE0">
        <w:rPr>
          <w:i/>
          <w:iCs/>
          <w:sz w:val="26"/>
          <w:szCs w:val="20"/>
        </w:rPr>
        <w:t>Chartiers Industrial and Commercial Development Authority v. Allegheny County Board of Property Assessment Appeals and Review</w:t>
      </w:r>
      <w:r w:rsidRPr="00AD1CE0">
        <w:rPr>
          <w:sz w:val="26"/>
          <w:szCs w:val="20"/>
        </w:rPr>
        <w:t>, 645 A.2d 944 (</w:t>
      </w:r>
      <w:r w:rsidR="004357EC" w:rsidRPr="00AD1CE0">
        <w:rPr>
          <w:sz w:val="26"/>
          <w:szCs w:val="20"/>
        </w:rPr>
        <w:t xml:space="preserve">Pa. Cmwlth. </w:t>
      </w:r>
      <w:r w:rsidRPr="00AD1CE0">
        <w:rPr>
          <w:sz w:val="26"/>
          <w:szCs w:val="20"/>
        </w:rPr>
        <w:t>1994).</w:t>
      </w:r>
      <w:r w:rsidR="00AD1CE0" w:rsidRPr="00AD1CE0">
        <w:rPr>
          <w:sz w:val="26"/>
          <w:szCs w:val="20"/>
        </w:rPr>
        <w:t xml:space="preserve">  Once notice of a hearing and the opportunity to be heard has been provided, it is the responsibility of the parties to appear and participate in the hearing. </w:t>
      </w:r>
      <w:r w:rsidR="00AD1CE0" w:rsidRPr="00AD1CE0">
        <w:rPr>
          <w:i/>
          <w:iCs/>
          <w:sz w:val="26"/>
          <w:szCs w:val="20"/>
        </w:rPr>
        <w:t>Craig Sentner v. Bell Telephone</w:t>
      </w:r>
      <w:r w:rsidR="00AD1CE0" w:rsidRPr="00AD1CE0">
        <w:rPr>
          <w:sz w:val="26"/>
          <w:szCs w:val="20"/>
        </w:rPr>
        <w:t xml:space="preserve"> </w:t>
      </w:r>
      <w:r w:rsidR="00AD1CE0" w:rsidRPr="00AD1CE0">
        <w:rPr>
          <w:i/>
          <w:iCs/>
          <w:sz w:val="26"/>
          <w:szCs w:val="20"/>
        </w:rPr>
        <w:t>Co. of Pennsylvania</w:t>
      </w:r>
      <w:r w:rsidR="00AD1CE0" w:rsidRPr="00AD1CE0">
        <w:rPr>
          <w:sz w:val="26"/>
          <w:szCs w:val="20"/>
        </w:rPr>
        <w:t>, Docket No. F-00161106 (Order entered October 25, 1993).</w:t>
      </w:r>
    </w:p>
    <w:p w:rsidR="00F44049" w:rsidRDefault="00F44049" w:rsidP="00C6646B">
      <w:pPr>
        <w:pStyle w:val="BodyText2"/>
        <w:spacing w:after="0" w:line="360" w:lineRule="auto"/>
        <w:ind w:firstLine="1440"/>
        <w:rPr>
          <w:sz w:val="26"/>
          <w:szCs w:val="20"/>
        </w:rPr>
      </w:pPr>
    </w:p>
    <w:p w:rsidR="00F44049" w:rsidRPr="00AD1CE0" w:rsidRDefault="00F44049" w:rsidP="00C6646B">
      <w:pPr>
        <w:pStyle w:val="BodyText2"/>
        <w:spacing w:after="0" w:line="360" w:lineRule="auto"/>
        <w:ind w:firstLine="1440"/>
        <w:rPr>
          <w:sz w:val="26"/>
        </w:rPr>
      </w:pPr>
      <w:r>
        <w:rPr>
          <w:sz w:val="26"/>
          <w:szCs w:val="20"/>
        </w:rPr>
        <w:t xml:space="preserve">Here, the Complainant has failed to appear </w:t>
      </w:r>
      <w:r w:rsidR="00FC1FE6">
        <w:rPr>
          <w:sz w:val="26"/>
          <w:szCs w:val="20"/>
        </w:rPr>
        <w:t>or</w:t>
      </w:r>
      <w:r>
        <w:rPr>
          <w:sz w:val="26"/>
          <w:szCs w:val="20"/>
        </w:rPr>
        <w:t xml:space="preserve"> do anything to support his Complaint.  </w:t>
      </w:r>
      <w:r w:rsidR="004D4AAB">
        <w:rPr>
          <w:sz w:val="26"/>
          <w:szCs w:val="20"/>
        </w:rPr>
        <w:t xml:space="preserve">As noted by the ALJ, the Complainant had the burden of proof with regard to his Complaint.  66 Pa. C.S. § 332(a).  By failing to appear, the Complainant failed to meet his burden of proof.  </w:t>
      </w:r>
      <w:r>
        <w:rPr>
          <w:sz w:val="26"/>
          <w:szCs w:val="20"/>
        </w:rPr>
        <w:t>On that basis, we agree with the ALJ that Mr. Barney’s Complaint shoul</w:t>
      </w:r>
      <w:r w:rsidR="004D4AAB">
        <w:rPr>
          <w:sz w:val="26"/>
          <w:szCs w:val="20"/>
        </w:rPr>
        <w:t xml:space="preserve">d be dismissed with prejudice.  </w:t>
      </w:r>
      <w:r w:rsidR="004D4AAB" w:rsidRPr="004D4AAB">
        <w:rPr>
          <w:i/>
          <w:sz w:val="26"/>
          <w:szCs w:val="20"/>
        </w:rPr>
        <w:t>Jefferson v. UGI Utilities, Inc</w:t>
      </w:r>
      <w:r w:rsidR="004D4AAB">
        <w:rPr>
          <w:sz w:val="26"/>
          <w:szCs w:val="20"/>
        </w:rPr>
        <w:t xml:space="preserve">., Docket No. Z-00269892 (Order entered December 26, 1995); </w:t>
      </w:r>
      <w:r w:rsidR="00D67C03">
        <w:rPr>
          <w:i/>
          <w:sz w:val="26"/>
          <w:szCs w:val="20"/>
        </w:rPr>
        <w:t>Jones v. The Peoples N</w:t>
      </w:r>
      <w:r w:rsidR="004D4AAB" w:rsidRPr="004D4AAB">
        <w:rPr>
          <w:i/>
          <w:sz w:val="26"/>
          <w:szCs w:val="20"/>
        </w:rPr>
        <w:t xml:space="preserve">atural Gas </w:t>
      </w:r>
      <w:r w:rsidR="004D4AAB" w:rsidRPr="004D4AAB">
        <w:rPr>
          <w:i/>
          <w:sz w:val="26"/>
          <w:szCs w:val="20"/>
        </w:rPr>
        <w:lastRenderedPageBreak/>
        <w:t>Company d/b/a Dominion Peoples</w:t>
      </w:r>
      <w:r w:rsidR="004D4AAB">
        <w:rPr>
          <w:sz w:val="26"/>
          <w:szCs w:val="20"/>
        </w:rPr>
        <w:t>, Docket No. C-200</w:t>
      </w:r>
      <w:r w:rsidR="004B5255">
        <w:rPr>
          <w:sz w:val="26"/>
          <w:szCs w:val="20"/>
        </w:rPr>
        <w:t>54885 (Opinion entered February </w:t>
      </w:r>
      <w:r w:rsidR="004D4AAB">
        <w:rPr>
          <w:sz w:val="26"/>
          <w:szCs w:val="20"/>
        </w:rPr>
        <w:t xml:space="preserve">14, 2006).  </w:t>
      </w:r>
    </w:p>
    <w:p w:rsidR="00721CAB" w:rsidRPr="00686442" w:rsidRDefault="00721CAB" w:rsidP="00945570">
      <w:pPr>
        <w:pStyle w:val="BodyText2"/>
        <w:spacing w:after="0" w:line="360" w:lineRule="auto"/>
        <w:ind w:firstLine="1440"/>
        <w:rPr>
          <w:sz w:val="26"/>
        </w:rPr>
      </w:pPr>
    </w:p>
    <w:p w:rsidR="00FF7084" w:rsidRDefault="00FF7084" w:rsidP="00FF5E4C">
      <w:pPr>
        <w:pStyle w:val="BodyText2"/>
        <w:spacing w:after="0" w:line="360" w:lineRule="auto"/>
        <w:ind w:firstLine="720"/>
        <w:rPr>
          <w:b/>
          <w:sz w:val="26"/>
        </w:rPr>
      </w:pPr>
      <w:r w:rsidRPr="00FF7084">
        <w:rPr>
          <w:b/>
          <w:sz w:val="26"/>
        </w:rPr>
        <w:t>The Exceptions</w:t>
      </w:r>
      <w:r w:rsidR="004F4FE5">
        <w:rPr>
          <w:b/>
          <w:sz w:val="26"/>
        </w:rPr>
        <w:t xml:space="preserve"> and Replies</w:t>
      </w:r>
    </w:p>
    <w:p w:rsidR="00FD45F1" w:rsidRDefault="00FD45F1" w:rsidP="002326E8">
      <w:pPr>
        <w:pStyle w:val="BodyText2"/>
        <w:spacing w:after="0" w:line="360" w:lineRule="auto"/>
        <w:rPr>
          <w:b/>
          <w:sz w:val="26"/>
        </w:rPr>
      </w:pPr>
    </w:p>
    <w:p w:rsidR="00DD6081" w:rsidRPr="00DD6081" w:rsidRDefault="00DD6081" w:rsidP="00FF5E4C">
      <w:pPr>
        <w:pStyle w:val="BodyText2"/>
        <w:spacing w:after="0" w:line="360" w:lineRule="auto"/>
        <w:ind w:firstLine="1440"/>
        <w:rPr>
          <w:b/>
          <w:sz w:val="26"/>
        </w:rPr>
      </w:pPr>
      <w:r w:rsidRPr="00DD6081">
        <w:rPr>
          <w:b/>
          <w:sz w:val="26"/>
        </w:rPr>
        <w:t>Scheller Exceptions</w:t>
      </w:r>
    </w:p>
    <w:p w:rsidR="00DD6081" w:rsidRDefault="00DD6081" w:rsidP="00FD45F1">
      <w:pPr>
        <w:pStyle w:val="BodyText2"/>
        <w:spacing w:after="0" w:line="360" w:lineRule="auto"/>
        <w:ind w:firstLine="1440"/>
        <w:rPr>
          <w:sz w:val="26"/>
        </w:rPr>
      </w:pPr>
    </w:p>
    <w:p w:rsidR="00FD45F1" w:rsidRDefault="00CF7CE7" w:rsidP="00FD45F1">
      <w:pPr>
        <w:pStyle w:val="BodyText2"/>
        <w:spacing w:after="0" w:line="360" w:lineRule="auto"/>
        <w:ind w:firstLine="1440"/>
        <w:rPr>
          <w:sz w:val="26"/>
        </w:rPr>
      </w:pPr>
      <w:r>
        <w:rPr>
          <w:sz w:val="26"/>
        </w:rPr>
        <w:t>The first set of Exceptions we will address are those filed on November 1, 2010, by Kurt Scheller.</w:t>
      </w:r>
      <w:r w:rsidR="00C02037">
        <w:rPr>
          <w:rStyle w:val="FootnoteReference"/>
        </w:rPr>
        <w:footnoteReference w:id="9"/>
      </w:r>
      <w:r>
        <w:rPr>
          <w:sz w:val="26"/>
        </w:rPr>
        <w:t xml:space="preserve">  It will be noted that the ALJ does not address any pleading filed by Mr. Scheller nor references Mr. Scheller in any way.  In his Exceptions, Mr. Scheller explains that he filed a Formal Complaint </w:t>
      </w:r>
      <w:r w:rsidR="00FB67B5">
        <w:rPr>
          <w:sz w:val="26"/>
        </w:rPr>
        <w:t xml:space="preserve">on August 26, 2010.  The Formal Complaint </w:t>
      </w:r>
      <w:r>
        <w:rPr>
          <w:sz w:val="26"/>
        </w:rPr>
        <w:t>was deemed a Protest</w:t>
      </w:r>
      <w:r w:rsidR="00FB67B5">
        <w:rPr>
          <w:sz w:val="26"/>
        </w:rPr>
        <w:t xml:space="preserve"> by Secretarial Letter issued</w:t>
      </w:r>
      <w:r>
        <w:rPr>
          <w:sz w:val="26"/>
        </w:rPr>
        <w:t xml:space="preserve"> on September 2, 2010.  </w:t>
      </w:r>
      <w:r w:rsidR="004B5255">
        <w:rPr>
          <w:sz w:val="26"/>
        </w:rPr>
        <w:t>Scheller Exc. at </w:t>
      </w:r>
      <w:r w:rsidR="00D964A1">
        <w:rPr>
          <w:sz w:val="26"/>
        </w:rPr>
        <w:t>1.</w:t>
      </w:r>
    </w:p>
    <w:p w:rsidR="00D964A1" w:rsidRDefault="00D964A1" w:rsidP="00FD45F1">
      <w:pPr>
        <w:pStyle w:val="BodyText2"/>
        <w:spacing w:after="0" w:line="360" w:lineRule="auto"/>
        <w:ind w:firstLine="1440"/>
        <w:rPr>
          <w:sz w:val="26"/>
        </w:rPr>
      </w:pPr>
    </w:p>
    <w:p w:rsidR="00D964A1" w:rsidRDefault="00D964A1" w:rsidP="00FD45F1">
      <w:pPr>
        <w:pStyle w:val="BodyText2"/>
        <w:spacing w:after="0" w:line="360" w:lineRule="auto"/>
        <w:ind w:firstLine="1440"/>
        <w:rPr>
          <w:sz w:val="26"/>
        </w:rPr>
      </w:pPr>
      <w:r>
        <w:rPr>
          <w:sz w:val="26"/>
        </w:rPr>
        <w:t xml:space="preserve">In its Replies to Exceptions, PPL argues that Mr. Scheller’s Exceptions </w:t>
      </w:r>
      <w:r w:rsidR="00C6118B">
        <w:rPr>
          <w:sz w:val="26"/>
        </w:rPr>
        <w:t>should be dismissed because Mr. Scheller never formally intervened in the proceeding and never submitted any pleading until after the record closed on August 25, 2010.  PPL asserts that Mr. Scheller received notice of the proceeding</w:t>
      </w:r>
      <w:r w:rsidR="008B566D">
        <w:rPr>
          <w:sz w:val="26"/>
        </w:rPr>
        <w:t xml:space="preserve"> and that notice provided that the protest period for formal intervention in this proceeding ended on March 5, 2010.  PPL R.Exc. at 17-18.  Notwithstanding the notice, opportunity to be heard and</w:t>
      </w:r>
      <w:r w:rsidR="00E53779">
        <w:rPr>
          <w:sz w:val="26"/>
        </w:rPr>
        <w:t xml:space="preserve"> the </w:t>
      </w:r>
      <w:r w:rsidR="008B566D">
        <w:rPr>
          <w:sz w:val="26"/>
        </w:rPr>
        <w:t xml:space="preserve">specific time period for the filing of a </w:t>
      </w:r>
      <w:r w:rsidR="00E53779">
        <w:rPr>
          <w:sz w:val="26"/>
        </w:rPr>
        <w:t xml:space="preserve">formal </w:t>
      </w:r>
      <w:r w:rsidR="008B566D">
        <w:rPr>
          <w:sz w:val="26"/>
        </w:rPr>
        <w:t>protest, PPL argues that Mr. Scheller waited five months before attempting to intervene.  PPL argues that Mr. Scheller has not denied receiving notice</w:t>
      </w:r>
      <w:r w:rsidR="00D90B19">
        <w:rPr>
          <w:sz w:val="26"/>
        </w:rPr>
        <w:t xml:space="preserve"> nor has he provided any compelling reason for his failure to appear in a timely manner.  </w:t>
      </w:r>
      <w:r w:rsidR="00D90B19" w:rsidRPr="00D90B19">
        <w:rPr>
          <w:i/>
          <w:sz w:val="26"/>
        </w:rPr>
        <w:t>Id</w:t>
      </w:r>
      <w:r w:rsidR="00D90B19">
        <w:rPr>
          <w:sz w:val="26"/>
        </w:rPr>
        <w:t>. at 18.</w:t>
      </w:r>
    </w:p>
    <w:p w:rsidR="0006585E" w:rsidRDefault="0006585E" w:rsidP="00FD45F1">
      <w:pPr>
        <w:pStyle w:val="BodyText2"/>
        <w:spacing w:after="0" w:line="360" w:lineRule="auto"/>
        <w:ind w:firstLine="1440"/>
        <w:rPr>
          <w:sz w:val="26"/>
        </w:rPr>
      </w:pPr>
    </w:p>
    <w:p w:rsidR="0006585E" w:rsidRDefault="0006585E" w:rsidP="00FD45F1">
      <w:pPr>
        <w:pStyle w:val="BodyText2"/>
        <w:spacing w:after="0" w:line="360" w:lineRule="auto"/>
        <w:ind w:firstLine="1440"/>
        <w:rPr>
          <w:sz w:val="26"/>
        </w:rPr>
      </w:pPr>
      <w:r>
        <w:rPr>
          <w:sz w:val="26"/>
        </w:rPr>
        <w:lastRenderedPageBreak/>
        <w:t>We will dismiss Mr. Scheller’s Exceptions on the basis that he failed to timely interv</w:t>
      </w:r>
      <w:r w:rsidR="00E53779">
        <w:rPr>
          <w:sz w:val="26"/>
        </w:rPr>
        <w:t xml:space="preserve">ene in this proceeding </w:t>
      </w:r>
      <w:r>
        <w:rPr>
          <w:sz w:val="26"/>
        </w:rPr>
        <w:t xml:space="preserve">and, accordingly, has no basis to appear at this late date as a litigant for the purpose of filing Exceptions.  As described by the ALJ, </w:t>
      </w:r>
      <w:r w:rsidR="00E55DA2">
        <w:rPr>
          <w:sz w:val="26"/>
        </w:rPr>
        <w:t>PPL filed several separate notices of the Applications and Petition which initiated th</w:t>
      </w:r>
      <w:r w:rsidR="00BB0F18">
        <w:rPr>
          <w:sz w:val="26"/>
        </w:rPr>
        <w:t>ese</w:t>
      </w:r>
      <w:r w:rsidR="00E55DA2">
        <w:rPr>
          <w:sz w:val="26"/>
        </w:rPr>
        <w:t xml:space="preserve"> </w:t>
      </w:r>
      <w:r w:rsidR="00BB0F18">
        <w:rPr>
          <w:sz w:val="26"/>
        </w:rPr>
        <w:t xml:space="preserve">consolidated </w:t>
      </w:r>
      <w:r w:rsidR="00E55DA2">
        <w:rPr>
          <w:sz w:val="26"/>
        </w:rPr>
        <w:t>proceeding</w:t>
      </w:r>
      <w:r w:rsidR="00BB0F18">
        <w:rPr>
          <w:sz w:val="26"/>
        </w:rPr>
        <w:t>s</w:t>
      </w:r>
      <w:r w:rsidR="00E55DA2">
        <w:rPr>
          <w:sz w:val="26"/>
        </w:rPr>
        <w:t xml:space="preserve">.  Notices appeared in the </w:t>
      </w:r>
      <w:r w:rsidR="00E55DA2" w:rsidRPr="00E55DA2">
        <w:rPr>
          <w:i/>
          <w:sz w:val="26"/>
        </w:rPr>
        <w:t>Pocono Record</w:t>
      </w:r>
      <w:r w:rsidR="00E55DA2">
        <w:rPr>
          <w:sz w:val="26"/>
        </w:rPr>
        <w:t>, a newspaper of general circulation in the subject area, on January 20, 2010, January 27, 2010</w:t>
      </w:r>
      <w:r w:rsidR="00BB0F18">
        <w:rPr>
          <w:sz w:val="26"/>
        </w:rPr>
        <w:t>,</w:t>
      </w:r>
      <w:r w:rsidR="00E55DA2">
        <w:rPr>
          <w:sz w:val="26"/>
        </w:rPr>
        <w:t xml:space="preserve"> and February 3, 2010.  </w:t>
      </w:r>
      <w:r w:rsidR="002857A6">
        <w:rPr>
          <w:sz w:val="26"/>
        </w:rPr>
        <w:t xml:space="preserve">R.D. at 4.  </w:t>
      </w:r>
      <w:r w:rsidR="00E55DA2">
        <w:rPr>
          <w:sz w:val="26"/>
        </w:rPr>
        <w:t xml:space="preserve">Further, notice of the consolidated proceedings also appeared in the </w:t>
      </w:r>
      <w:r w:rsidR="00E55DA2" w:rsidRPr="00E40BD1">
        <w:rPr>
          <w:i/>
          <w:sz w:val="26"/>
        </w:rPr>
        <w:t>Pennsylvania Bulletin</w:t>
      </w:r>
      <w:r w:rsidR="00E40BD1">
        <w:rPr>
          <w:sz w:val="26"/>
        </w:rPr>
        <w:t xml:space="preserve">, 40 </w:t>
      </w:r>
      <w:r w:rsidR="00E40BD1" w:rsidRPr="00026701">
        <w:rPr>
          <w:i/>
          <w:sz w:val="26"/>
        </w:rPr>
        <w:t>Pa. B</w:t>
      </w:r>
      <w:r w:rsidR="00026701" w:rsidRPr="00026701">
        <w:rPr>
          <w:i/>
          <w:sz w:val="26"/>
        </w:rPr>
        <w:t>.</w:t>
      </w:r>
      <w:r w:rsidR="00E40BD1">
        <w:rPr>
          <w:sz w:val="26"/>
        </w:rPr>
        <w:t xml:space="preserve"> 686.</w:t>
      </w:r>
      <w:r w:rsidR="002857A6">
        <w:rPr>
          <w:sz w:val="26"/>
        </w:rPr>
        <w:t xml:space="preserve">  The notices in the </w:t>
      </w:r>
      <w:r w:rsidR="002857A6" w:rsidRPr="00D80B21">
        <w:rPr>
          <w:i/>
          <w:sz w:val="26"/>
        </w:rPr>
        <w:t>Pocono Record</w:t>
      </w:r>
      <w:r w:rsidR="002857A6">
        <w:rPr>
          <w:sz w:val="26"/>
        </w:rPr>
        <w:t xml:space="preserve"> advised interested persons of the date, time and place of the initial prehearing conference scheduled in these consolidated proceedings.  Those notices also advised that if no protests or petitions to intervene were received at least seven days prior to the prehearing conference, PPL’s Applications and Petition could be decided without hearing.  </w:t>
      </w:r>
      <w:r w:rsidR="00D80B21" w:rsidRPr="00D80B21">
        <w:rPr>
          <w:i/>
          <w:sz w:val="26"/>
        </w:rPr>
        <w:t>See</w:t>
      </w:r>
      <w:r w:rsidR="00D80B21">
        <w:rPr>
          <w:sz w:val="26"/>
        </w:rPr>
        <w:t xml:space="preserve">, PPL Proof of Publication submitted under cover of letter dated March 12, 2010.  The notice published in the </w:t>
      </w:r>
      <w:r w:rsidR="00D80B21" w:rsidRPr="00D80B21">
        <w:rPr>
          <w:i/>
          <w:sz w:val="26"/>
        </w:rPr>
        <w:t>Pennsylvania Bulletin</w:t>
      </w:r>
      <w:r w:rsidR="00D80B21">
        <w:rPr>
          <w:sz w:val="26"/>
        </w:rPr>
        <w:t xml:space="preserve"> advised that any protests must be filed on or before March 5, 2010.  40 </w:t>
      </w:r>
      <w:r w:rsidR="00D80B21" w:rsidRPr="00026701">
        <w:rPr>
          <w:i/>
          <w:sz w:val="26"/>
        </w:rPr>
        <w:t>Pa</w:t>
      </w:r>
      <w:r w:rsidR="00026701" w:rsidRPr="00026701">
        <w:rPr>
          <w:i/>
          <w:sz w:val="26"/>
        </w:rPr>
        <w:t>. B.</w:t>
      </w:r>
      <w:r w:rsidR="00D80B21">
        <w:rPr>
          <w:sz w:val="26"/>
        </w:rPr>
        <w:t xml:space="preserve"> 686.  Despite the foregoing, Mr. Scheller failed to file a timely protest or appear at the prehearing conference.</w:t>
      </w:r>
    </w:p>
    <w:p w:rsidR="00D80B21" w:rsidRDefault="00D80B21" w:rsidP="00FD45F1">
      <w:pPr>
        <w:pStyle w:val="BodyText2"/>
        <w:spacing w:after="0" w:line="360" w:lineRule="auto"/>
        <w:ind w:firstLine="1440"/>
        <w:rPr>
          <w:sz w:val="26"/>
        </w:rPr>
      </w:pPr>
    </w:p>
    <w:p w:rsidR="00FA4A78" w:rsidRDefault="00026701" w:rsidP="00FD45F1">
      <w:pPr>
        <w:pStyle w:val="BodyText2"/>
        <w:spacing w:after="0" w:line="360" w:lineRule="auto"/>
        <w:ind w:firstLine="1440"/>
        <w:rPr>
          <w:sz w:val="26"/>
        </w:rPr>
      </w:pPr>
      <w:r>
        <w:rPr>
          <w:sz w:val="26"/>
        </w:rPr>
        <w:t>The Commission’s regulation</w:t>
      </w:r>
      <w:r w:rsidR="00CF7F11">
        <w:rPr>
          <w:sz w:val="26"/>
        </w:rPr>
        <w:t xml:space="preserve"> at 52 Pa. Code § 57.75(d) sets forth the procedure by which an interested person may formally intervene in a line</w:t>
      </w:r>
      <w:r w:rsidR="00FA4A78">
        <w:rPr>
          <w:sz w:val="26"/>
        </w:rPr>
        <w:t xml:space="preserve"> siting proceeding such as that</w:t>
      </w:r>
      <w:r w:rsidR="00CF7F11">
        <w:rPr>
          <w:sz w:val="26"/>
        </w:rPr>
        <w:t xml:space="preserve"> now before us.  Mr. Scheller failed to follow that procedure.  As noted, Mr. Scheller failed to file any type of pleading </w:t>
      </w:r>
      <w:r w:rsidR="00FA4A78">
        <w:rPr>
          <w:sz w:val="26"/>
        </w:rPr>
        <w:t>until after the record closed.</w:t>
      </w:r>
    </w:p>
    <w:p w:rsidR="00FA4A78" w:rsidRDefault="00FA4A78" w:rsidP="00FD45F1">
      <w:pPr>
        <w:pStyle w:val="BodyText2"/>
        <w:spacing w:after="0" w:line="360" w:lineRule="auto"/>
        <w:ind w:firstLine="1440"/>
        <w:rPr>
          <w:sz w:val="26"/>
        </w:rPr>
      </w:pPr>
    </w:p>
    <w:p w:rsidR="00D80B21" w:rsidRDefault="00CF7F11" w:rsidP="00FD45F1">
      <w:pPr>
        <w:pStyle w:val="BodyText2"/>
        <w:spacing w:after="0" w:line="360" w:lineRule="auto"/>
        <w:ind w:firstLine="1440"/>
        <w:rPr>
          <w:sz w:val="26"/>
          <w:szCs w:val="26"/>
        </w:rPr>
      </w:pPr>
      <w:r>
        <w:rPr>
          <w:sz w:val="26"/>
        </w:rPr>
        <w:t>We note that</w:t>
      </w:r>
      <w:r w:rsidR="00FA4A78">
        <w:rPr>
          <w:sz w:val="26"/>
        </w:rPr>
        <w:t>,</w:t>
      </w:r>
      <w:r>
        <w:rPr>
          <w:sz w:val="26"/>
        </w:rPr>
        <w:t xml:space="preserve"> in the case of </w:t>
      </w:r>
      <w:r w:rsidRPr="00594275">
        <w:rPr>
          <w:i/>
          <w:sz w:val="26"/>
        </w:rPr>
        <w:t>Application of Duquesne Light Company</w:t>
      </w:r>
      <w:r>
        <w:rPr>
          <w:sz w:val="26"/>
        </w:rPr>
        <w:t xml:space="preserve">, </w:t>
      </w:r>
      <w:r w:rsidR="00FA4A78">
        <w:rPr>
          <w:sz w:val="26"/>
        </w:rPr>
        <w:t xml:space="preserve">Docket No. </w:t>
      </w:r>
      <w:r>
        <w:rPr>
          <w:sz w:val="26"/>
          <w:szCs w:val="26"/>
        </w:rPr>
        <w:t xml:space="preserve">A-2010-2159814 (Order entered </w:t>
      </w:r>
      <w:r w:rsidR="00594275">
        <w:rPr>
          <w:sz w:val="26"/>
          <w:szCs w:val="26"/>
        </w:rPr>
        <w:t>February 10, 2011) (</w:t>
      </w:r>
      <w:r w:rsidR="00594275" w:rsidRPr="00594275">
        <w:rPr>
          <w:i/>
          <w:sz w:val="26"/>
          <w:szCs w:val="26"/>
        </w:rPr>
        <w:t>Duquesne</w:t>
      </w:r>
      <w:r w:rsidR="00594275">
        <w:rPr>
          <w:sz w:val="26"/>
          <w:szCs w:val="26"/>
        </w:rPr>
        <w:t xml:space="preserve">), we permitted two unrepresented persons to file Exceptions even though formal intervention had not occurred.  However, in </w:t>
      </w:r>
      <w:r w:rsidR="00594275" w:rsidRPr="00594275">
        <w:rPr>
          <w:i/>
          <w:sz w:val="26"/>
          <w:szCs w:val="26"/>
        </w:rPr>
        <w:t>Duquesne</w:t>
      </w:r>
      <w:r w:rsidR="00594275">
        <w:rPr>
          <w:sz w:val="26"/>
          <w:szCs w:val="26"/>
        </w:rPr>
        <w:t xml:space="preserve">, we specifically found that the persons in that proceeding may have been given the impression that they had attained formal party status when they appeared </w:t>
      </w:r>
      <w:r w:rsidR="00BB0F18">
        <w:rPr>
          <w:sz w:val="26"/>
          <w:szCs w:val="26"/>
        </w:rPr>
        <w:t xml:space="preserve">and testified </w:t>
      </w:r>
      <w:r w:rsidR="00594275">
        <w:rPr>
          <w:sz w:val="26"/>
          <w:szCs w:val="26"/>
        </w:rPr>
        <w:t xml:space="preserve">at evidentiary hearings.  </w:t>
      </w:r>
      <w:r w:rsidR="00594275" w:rsidRPr="00437A0D">
        <w:rPr>
          <w:i/>
          <w:sz w:val="26"/>
          <w:szCs w:val="26"/>
        </w:rPr>
        <w:t>Duquesne</w:t>
      </w:r>
      <w:r w:rsidR="00594275">
        <w:rPr>
          <w:sz w:val="26"/>
          <w:szCs w:val="26"/>
        </w:rPr>
        <w:t xml:space="preserve"> at </w:t>
      </w:r>
      <w:r w:rsidR="00437A0D">
        <w:rPr>
          <w:sz w:val="26"/>
          <w:szCs w:val="26"/>
        </w:rPr>
        <w:t xml:space="preserve">13.  We also </w:t>
      </w:r>
      <w:r w:rsidR="00437A0D">
        <w:rPr>
          <w:sz w:val="26"/>
          <w:szCs w:val="26"/>
        </w:rPr>
        <w:lastRenderedPageBreak/>
        <w:t xml:space="preserve">expressly found that Duquesne Light Company, the Applicant in that case, would not be harmed by entertaining the Exceptions.  </w:t>
      </w:r>
      <w:r w:rsidR="00437A0D" w:rsidRPr="00437A0D">
        <w:rPr>
          <w:i/>
          <w:sz w:val="26"/>
          <w:szCs w:val="26"/>
        </w:rPr>
        <w:t>Id</w:t>
      </w:r>
      <w:r w:rsidR="00437A0D">
        <w:rPr>
          <w:sz w:val="26"/>
          <w:szCs w:val="26"/>
        </w:rPr>
        <w:t>.</w:t>
      </w:r>
    </w:p>
    <w:p w:rsidR="00437A0D" w:rsidRDefault="00437A0D" w:rsidP="00FD45F1">
      <w:pPr>
        <w:pStyle w:val="BodyText2"/>
        <w:spacing w:after="0" w:line="360" w:lineRule="auto"/>
        <w:ind w:firstLine="1440"/>
        <w:rPr>
          <w:sz w:val="26"/>
          <w:szCs w:val="26"/>
        </w:rPr>
      </w:pPr>
    </w:p>
    <w:p w:rsidR="00437A0D" w:rsidRDefault="00437A0D" w:rsidP="00FD45F1">
      <w:pPr>
        <w:pStyle w:val="BodyText2"/>
        <w:spacing w:after="0" w:line="360" w:lineRule="auto"/>
        <w:ind w:firstLine="1440"/>
        <w:rPr>
          <w:sz w:val="26"/>
          <w:szCs w:val="26"/>
        </w:rPr>
      </w:pPr>
      <w:r>
        <w:rPr>
          <w:sz w:val="26"/>
          <w:szCs w:val="26"/>
        </w:rPr>
        <w:t xml:space="preserve">This case is readily distinguishable from the circumstances in </w:t>
      </w:r>
      <w:r w:rsidRPr="00437A0D">
        <w:rPr>
          <w:i/>
          <w:sz w:val="26"/>
          <w:szCs w:val="26"/>
        </w:rPr>
        <w:t>Duquesne</w:t>
      </w:r>
      <w:r>
        <w:rPr>
          <w:sz w:val="26"/>
          <w:szCs w:val="26"/>
        </w:rPr>
        <w:t xml:space="preserve">.  Here, there can be no confusion on the part of Mr. Scheller as to whether he attained party status or not.  As we have said, </w:t>
      </w:r>
      <w:r w:rsidR="000208F1">
        <w:rPr>
          <w:sz w:val="26"/>
          <w:szCs w:val="26"/>
        </w:rPr>
        <w:t xml:space="preserve">despite having received notice and been provided the opportunity to appear, </w:t>
      </w:r>
      <w:r>
        <w:rPr>
          <w:sz w:val="26"/>
          <w:szCs w:val="26"/>
        </w:rPr>
        <w:t xml:space="preserve">Mr. Scheller filed nothing until after the record closed.  Further, unlike the situation in </w:t>
      </w:r>
      <w:r w:rsidRPr="00437A0D">
        <w:rPr>
          <w:i/>
          <w:sz w:val="26"/>
          <w:szCs w:val="26"/>
        </w:rPr>
        <w:t>Duquesne</w:t>
      </w:r>
      <w:r>
        <w:rPr>
          <w:sz w:val="26"/>
          <w:szCs w:val="26"/>
        </w:rPr>
        <w:t>, Mr. Scheller never appeared at any hearings in these consolidated proceedings and his status, or lack thereof, was never addressed by the ALJ.  Finally, we agree with PPL that</w:t>
      </w:r>
      <w:r w:rsidR="00185E77">
        <w:rPr>
          <w:sz w:val="26"/>
          <w:szCs w:val="26"/>
        </w:rPr>
        <w:t>,</w:t>
      </w:r>
      <w:r>
        <w:rPr>
          <w:sz w:val="26"/>
          <w:szCs w:val="26"/>
        </w:rPr>
        <w:t xml:space="preserve"> </w:t>
      </w:r>
      <w:r w:rsidR="000208F1">
        <w:rPr>
          <w:sz w:val="26"/>
          <w:szCs w:val="26"/>
        </w:rPr>
        <w:t xml:space="preserve">to permit Mr. Scheller to appear </w:t>
      </w:r>
      <w:r w:rsidR="00E6365C">
        <w:rPr>
          <w:sz w:val="26"/>
          <w:szCs w:val="26"/>
        </w:rPr>
        <w:t>at this extraordinarily late date</w:t>
      </w:r>
      <w:r w:rsidR="000208F1">
        <w:rPr>
          <w:sz w:val="26"/>
          <w:szCs w:val="26"/>
        </w:rPr>
        <w:t xml:space="preserve"> would harm PPL’s ability respond, particularly since the record has closed and briefs have been filed.  It is simply far too late in the proceeding to entertain Mr. Scheller’s Exceptions absent some extraordinary reason.  No such reason has been brought to our attention.  For the foregoi</w:t>
      </w:r>
      <w:r w:rsidR="004B5255">
        <w:rPr>
          <w:sz w:val="26"/>
          <w:szCs w:val="26"/>
        </w:rPr>
        <w:t>ng reasons, we will dismiss Mr. </w:t>
      </w:r>
      <w:r w:rsidR="000208F1">
        <w:rPr>
          <w:sz w:val="26"/>
          <w:szCs w:val="26"/>
        </w:rPr>
        <w:t>Scheller’s Exceptions.</w:t>
      </w:r>
    </w:p>
    <w:p w:rsidR="00024002" w:rsidRDefault="00024002" w:rsidP="00DD6081">
      <w:pPr>
        <w:pStyle w:val="BodyText2"/>
        <w:spacing w:after="0" w:line="360" w:lineRule="auto"/>
        <w:ind w:firstLine="720"/>
        <w:rPr>
          <w:b/>
          <w:sz w:val="26"/>
          <w:szCs w:val="26"/>
        </w:rPr>
      </w:pPr>
    </w:p>
    <w:p w:rsidR="00DD6081" w:rsidRDefault="00DD6081" w:rsidP="00FF5E4C">
      <w:pPr>
        <w:pStyle w:val="BodyText2"/>
        <w:spacing w:after="0" w:line="360" w:lineRule="auto"/>
        <w:ind w:firstLine="1440"/>
        <w:rPr>
          <w:sz w:val="26"/>
          <w:szCs w:val="26"/>
        </w:rPr>
      </w:pPr>
      <w:r w:rsidRPr="00DD6081">
        <w:rPr>
          <w:b/>
          <w:sz w:val="26"/>
          <w:szCs w:val="26"/>
        </w:rPr>
        <w:t>Hart/High Exceptions</w:t>
      </w:r>
      <w:r w:rsidR="00AE50FF">
        <w:rPr>
          <w:rStyle w:val="FootnoteReference"/>
          <w:b/>
        </w:rPr>
        <w:footnoteReference w:id="10"/>
      </w:r>
    </w:p>
    <w:p w:rsidR="00DD6081" w:rsidRDefault="00DD6081" w:rsidP="00DD6081">
      <w:pPr>
        <w:pStyle w:val="BodyText2"/>
        <w:spacing w:after="0" w:line="360" w:lineRule="auto"/>
        <w:ind w:firstLine="720"/>
        <w:rPr>
          <w:sz w:val="26"/>
          <w:szCs w:val="26"/>
        </w:rPr>
      </w:pPr>
    </w:p>
    <w:p w:rsidR="00DD6081" w:rsidRDefault="00644DE1" w:rsidP="00DD6081">
      <w:pPr>
        <w:pStyle w:val="BodyText2"/>
        <w:spacing w:after="0" w:line="360" w:lineRule="auto"/>
        <w:ind w:firstLine="1440"/>
        <w:rPr>
          <w:sz w:val="26"/>
          <w:szCs w:val="26"/>
        </w:rPr>
      </w:pPr>
      <w:r>
        <w:rPr>
          <w:sz w:val="26"/>
          <w:szCs w:val="26"/>
        </w:rPr>
        <w:t>Ms. Hart and Ms. High filed Exceptions which raise many of the same issues and make very similar arguments.  Accordingly, we will address these Exceptions together.</w:t>
      </w:r>
    </w:p>
    <w:p w:rsidR="00024002" w:rsidRDefault="00024002" w:rsidP="00DD6081">
      <w:pPr>
        <w:pStyle w:val="BodyText2"/>
        <w:spacing w:after="0" w:line="360" w:lineRule="auto"/>
        <w:ind w:firstLine="1440"/>
        <w:rPr>
          <w:sz w:val="26"/>
          <w:szCs w:val="26"/>
        </w:rPr>
      </w:pPr>
    </w:p>
    <w:p w:rsidR="00024002" w:rsidRDefault="00024002" w:rsidP="00DD6081">
      <w:pPr>
        <w:pStyle w:val="BodyText2"/>
        <w:spacing w:after="0" w:line="360" w:lineRule="auto"/>
        <w:ind w:firstLine="1440"/>
        <w:rPr>
          <w:sz w:val="26"/>
          <w:szCs w:val="26"/>
        </w:rPr>
      </w:pPr>
      <w:r>
        <w:rPr>
          <w:sz w:val="26"/>
          <w:szCs w:val="26"/>
        </w:rPr>
        <w:t xml:space="preserve">Both Ms. Hart and Ms. High assert that the ALJ erred when he found that PPL established a need for the proposed Effort Mountain Project.  </w:t>
      </w:r>
      <w:r w:rsidR="000D3EF6">
        <w:rPr>
          <w:sz w:val="26"/>
          <w:szCs w:val="26"/>
        </w:rPr>
        <w:t>Ms. Hart challenges the credibility of PPL’s planning guidelines which the ALJ found to support a finding that the exist</w:t>
      </w:r>
      <w:r w:rsidR="00185E77">
        <w:rPr>
          <w:sz w:val="26"/>
          <w:szCs w:val="26"/>
        </w:rPr>
        <w:t>ing distribution system requires</w:t>
      </w:r>
      <w:r w:rsidR="000D3EF6">
        <w:rPr>
          <w:sz w:val="26"/>
          <w:szCs w:val="26"/>
        </w:rPr>
        <w:t xml:space="preserve"> additional support to relieve over-loading.  Ms. Hart also reiterate</w:t>
      </w:r>
      <w:r w:rsidR="00D02325">
        <w:rPr>
          <w:sz w:val="26"/>
          <w:szCs w:val="26"/>
        </w:rPr>
        <w:t>s</w:t>
      </w:r>
      <w:r w:rsidR="000D3EF6">
        <w:rPr>
          <w:sz w:val="26"/>
          <w:szCs w:val="26"/>
        </w:rPr>
        <w:t xml:space="preserve"> her arguments made before the ALJ that current trends reveal that load growth is slowing thereby eliminating the need for the proposed Project.  Hart Exc. at </w:t>
      </w:r>
      <w:r w:rsidR="00C02311">
        <w:rPr>
          <w:sz w:val="26"/>
          <w:szCs w:val="26"/>
        </w:rPr>
        <w:t xml:space="preserve">6-9.  Ms. Hart also argues that the ALJ erred by failing to find that an upgrade of existing substations could serve as well as the proposed Project.  </w:t>
      </w:r>
      <w:r w:rsidR="00C02311" w:rsidRPr="00C02311">
        <w:rPr>
          <w:i/>
          <w:sz w:val="26"/>
          <w:szCs w:val="26"/>
        </w:rPr>
        <w:t>Id.</w:t>
      </w:r>
      <w:r w:rsidR="00C02311">
        <w:rPr>
          <w:sz w:val="26"/>
          <w:szCs w:val="26"/>
        </w:rPr>
        <w:t xml:space="preserve"> at 10, 12.  Ms. Hart again argue</w:t>
      </w:r>
      <w:r w:rsidR="00D02325">
        <w:rPr>
          <w:sz w:val="26"/>
          <w:szCs w:val="26"/>
        </w:rPr>
        <w:t>s</w:t>
      </w:r>
      <w:r w:rsidR="00C02311">
        <w:rPr>
          <w:sz w:val="26"/>
          <w:szCs w:val="26"/>
        </w:rPr>
        <w:t xml:space="preserve"> that new technologies such as smart grid and </w:t>
      </w:r>
      <w:r w:rsidR="00D02325">
        <w:rPr>
          <w:sz w:val="26"/>
          <w:szCs w:val="26"/>
        </w:rPr>
        <w:t xml:space="preserve">fuel cells could serve to eliminate the need for the proposed Project.  </w:t>
      </w:r>
      <w:r w:rsidR="00D02325" w:rsidRPr="00D02325">
        <w:rPr>
          <w:i/>
          <w:sz w:val="26"/>
          <w:szCs w:val="26"/>
        </w:rPr>
        <w:t>Id.</w:t>
      </w:r>
      <w:r w:rsidR="00D02325">
        <w:rPr>
          <w:sz w:val="26"/>
          <w:szCs w:val="26"/>
        </w:rPr>
        <w:t xml:space="preserve"> at 11, 12.  Finally, Ms. Hart argues that, in her experience, there have been few outages in the subject area and there is simply no need to </w:t>
      </w:r>
      <w:r w:rsidR="008C2FA0">
        <w:rPr>
          <w:sz w:val="26"/>
          <w:szCs w:val="26"/>
        </w:rPr>
        <w:t>upgrade</w:t>
      </w:r>
      <w:r w:rsidR="00D02325">
        <w:rPr>
          <w:sz w:val="26"/>
          <w:szCs w:val="26"/>
        </w:rPr>
        <w:t xml:space="preserve"> the facilities.  </w:t>
      </w:r>
      <w:r w:rsidR="00D02325" w:rsidRPr="00D02325">
        <w:rPr>
          <w:i/>
          <w:sz w:val="26"/>
          <w:szCs w:val="26"/>
        </w:rPr>
        <w:t>Id.</w:t>
      </w:r>
      <w:r w:rsidR="00D02325">
        <w:rPr>
          <w:sz w:val="26"/>
          <w:szCs w:val="26"/>
        </w:rPr>
        <w:t xml:space="preserve"> at 13.</w:t>
      </w:r>
    </w:p>
    <w:p w:rsidR="00D02325" w:rsidRDefault="00D02325" w:rsidP="00DD6081">
      <w:pPr>
        <w:pStyle w:val="BodyText2"/>
        <w:spacing w:after="0" w:line="360" w:lineRule="auto"/>
        <w:ind w:firstLine="1440"/>
        <w:rPr>
          <w:sz w:val="26"/>
          <w:szCs w:val="26"/>
        </w:rPr>
      </w:pPr>
    </w:p>
    <w:p w:rsidR="00D02325" w:rsidRDefault="00A7753C" w:rsidP="00DD6081">
      <w:pPr>
        <w:pStyle w:val="BodyText2"/>
        <w:spacing w:after="0" w:line="360" w:lineRule="auto"/>
        <w:ind w:firstLine="1440"/>
        <w:rPr>
          <w:sz w:val="26"/>
          <w:szCs w:val="26"/>
        </w:rPr>
      </w:pPr>
      <w:r>
        <w:rPr>
          <w:sz w:val="26"/>
          <w:szCs w:val="26"/>
        </w:rPr>
        <w:t xml:space="preserve">Similarly, Ms. High argues that in her experience, there are few outages actually occurring in the subject area.  High Exc. at 3, 9.  Ms. High also states that a declining economy and population indicates that there is no need for the proposed Project.  Id. at 8.  </w:t>
      </w:r>
    </w:p>
    <w:p w:rsidR="00473F27" w:rsidRDefault="00473F27" w:rsidP="00DD6081">
      <w:pPr>
        <w:pStyle w:val="BodyText2"/>
        <w:spacing w:after="0" w:line="360" w:lineRule="auto"/>
        <w:ind w:firstLine="1440"/>
        <w:rPr>
          <w:sz w:val="26"/>
          <w:szCs w:val="26"/>
        </w:rPr>
      </w:pPr>
    </w:p>
    <w:p w:rsidR="00473F27" w:rsidRDefault="00473F27" w:rsidP="00DD6081">
      <w:pPr>
        <w:pStyle w:val="BodyText2"/>
        <w:spacing w:after="0" w:line="360" w:lineRule="auto"/>
        <w:ind w:firstLine="1440"/>
        <w:rPr>
          <w:sz w:val="26"/>
          <w:szCs w:val="26"/>
        </w:rPr>
      </w:pPr>
      <w:r>
        <w:rPr>
          <w:sz w:val="26"/>
          <w:szCs w:val="26"/>
        </w:rPr>
        <w:t xml:space="preserve">PPL responds that </w:t>
      </w:r>
      <w:r w:rsidR="00D576AC">
        <w:rPr>
          <w:sz w:val="26"/>
          <w:szCs w:val="26"/>
        </w:rPr>
        <w:t xml:space="preserve">PPL presented substantial evidence that several distribution lines and transformers in the Sun Valley/Jonas area are presently overloaded, and that others will soon be overloaded as a result of load growth in the area.  </w:t>
      </w:r>
      <w:r w:rsidR="00EE62D0">
        <w:rPr>
          <w:sz w:val="26"/>
          <w:szCs w:val="26"/>
        </w:rPr>
        <w:t>PPL</w:t>
      </w:r>
      <w:r w:rsidR="0098527D">
        <w:rPr>
          <w:sz w:val="26"/>
          <w:szCs w:val="26"/>
        </w:rPr>
        <w:t xml:space="preserve"> R.Exc. at 5.  PPL reiterates that the Meckesville distribution line designated Meckesville 69-1 is projected to exceed the normal planning guidelines during the winter of 2010-2011.  The distribution line designated Meckesville 69-2 already exceeds </w:t>
      </w:r>
      <w:r w:rsidR="00C54F74">
        <w:rPr>
          <w:sz w:val="26"/>
          <w:szCs w:val="26"/>
        </w:rPr>
        <w:t>the guidelines.  Similarly, the Meckesville substation transformers are projected to become overloaded in 2011.  PPL states that the record established that there is very limited transfer capacity available to relieve the current line loading in the subject area.  Id. at 6-7.</w:t>
      </w:r>
    </w:p>
    <w:p w:rsidR="00C54F74" w:rsidRDefault="00C54F74" w:rsidP="00DD6081">
      <w:pPr>
        <w:pStyle w:val="BodyText2"/>
        <w:spacing w:after="0" w:line="360" w:lineRule="auto"/>
        <w:ind w:firstLine="1440"/>
        <w:rPr>
          <w:sz w:val="26"/>
          <w:szCs w:val="26"/>
        </w:rPr>
      </w:pPr>
    </w:p>
    <w:p w:rsidR="00C54F74" w:rsidRDefault="00C54F74" w:rsidP="00DD6081">
      <w:pPr>
        <w:pStyle w:val="BodyText2"/>
        <w:spacing w:after="0" w:line="360" w:lineRule="auto"/>
        <w:ind w:firstLine="1440"/>
        <w:rPr>
          <w:sz w:val="26"/>
          <w:szCs w:val="26"/>
        </w:rPr>
      </w:pPr>
      <w:r>
        <w:rPr>
          <w:sz w:val="26"/>
          <w:szCs w:val="26"/>
        </w:rPr>
        <w:lastRenderedPageBreak/>
        <w:t xml:space="preserve">Our review of the arguments on this issue lead us to conclude, as did the ALJ, that the arguments raised by Ms. Hart and Ms. High ignore or overlook the record evidence that establishes that </w:t>
      </w:r>
      <w:r w:rsidR="00DD2AD9">
        <w:rPr>
          <w:sz w:val="26"/>
          <w:szCs w:val="26"/>
        </w:rPr>
        <w:t xml:space="preserve">the current load on the Meckesville distribution lines and substation transformers requires relief now.  The ALJ acknowledged that matters raised by Ms. Hart indicated that the rate of growth may have slowed, but it has not stopped.  Further, the potential for new technologies coming on line in the future will not relieve the current problems.   R.D. at </w:t>
      </w:r>
      <w:r w:rsidR="00B1628A">
        <w:rPr>
          <w:sz w:val="26"/>
          <w:szCs w:val="26"/>
        </w:rPr>
        <w:t xml:space="preserve">32-34.  We agree with the ALJ that the record contains substantial evidence to support a finding that the proposed Effort Mountain Taps </w:t>
      </w:r>
      <w:r w:rsidR="00185E77">
        <w:rPr>
          <w:sz w:val="26"/>
          <w:szCs w:val="26"/>
        </w:rPr>
        <w:t>a</w:t>
      </w:r>
      <w:r w:rsidR="00B1628A">
        <w:rPr>
          <w:sz w:val="26"/>
          <w:szCs w:val="26"/>
        </w:rPr>
        <w:t xml:space="preserve">nd Effort Mountain Substation </w:t>
      </w:r>
      <w:r w:rsidR="00185E77">
        <w:rPr>
          <w:sz w:val="26"/>
          <w:szCs w:val="26"/>
        </w:rPr>
        <w:t xml:space="preserve">will </w:t>
      </w:r>
      <w:r w:rsidR="00B1628A">
        <w:rPr>
          <w:sz w:val="26"/>
          <w:szCs w:val="26"/>
        </w:rPr>
        <w:t xml:space="preserve">relieve the line loading problems on the Meckesville system.  </w:t>
      </w:r>
      <w:r w:rsidR="007D0023">
        <w:rPr>
          <w:sz w:val="26"/>
          <w:szCs w:val="26"/>
        </w:rPr>
        <w:t xml:space="preserve">Conversely, Ms. Hart and Ms. High have not produced any evidence which would suggest that there is no need for the line.  </w:t>
      </w:r>
      <w:r w:rsidR="007D0023" w:rsidRPr="007D0023">
        <w:rPr>
          <w:i/>
          <w:sz w:val="26"/>
          <w:szCs w:val="26"/>
        </w:rPr>
        <w:t>Id.</w:t>
      </w:r>
      <w:r w:rsidR="007D0023">
        <w:rPr>
          <w:sz w:val="26"/>
          <w:szCs w:val="26"/>
        </w:rPr>
        <w:t xml:space="preserve"> at 27-32.  For the reasons expressed by the ALJ, we will deny the Exceptions regarding need for the Effort Mountain Project and adopt the ALJ’s findings on this issue.</w:t>
      </w:r>
    </w:p>
    <w:p w:rsidR="00D83398" w:rsidRDefault="00D83398" w:rsidP="00DD6081">
      <w:pPr>
        <w:pStyle w:val="BodyText2"/>
        <w:spacing w:after="0" w:line="360" w:lineRule="auto"/>
        <w:ind w:firstLine="1440"/>
        <w:rPr>
          <w:sz w:val="26"/>
          <w:szCs w:val="26"/>
        </w:rPr>
      </w:pPr>
    </w:p>
    <w:p w:rsidR="00D83398" w:rsidRDefault="00E47A80" w:rsidP="00DD6081">
      <w:pPr>
        <w:pStyle w:val="BodyText2"/>
        <w:spacing w:after="0" w:line="360" w:lineRule="auto"/>
        <w:ind w:firstLine="1440"/>
        <w:rPr>
          <w:sz w:val="26"/>
          <w:szCs w:val="26"/>
        </w:rPr>
      </w:pPr>
      <w:r>
        <w:rPr>
          <w:sz w:val="26"/>
          <w:szCs w:val="26"/>
        </w:rPr>
        <w:t xml:space="preserve">Ms. Hart and Ms. High also claimed error in the ALJ’s findings regarding siting of the proposed Effort Mountain Taps.  </w:t>
      </w:r>
      <w:r w:rsidR="00576F27">
        <w:rPr>
          <w:sz w:val="26"/>
          <w:szCs w:val="26"/>
        </w:rPr>
        <w:t>Ms. Hart asserts that concerns of area residents have not been adequately addressed</w:t>
      </w:r>
      <w:r w:rsidR="008E6A32">
        <w:rPr>
          <w:sz w:val="26"/>
          <w:szCs w:val="26"/>
        </w:rPr>
        <w:t>, including concerns about vegetation control with herbicides</w:t>
      </w:r>
      <w:r w:rsidR="00576F27">
        <w:rPr>
          <w:sz w:val="26"/>
          <w:szCs w:val="26"/>
        </w:rPr>
        <w:t xml:space="preserve">.  </w:t>
      </w:r>
      <w:r w:rsidR="00F84D5F">
        <w:rPr>
          <w:sz w:val="26"/>
          <w:szCs w:val="26"/>
        </w:rPr>
        <w:t>Hart Exc. 24-25.  Ms. High expresses concerns about the lack of public input hearings.  High Exc. at 8.</w:t>
      </w:r>
      <w:r w:rsidR="00A04076">
        <w:rPr>
          <w:sz w:val="26"/>
          <w:szCs w:val="26"/>
        </w:rPr>
        <w:t xml:space="preserve">  </w:t>
      </w:r>
    </w:p>
    <w:p w:rsidR="008E6A32" w:rsidRDefault="008E6A32" w:rsidP="00DD6081">
      <w:pPr>
        <w:pStyle w:val="BodyText2"/>
        <w:spacing w:after="0" w:line="360" w:lineRule="auto"/>
        <w:ind w:firstLine="1440"/>
        <w:rPr>
          <w:sz w:val="26"/>
          <w:szCs w:val="26"/>
        </w:rPr>
      </w:pPr>
    </w:p>
    <w:p w:rsidR="008E6A32" w:rsidRDefault="008E6A32" w:rsidP="00DD6081">
      <w:pPr>
        <w:pStyle w:val="BodyText2"/>
        <w:spacing w:after="0" w:line="360" w:lineRule="auto"/>
        <w:ind w:firstLine="1440"/>
        <w:rPr>
          <w:sz w:val="26"/>
          <w:szCs w:val="26"/>
        </w:rPr>
      </w:pPr>
      <w:r>
        <w:rPr>
          <w:sz w:val="26"/>
          <w:szCs w:val="26"/>
        </w:rPr>
        <w:t xml:space="preserve">PPL </w:t>
      </w:r>
      <w:r w:rsidR="0058671F">
        <w:rPr>
          <w:sz w:val="26"/>
          <w:szCs w:val="26"/>
        </w:rPr>
        <w:t xml:space="preserve">replies that the ALJ provided </w:t>
      </w:r>
      <w:r w:rsidR="008C2FA0">
        <w:rPr>
          <w:sz w:val="26"/>
          <w:szCs w:val="26"/>
        </w:rPr>
        <w:t>a</w:t>
      </w:r>
      <w:r w:rsidR="0058671F">
        <w:rPr>
          <w:sz w:val="26"/>
          <w:szCs w:val="26"/>
        </w:rPr>
        <w:t xml:space="preserve"> full discussion of both the process for route selection as well as the alternatives considered.  PPL R.Exc. at 10.  PPL reminds us that route selection for transmission lines is for a utility’s management in the first instance.  That conclusion will be upheld unless it is shown to be wanton or capricious.  </w:t>
      </w:r>
      <w:r w:rsidR="0058671F" w:rsidRPr="00185E77">
        <w:rPr>
          <w:i/>
          <w:sz w:val="26"/>
          <w:szCs w:val="26"/>
        </w:rPr>
        <w:t>Id</w:t>
      </w:r>
      <w:r w:rsidR="0058671F">
        <w:rPr>
          <w:sz w:val="26"/>
          <w:szCs w:val="26"/>
        </w:rPr>
        <w:t xml:space="preserve">. at 9-10, </w:t>
      </w:r>
      <w:r w:rsidR="0058671F" w:rsidRPr="00185E77">
        <w:rPr>
          <w:sz w:val="26"/>
          <w:szCs w:val="26"/>
        </w:rPr>
        <w:t>citing</w:t>
      </w:r>
      <w:r w:rsidR="0058671F" w:rsidRPr="0058671F">
        <w:rPr>
          <w:i/>
          <w:sz w:val="26"/>
          <w:szCs w:val="26"/>
        </w:rPr>
        <w:t xml:space="preserve"> Energy Conservation Council of Pennsylvania v. Pennsylvania Public Utility Commission</w:t>
      </w:r>
      <w:r w:rsidR="0058671F">
        <w:rPr>
          <w:sz w:val="26"/>
          <w:szCs w:val="26"/>
        </w:rPr>
        <w:t>, 995 A.2d 465 (Pa. Cmlwth. 2010).</w:t>
      </w:r>
      <w:r w:rsidR="003F20D2">
        <w:rPr>
          <w:sz w:val="26"/>
          <w:szCs w:val="26"/>
        </w:rPr>
        <w:t xml:space="preserve">  PPL asserts that the preferred route, Route B1, was shown to have the least overall adverse </w:t>
      </w:r>
      <w:r w:rsidR="00123E53">
        <w:rPr>
          <w:sz w:val="26"/>
          <w:szCs w:val="26"/>
        </w:rPr>
        <w:t>impact of all the alternatives,</w:t>
      </w:r>
      <w:r w:rsidR="003F20D2">
        <w:rPr>
          <w:sz w:val="26"/>
          <w:szCs w:val="26"/>
        </w:rPr>
        <w:t xml:space="preserve"> giving consideration to the many factors that enter into selection of a transmission line route.  </w:t>
      </w:r>
      <w:r w:rsidR="00123E53" w:rsidRPr="00123E53">
        <w:rPr>
          <w:i/>
          <w:sz w:val="26"/>
          <w:szCs w:val="26"/>
        </w:rPr>
        <w:t>Id</w:t>
      </w:r>
      <w:r w:rsidR="00123E53">
        <w:rPr>
          <w:sz w:val="26"/>
          <w:szCs w:val="26"/>
        </w:rPr>
        <w:t xml:space="preserve">. at 10.  PPL argues that Ms. High and Ms. Hart never </w:t>
      </w:r>
      <w:r w:rsidR="00123E53">
        <w:rPr>
          <w:sz w:val="26"/>
          <w:szCs w:val="26"/>
        </w:rPr>
        <w:lastRenderedPageBreak/>
        <w:t xml:space="preserve">introduced evidence which rebutted PPL’s showing, nor did they introduce any evidence that the route selection was either wanton or capricious.  </w:t>
      </w:r>
      <w:r w:rsidR="00123E53" w:rsidRPr="00123E53">
        <w:rPr>
          <w:i/>
          <w:sz w:val="26"/>
          <w:szCs w:val="26"/>
        </w:rPr>
        <w:t>Id.</w:t>
      </w:r>
      <w:r w:rsidR="00123E53">
        <w:rPr>
          <w:sz w:val="26"/>
          <w:szCs w:val="26"/>
        </w:rPr>
        <w:t xml:space="preserve"> at 11.</w:t>
      </w:r>
    </w:p>
    <w:p w:rsidR="00123E53" w:rsidRDefault="00123E53" w:rsidP="00DD6081">
      <w:pPr>
        <w:pStyle w:val="BodyText2"/>
        <w:spacing w:after="0" w:line="360" w:lineRule="auto"/>
        <w:ind w:firstLine="1440"/>
        <w:rPr>
          <w:sz w:val="26"/>
          <w:szCs w:val="26"/>
        </w:rPr>
      </w:pPr>
    </w:p>
    <w:p w:rsidR="00123E53" w:rsidRDefault="00FD27B8" w:rsidP="00DD6081">
      <w:pPr>
        <w:pStyle w:val="BodyText2"/>
        <w:spacing w:after="0" w:line="360" w:lineRule="auto"/>
        <w:ind w:firstLine="1440"/>
        <w:rPr>
          <w:sz w:val="26"/>
          <w:szCs w:val="26"/>
        </w:rPr>
      </w:pPr>
      <w:r>
        <w:rPr>
          <w:sz w:val="26"/>
          <w:szCs w:val="26"/>
        </w:rPr>
        <w:t>PPL also argues that</w:t>
      </w:r>
      <w:r w:rsidR="00333DFA">
        <w:rPr>
          <w:sz w:val="26"/>
          <w:szCs w:val="26"/>
        </w:rPr>
        <w:t>,</w:t>
      </w:r>
      <w:r>
        <w:rPr>
          <w:sz w:val="26"/>
          <w:szCs w:val="26"/>
        </w:rPr>
        <w:t xml:space="preserve"> to the extent </w:t>
      </w:r>
      <w:r w:rsidR="00333DFA">
        <w:rPr>
          <w:sz w:val="26"/>
          <w:szCs w:val="26"/>
        </w:rPr>
        <w:t xml:space="preserve">an </w:t>
      </w:r>
      <w:r>
        <w:rPr>
          <w:sz w:val="26"/>
          <w:szCs w:val="26"/>
        </w:rPr>
        <w:t xml:space="preserve">argument is raised regarding the lack of public input hearings, </w:t>
      </w:r>
      <w:r w:rsidR="00FF7478">
        <w:rPr>
          <w:sz w:val="26"/>
          <w:szCs w:val="26"/>
        </w:rPr>
        <w:t xml:space="preserve">this is a new issue not properly raised at the Exception stage.  PPL also points out that there was no request at any time for public input hearings, despite the notices provided.  PPL notes that such notices included individual notice to all landowners who will be subject to the right-of-way.  PPL R.Exc. at 11-12.  PPL also argues that </w:t>
      </w:r>
      <w:r w:rsidR="005D7948">
        <w:rPr>
          <w:sz w:val="26"/>
          <w:szCs w:val="26"/>
        </w:rPr>
        <w:t xml:space="preserve">the Exceptions on this issue ignore the fact that PPL did conduct an extensive outreach program which resulted in modifications to the proposed and alternative routes.  </w:t>
      </w:r>
      <w:r w:rsidR="005D7948" w:rsidRPr="005D7948">
        <w:rPr>
          <w:i/>
          <w:sz w:val="26"/>
          <w:szCs w:val="26"/>
        </w:rPr>
        <w:t>Id</w:t>
      </w:r>
      <w:r w:rsidR="00333DFA">
        <w:rPr>
          <w:sz w:val="26"/>
          <w:szCs w:val="26"/>
        </w:rPr>
        <w:t>. at 13.</w:t>
      </w:r>
    </w:p>
    <w:p w:rsidR="00333DFA" w:rsidRDefault="00333DFA" w:rsidP="00DD6081">
      <w:pPr>
        <w:pStyle w:val="BodyText2"/>
        <w:spacing w:after="0" w:line="360" w:lineRule="auto"/>
        <w:ind w:firstLine="1440"/>
        <w:rPr>
          <w:sz w:val="26"/>
          <w:szCs w:val="26"/>
        </w:rPr>
      </w:pPr>
    </w:p>
    <w:p w:rsidR="005D7948" w:rsidRDefault="005D7948" w:rsidP="00DD6081">
      <w:pPr>
        <w:pStyle w:val="BodyText2"/>
        <w:spacing w:after="0" w:line="360" w:lineRule="auto"/>
        <w:ind w:firstLine="1440"/>
        <w:rPr>
          <w:sz w:val="26"/>
          <w:szCs w:val="26"/>
        </w:rPr>
      </w:pPr>
      <w:r>
        <w:rPr>
          <w:sz w:val="26"/>
          <w:szCs w:val="26"/>
        </w:rPr>
        <w:t xml:space="preserve">We will deny these Exceptions.  Based upon our review of the record, we agree with the ALJ that PPL fully considered all reasonable alternatives in its selection of the preferred route for the Effort Mountain Project.  The ALJ provided a thorough explanation of the process used by PPL to determine the proposed route.  R.D. at 34-38.  </w:t>
      </w:r>
      <w:r w:rsidR="00F46438">
        <w:rPr>
          <w:sz w:val="26"/>
          <w:szCs w:val="26"/>
        </w:rPr>
        <w:t xml:space="preserve">We particularly note PPL’s efforts regarding modification of the route and the resulting land transaction involving the Jonas Mountain Preserve and the Knappenberger tract.  </w:t>
      </w:r>
      <w:r w:rsidR="00F46438" w:rsidRPr="00F46438">
        <w:rPr>
          <w:i/>
          <w:sz w:val="26"/>
          <w:szCs w:val="26"/>
        </w:rPr>
        <w:t>Id</w:t>
      </w:r>
      <w:r w:rsidR="00700BEC">
        <w:rPr>
          <w:sz w:val="26"/>
          <w:szCs w:val="26"/>
        </w:rPr>
        <w:t>. </w:t>
      </w:r>
      <w:r w:rsidR="00F46438">
        <w:rPr>
          <w:sz w:val="26"/>
          <w:szCs w:val="26"/>
        </w:rPr>
        <w:t>at 38.  We agree with the ALJ’s statement regarding route selection:</w:t>
      </w:r>
    </w:p>
    <w:p w:rsidR="00631978" w:rsidRDefault="00631978" w:rsidP="00631978">
      <w:pPr>
        <w:pStyle w:val="BodyText2"/>
        <w:spacing w:after="0" w:line="240" w:lineRule="auto"/>
        <w:ind w:left="1440" w:right="1440"/>
        <w:rPr>
          <w:sz w:val="26"/>
        </w:rPr>
      </w:pPr>
      <w:r w:rsidRPr="00631978">
        <w:rPr>
          <w:sz w:val="26"/>
        </w:rPr>
        <w:t xml:space="preserve">Based on the foregoing, the modified version of Route B1 will have the least impact on surrounding areas.  (PPL Exhibit 1, Exhibit D, pp. 53-55)  In siting the Effort Mountain Taps, PPL attempted to select the electrical solution and route for the Taps that best balanced all of the competing factors that must be considered in transmission line siting.  Although the selected route does cross several wetlands, PPL anticipates no disturbance to these identified wetlands, which can be easily spanned.  (PPL Statement No. 2, p. 15)  Further, PPL is committed to obtaining all permits necessary prior to the construction of the Effort Mountain Taps, and will comply with all requirements for issuance of the permits.  (PPL Statement No. 2, pp. 15-16)  The selected route was designed to avoid as many impacts as practical.  Where such impacts </w:t>
      </w:r>
      <w:r w:rsidRPr="00631978">
        <w:rPr>
          <w:sz w:val="26"/>
        </w:rPr>
        <w:lastRenderedPageBreak/>
        <w:t>are unavoidable, PPL will employ mitigating measures to minimize such impacts.  (PPL Statement No. 2, p. 16)</w:t>
      </w:r>
    </w:p>
    <w:p w:rsidR="00631978" w:rsidRDefault="00631978" w:rsidP="00631978">
      <w:pPr>
        <w:pStyle w:val="BodyText2"/>
        <w:spacing w:after="0" w:line="360" w:lineRule="auto"/>
        <w:rPr>
          <w:sz w:val="26"/>
        </w:rPr>
      </w:pPr>
    </w:p>
    <w:p w:rsidR="00631978" w:rsidRDefault="00631978" w:rsidP="00631978">
      <w:pPr>
        <w:pStyle w:val="BodyText2"/>
        <w:spacing w:after="0" w:line="360" w:lineRule="auto"/>
        <w:rPr>
          <w:sz w:val="26"/>
        </w:rPr>
      </w:pPr>
      <w:r w:rsidRPr="00631978">
        <w:rPr>
          <w:i/>
          <w:sz w:val="26"/>
        </w:rPr>
        <w:t>Id</w:t>
      </w:r>
      <w:r>
        <w:rPr>
          <w:sz w:val="26"/>
        </w:rPr>
        <w:t xml:space="preserve">. </w:t>
      </w:r>
    </w:p>
    <w:p w:rsidR="00185E77" w:rsidRDefault="00185E77" w:rsidP="00631978">
      <w:pPr>
        <w:pStyle w:val="BodyText2"/>
        <w:spacing w:after="0" w:line="360" w:lineRule="auto"/>
        <w:rPr>
          <w:sz w:val="26"/>
        </w:rPr>
      </w:pPr>
    </w:p>
    <w:p w:rsidR="00631978" w:rsidRDefault="00542077" w:rsidP="00631978">
      <w:pPr>
        <w:pStyle w:val="BodyText2"/>
        <w:spacing w:after="0" w:line="360" w:lineRule="auto"/>
        <w:ind w:firstLine="1440"/>
        <w:rPr>
          <w:sz w:val="26"/>
        </w:rPr>
      </w:pPr>
      <w:r>
        <w:rPr>
          <w:sz w:val="26"/>
          <w:szCs w:val="26"/>
        </w:rPr>
        <w:t xml:space="preserve">We agree with the ALJ that the record contains substantial evidence to support a finding that the proposed Effort Mountain Taps and Effort Mountain Substation provide PPL with the best option to relieve the line loading problems on the Meckesville system.  Conversely, Ms. Hart and Ms. High have not produced any evidence which would suggest that PPL has not selected the best available option.  </w:t>
      </w:r>
      <w:r w:rsidRPr="007D0023">
        <w:rPr>
          <w:i/>
          <w:sz w:val="26"/>
          <w:szCs w:val="26"/>
        </w:rPr>
        <w:t>Id.</w:t>
      </w:r>
      <w:r>
        <w:rPr>
          <w:sz w:val="26"/>
          <w:szCs w:val="26"/>
        </w:rPr>
        <w:t xml:space="preserve"> at 27-32.  </w:t>
      </w:r>
      <w:r>
        <w:rPr>
          <w:sz w:val="26"/>
        </w:rPr>
        <w:t xml:space="preserve">For the foregoing reasons, we agree with the ALJ that the selected preferred route is reasonable under all the circumstances and the selection is not wanton or capricious.  </w:t>
      </w:r>
    </w:p>
    <w:p w:rsidR="00137E7E" w:rsidRDefault="00137E7E" w:rsidP="00631978">
      <w:pPr>
        <w:pStyle w:val="BodyText2"/>
        <w:spacing w:after="0" w:line="360" w:lineRule="auto"/>
        <w:ind w:firstLine="1440"/>
        <w:rPr>
          <w:sz w:val="26"/>
        </w:rPr>
      </w:pPr>
    </w:p>
    <w:p w:rsidR="00137E7E" w:rsidRDefault="00137E7E" w:rsidP="00631978">
      <w:pPr>
        <w:pStyle w:val="BodyText2"/>
        <w:spacing w:after="0" w:line="360" w:lineRule="auto"/>
        <w:ind w:firstLine="1440"/>
        <w:rPr>
          <w:sz w:val="26"/>
        </w:rPr>
      </w:pPr>
      <w:r>
        <w:rPr>
          <w:sz w:val="26"/>
        </w:rPr>
        <w:t xml:space="preserve">Ms. Hart and Ms. High both except to the ALJ’s conclusion regarding the safety of the proposed </w:t>
      </w:r>
      <w:r w:rsidR="00AF7988">
        <w:rPr>
          <w:sz w:val="26"/>
        </w:rPr>
        <w:t xml:space="preserve">line.  Ms. Hart raises concerns regarding </w:t>
      </w:r>
      <w:r w:rsidR="006F68A2">
        <w:rPr>
          <w:sz w:val="26"/>
        </w:rPr>
        <w:t>electric magnetic fields and</w:t>
      </w:r>
      <w:r w:rsidR="00445B96">
        <w:rPr>
          <w:sz w:val="26"/>
        </w:rPr>
        <w:t xml:space="preserve"> Ms. Hart and Ms. High express concerns about </w:t>
      </w:r>
      <w:r w:rsidR="006F68A2">
        <w:rPr>
          <w:sz w:val="26"/>
        </w:rPr>
        <w:t>the potential use of herbicides for vegetation control in the proposed right-of-way.  Hart Exc. at 26-</w:t>
      </w:r>
      <w:r w:rsidR="00445B96">
        <w:rPr>
          <w:sz w:val="26"/>
        </w:rPr>
        <w:t>27</w:t>
      </w:r>
      <w:r w:rsidR="001124A2">
        <w:rPr>
          <w:sz w:val="26"/>
        </w:rPr>
        <w:t>;</w:t>
      </w:r>
      <w:r w:rsidR="00445B96">
        <w:rPr>
          <w:sz w:val="26"/>
        </w:rPr>
        <w:t xml:space="preserve"> High Exc. at 14.  PPL responds that</w:t>
      </w:r>
      <w:r w:rsidR="001124A2">
        <w:rPr>
          <w:sz w:val="26"/>
        </w:rPr>
        <w:t>,</w:t>
      </w:r>
      <w:r w:rsidR="00445B96">
        <w:rPr>
          <w:sz w:val="26"/>
        </w:rPr>
        <w:t xml:space="preserve"> regarding any use of herbicides for vegetation control, it will use </w:t>
      </w:r>
      <w:r w:rsidR="002C0765">
        <w:rPr>
          <w:sz w:val="26"/>
        </w:rPr>
        <w:t xml:space="preserve">approved techniques.  PPL R.Exc. at 14.  PPL asserts that the record indicates that “PPL intends to honor all agreements with landowners in accordance with applicable federal and state laws and regulations.”  </w:t>
      </w:r>
      <w:r w:rsidR="002C0765" w:rsidRPr="002C0765">
        <w:rPr>
          <w:i/>
          <w:sz w:val="26"/>
        </w:rPr>
        <w:t>Id</w:t>
      </w:r>
      <w:r w:rsidR="002C0765">
        <w:rPr>
          <w:sz w:val="26"/>
        </w:rPr>
        <w:t>.</w:t>
      </w:r>
    </w:p>
    <w:p w:rsidR="002C0765" w:rsidRDefault="002C0765" w:rsidP="00631978">
      <w:pPr>
        <w:pStyle w:val="BodyText2"/>
        <w:spacing w:after="0" w:line="360" w:lineRule="auto"/>
        <w:ind w:firstLine="1440"/>
        <w:rPr>
          <w:sz w:val="26"/>
        </w:rPr>
      </w:pPr>
    </w:p>
    <w:p w:rsidR="002C0765" w:rsidRDefault="002C0765" w:rsidP="00631978">
      <w:pPr>
        <w:pStyle w:val="BodyText2"/>
        <w:spacing w:after="0" w:line="360" w:lineRule="auto"/>
        <w:ind w:firstLine="1440"/>
        <w:rPr>
          <w:sz w:val="26"/>
        </w:rPr>
      </w:pPr>
      <w:r>
        <w:rPr>
          <w:sz w:val="26"/>
        </w:rPr>
        <w:t>With regard to Ms. Hart’s concerns regarding electric magnetic fields, PPL reiterates that the Project will be constructed in full compliance with NESC standards.  As such, the Project should be found not to create an unreasonable risk or danger to the health and safety of the public.  PPL R.Exc. at 15.</w:t>
      </w:r>
    </w:p>
    <w:p w:rsidR="002C0765" w:rsidRDefault="002C0765" w:rsidP="00631978">
      <w:pPr>
        <w:pStyle w:val="BodyText2"/>
        <w:spacing w:after="0" w:line="360" w:lineRule="auto"/>
        <w:ind w:firstLine="1440"/>
        <w:rPr>
          <w:sz w:val="26"/>
        </w:rPr>
      </w:pPr>
    </w:p>
    <w:p w:rsidR="003843B1" w:rsidRPr="003843B1" w:rsidRDefault="002C0765" w:rsidP="00C802DA">
      <w:pPr>
        <w:pStyle w:val="BodyText2"/>
        <w:spacing w:after="0" w:line="360" w:lineRule="auto"/>
        <w:ind w:firstLine="1440"/>
        <w:rPr>
          <w:b/>
          <w:sz w:val="26"/>
        </w:rPr>
      </w:pPr>
      <w:r>
        <w:rPr>
          <w:sz w:val="26"/>
        </w:rPr>
        <w:t xml:space="preserve">We will deny these Exceptions.  </w:t>
      </w:r>
      <w:r w:rsidR="00E20A86">
        <w:rPr>
          <w:sz w:val="26"/>
        </w:rPr>
        <w:t xml:space="preserve">With regard to any concerns regarding PPL’s use of herbicides for vegetation control, we find that any such concerns are </w:t>
      </w:r>
      <w:r w:rsidR="00E20A86">
        <w:rPr>
          <w:sz w:val="26"/>
        </w:rPr>
        <w:lastRenderedPageBreak/>
        <w:t>speculative, at best.  There is simply no evidence of record to support the concerns advanced by Ms. Hart and Ms. High.  In the event that PPL engages in vegetation control activities which violate any statute or applicable regulation, affected persons may take the appropriate action at that time.  We also agree with the ALJ’s discussion and findings which find that PPL’s engineering an</w:t>
      </w:r>
      <w:r w:rsidR="008C2FA0">
        <w:rPr>
          <w:sz w:val="26"/>
        </w:rPr>
        <w:t>d</w:t>
      </w:r>
      <w:r w:rsidR="00E20A86">
        <w:rPr>
          <w:sz w:val="26"/>
        </w:rPr>
        <w:t xml:space="preserve"> safety plans meet or exceed the NESC standards.  </w:t>
      </w:r>
      <w:r w:rsidR="00E8370B">
        <w:rPr>
          <w:sz w:val="26"/>
        </w:rPr>
        <w:t xml:space="preserve">R.D. at 38-43.  For the reasons expressed by the ALJ, we agree that the construction of the Effort Mountain Taps along Route B1 will not create any unreasonable risk to the health or safety of the public.  </w:t>
      </w:r>
      <w:r w:rsidR="00E8370B" w:rsidRPr="00E8370B">
        <w:rPr>
          <w:i/>
          <w:sz w:val="26"/>
        </w:rPr>
        <w:t>Id</w:t>
      </w:r>
      <w:r w:rsidR="00E8370B">
        <w:rPr>
          <w:sz w:val="26"/>
        </w:rPr>
        <w:t xml:space="preserve">. at 40.  </w:t>
      </w:r>
    </w:p>
    <w:p w:rsidR="003843B1" w:rsidRDefault="003843B1" w:rsidP="002326E8">
      <w:pPr>
        <w:pStyle w:val="BodyText2"/>
        <w:spacing w:after="0" w:line="360" w:lineRule="auto"/>
        <w:rPr>
          <w:sz w:val="26"/>
        </w:rPr>
      </w:pPr>
    </w:p>
    <w:p w:rsidR="00A85E68" w:rsidRPr="00A85E68" w:rsidRDefault="00A85E68" w:rsidP="006425C8">
      <w:pPr>
        <w:pStyle w:val="BodyText2"/>
        <w:spacing w:after="0" w:line="360" w:lineRule="auto"/>
        <w:ind w:firstLine="720"/>
        <w:rPr>
          <w:b/>
          <w:sz w:val="26"/>
        </w:rPr>
      </w:pPr>
      <w:r>
        <w:rPr>
          <w:b/>
          <w:sz w:val="26"/>
        </w:rPr>
        <w:t>Findings</w:t>
      </w:r>
    </w:p>
    <w:p w:rsidR="00A85E68" w:rsidRDefault="00A85E68" w:rsidP="002326E8">
      <w:pPr>
        <w:pStyle w:val="BodyText2"/>
        <w:spacing w:after="0" w:line="360" w:lineRule="auto"/>
        <w:rPr>
          <w:sz w:val="26"/>
        </w:rPr>
      </w:pPr>
    </w:p>
    <w:p w:rsidR="00D41A37" w:rsidRDefault="00C802DA" w:rsidP="00434CE9">
      <w:pPr>
        <w:pStyle w:val="BodyText2"/>
        <w:spacing w:after="0" w:line="360" w:lineRule="auto"/>
        <w:ind w:firstLine="1440"/>
        <w:rPr>
          <w:sz w:val="26"/>
        </w:rPr>
      </w:pPr>
      <w:r>
        <w:rPr>
          <w:sz w:val="26"/>
        </w:rPr>
        <w:t>For the reasons discussed above, w</w:t>
      </w:r>
      <w:r w:rsidR="00D41A37">
        <w:rPr>
          <w:sz w:val="26"/>
        </w:rPr>
        <w:t>e will</w:t>
      </w:r>
      <w:r>
        <w:rPr>
          <w:sz w:val="26"/>
        </w:rPr>
        <w:t xml:space="preserve"> adopt the Recommended Decision.</w:t>
      </w:r>
      <w:r w:rsidR="00D41A37">
        <w:rPr>
          <w:sz w:val="26"/>
        </w:rPr>
        <w:t xml:space="preserve">  Based upon our review of the record and the Recommended Decision, we make the following findings:</w:t>
      </w:r>
    </w:p>
    <w:p w:rsidR="00D41A37" w:rsidRDefault="00D41A37" w:rsidP="008C0618">
      <w:pPr>
        <w:pStyle w:val="BodyText2"/>
        <w:spacing w:after="0" w:line="360" w:lineRule="auto"/>
        <w:rPr>
          <w:sz w:val="26"/>
        </w:rPr>
      </w:pPr>
    </w:p>
    <w:p w:rsidR="00D41A37" w:rsidRDefault="00D41A37" w:rsidP="003F655A">
      <w:pPr>
        <w:pStyle w:val="BodyText2"/>
        <w:spacing w:after="0" w:line="360" w:lineRule="auto"/>
        <w:ind w:firstLine="1440"/>
        <w:rPr>
          <w:sz w:val="26"/>
        </w:rPr>
      </w:pPr>
      <w:r>
        <w:rPr>
          <w:sz w:val="26"/>
        </w:rPr>
        <w:t xml:space="preserve">1.  </w:t>
      </w:r>
      <w:r w:rsidR="00C802DA">
        <w:rPr>
          <w:sz w:val="26"/>
        </w:rPr>
        <w:t>PPL</w:t>
      </w:r>
      <w:r>
        <w:rPr>
          <w:sz w:val="26"/>
        </w:rPr>
        <w:t xml:space="preserve"> has shown that the</w:t>
      </w:r>
      <w:r w:rsidR="00BD27D3">
        <w:rPr>
          <w:sz w:val="26"/>
        </w:rPr>
        <w:t xml:space="preserve"> </w:t>
      </w:r>
      <w:r>
        <w:rPr>
          <w:sz w:val="26"/>
        </w:rPr>
        <w:t>proposed line</w:t>
      </w:r>
      <w:r w:rsidR="00BD27D3">
        <w:rPr>
          <w:sz w:val="26"/>
        </w:rPr>
        <w:t xml:space="preserve"> is necessary or proper for the accommodation, convenience, and safety of its patrons, employees, and the public</w:t>
      </w:r>
      <w:r w:rsidR="001E777F">
        <w:rPr>
          <w:sz w:val="26"/>
        </w:rPr>
        <w:t>,</w:t>
      </w:r>
      <w:r w:rsidR="00700BEC">
        <w:rPr>
          <w:sz w:val="26"/>
        </w:rPr>
        <w:t xml:space="preserve"> R.D. </w:t>
      </w:r>
      <w:r w:rsidR="00C802DA">
        <w:rPr>
          <w:sz w:val="26"/>
        </w:rPr>
        <w:t>27-34</w:t>
      </w:r>
      <w:r w:rsidR="00BD27D3">
        <w:rPr>
          <w:sz w:val="26"/>
        </w:rPr>
        <w:t>, 51</w:t>
      </w:r>
      <w:r w:rsidR="0068375B">
        <w:rPr>
          <w:sz w:val="26"/>
        </w:rPr>
        <w:t>;</w:t>
      </w:r>
    </w:p>
    <w:p w:rsidR="003F655A" w:rsidRDefault="003F655A" w:rsidP="003F655A">
      <w:pPr>
        <w:pStyle w:val="BodyText2"/>
        <w:spacing w:after="0" w:line="360" w:lineRule="auto"/>
        <w:ind w:firstLine="1440"/>
        <w:rPr>
          <w:sz w:val="26"/>
        </w:rPr>
      </w:pPr>
    </w:p>
    <w:p w:rsidR="0068375B" w:rsidRDefault="0068375B" w:rsidP="003F655A">
      <w:pPr>
        <w:pStyle w:val="BodyText2"/>
        <w:spacing w:after="0" w:line="360" w:lineRule="auto"/>
        <w:ind w:firstLine="1440"/>
        <w:rPr>
          <w:sz w:val="26"/>
        </w:rPr>
      </w:pPr>
      <w:r>
        <w:rPr>
          <w:sz w:val="26"/>
        </w:rPr>
        <w:t xml:space="preserve">2.  </w:t>
      </w:r>
      <w:r w:rsidR="00C802DA">
        <w:rPr>
          <w:sz w:val="26"/>
        </w:rPr>
        <w:t>PPL</w:t>
      </w:r>
      <w:r>
        <w:rPr>
          <w:sz w:val="26"/>
        </w:rPr>
        <w:t xml:space="preserve"> has shown that the proposed line will not create an unreasonable risk of danger to the health and safety of the public</w:t>
      </w:r>
      <w:r w:rsidR="001E777F">
        <w:rPr>
          <w:sz w:val="26"/>
        </w:rPr>
        <w:t>,</w:t>
      </w:r>
      <w:r w:rsidR="007E2C46">
        <w:rPr>
          <w:sz w:val="26"/>
        </w:rPr>
        <w:t xml:space="preserve"> R.D. </w:t>
      </w:r>
      <w:r w:rsidR="0089242C">
        <w:rPr>
          <w:sz w:val="26"/>
        </w:rPr>
        <w:t>38-43</w:t>
      </w:r>
      <w:r w:rsidR="00BD27D3">
        <w:rPr>
          <w:sz w:val="26"/>
        </w:rPr>
        <w:t>, 51</w:t>
      </w:r>
      <w:r>
        <w:rPr>
          <w:sz w:val="26"/>
        </w:rPr>
        <w:t>;</w:t>
      </w:r>
    </w:p>
    <w:p w:rsidR="001E777F" w:rsidRDefault="001E777F" w:rsidP="003F655A">
      <w:pPr>
        <w:pStyle w:val="BodyText2"/>
        <w:spacing w:after="0" w:line="360" w:lineRule="auto"/>
        <w:ind w:firstLine="1440"/>
        <w:rPr>
          <w:sz w:val="26"/>
        </w:rPr>
      </w:pPr>
    </w:p>
    <w:p w:rsidR="0068375B" w:rsidRDefault="0068375B" w:rsidP="003F655A">
      <w:pPr>
        <w:pStyle w:val="BodyText2"/>
        <w:spacing w:after="0" w:line="360" w:lineRule="auto"/>
        <w:ind w:firstLine="1440"/>
        <w:rPr>
          <w:sz w:val="26"/>
        </w:rPr>
      </w:pPr>
      <w:r>
        <w:rPr>
          <w:sz w:val="26"/>
        </w:rPr>
        <w:t xml:space="preserve">3.  </w:t>
      </w:r>
      <w:r w:rsidR="00BD27D3">
        <w:rPr>
          <w:sz w:val="26"/>
        </w:rPr>
        <w:t>PPL</w:t>
      </w:r>
      <w:r>
        <w:rPr>
          <w:sz w:val="26"/>
        </w:rPr>
        <w:t xml:space="preserve"> has shown that it is in compliance with the applicable statutes and regulations providing for the protection of the natural resources of this Commonwealth</w:t>
      </w:r>
      <w:r w:rsidR="001E777F">
        <w:rPr>
          <w:sz w:val="26"/>
        </w:rPr>
        <w:t>,</w:t>
      </w:r>
      <w:r w:rsidR="002C2F02">
        <w:rPr>
          <w:sz w:val="26"/>
        </w:rPr>
        <w:t xml:space="preserve"> R.D. </w:t>
      </w:r>
      <w:r w:rsidR="00BD27D3">
        <w:rPr>
          <w:sz w:val="26"/>
        </w:rPr>
        <w:t>51</w:t>
      </w:r>
      <w:r>
        <w:rPr>
          <w:sz w:val="26"/>
        </w:rPr>
        <w:t>;</w:t>
      </w:r>
    </w:p>
    <w:p w:rsidR="001E777F" w:rsidRDefault="001E777F" w:rsidP="003F655A">
      <w:pPr>
        <w:pStyle w:val="BodyText2"/>
        <w:spacing w:after="0" w:line="360" w:lineRule="auto"/>
        <w:ind w:firstLine="1440"/>
        <w:rPr>
          <w:sz w:val="26"/>
        </w:rPr>
      </w:pPr>
    </w:p>
    <w:p w:rsidR="0068375B" w:rsidRDefault="0068375B" w:rsidP="003F655A">
      <w:pPr>
        <w:pStyle w:val="BodyText2"/>
        <w:spacing w:after="0" w:line="360" w:lineRule="auto"/>
        <w:ind w:firstLine="1440"/>
        <w:rPr>
          <w:sz w:val="26"/>
        </w:rPr>
      </w:pPr>
      <w:r>
        <w:rPr>
          <w:sz w:val="26"/>
        </w:rPr>
        <w:t xml:space="preserve">4.  </w:t>
      </w:r>
      <w:r w:rsidR="00BD27D3">
        <w:rPr>
          <w:sz w:val="26"/>
        </w:rPr>
        <w:t>PPL</w:t>
      </w:r>
      <w:r>
        <w:rPr>
          <w:sz w:val="26"/>
        </w:rPr>
        <w:t xml:space="preserve"> has shown that the proposed route for the line will have minimum adverse impact, considering the electric power needs of the public, the</w:t>
      </w:r>
      <w:r w:rsidR="006072C6">
        <w:rPr>
          <w:sz w:val="26"/>
        </w:rPr>
        <w:t xml:space="preserve"> </w:t>
      </w:r>
      <w:r>
        <w:rPr>
          <w:sz w:val="26"/>
        </w:rPr>
        <w:t>state of available technology and the available alternatives</w:t>
      </w:r>
      <w:r w:rsidR="001E777F">
        <w:rPr>
          <w:sz w:val="26"/>
        </w:rPr>
        <w:t>,</w:t>
      </w:r>
      <w:r w:rsidR="002C2F02">
        <w:rPr>
          <w:sz w:val="26"/>
        </w:rPr>
        <w:t xml:space="preserve"> R.D. </w:t>
      </w:r>
      <w:r w:rsidR="00BE33A8">
        <w:rPr>
          <w:sz w:val="26"/>
        </w:rPr>
        <w:t>34-38, 52;</w:t>
      </w:r>
    </w:p>
    <w:p w:rsidR="00BE33A8" w:rsidRDefault="00BE33A8" w:rsidP="003F655A">
      <w:pPr>
        <w:pStyle w:val="BodyText2"/>
        <w:spacing w:after="0" w:line="360" w:lineRule="auto"/>
        <w:ind w:firstLine="1440"/>
        <w:rPr>
          <w:sz w:val="26"/>
        </w:rPr>
      </w:pPr>
    </w:p>
    <w:p w:rsidR="00BE33A8" w:rsidRDefault="00BE33A8" w:rsidP="003F655A">
      <w:pPr>
        <w:pStyle w:val="BodyText2"/>
        <w:spacing w:after="0" w:line="360" w:lineRule="auto"/>
        <w:ind w:firstLine="1440"/>
        <w:rPr>
          <w:sz w:val="26"/>
        </w:rPr>
      </w:pPr>
      <w:r>
        <w:rPr>
          <w:sz w:val="26"/>
        </w:rPr>
        <w:t>5.  PPL has shown that the selection of the proposed route for the line was reasonable and not selected wantonly, capriciously, or arbitrarily;</w:t>
      </w:r>
    </w:p>
    <w:p w:rsidR="00BE33A8" w:rsidRDefault="00BE33A8" w:rsidP="003F655A">
      <w:pPr>
        <w:pStyle w:val="BodyText2"/>
        <w:spacing w:after="0" w:line="360" w:lineRule="auto"/>
        <w:ind w:firstLine="1440"/>
        <w:rPr>
          <w:sz w:val="26"/>
        </w:rPr>
      </w:pPr>
    </w:p>
    <w:p w:rsidR="00BE33A8" w:rsidRDefault="00BE33A8" w:rsidP="003F655A">
      <w:pPr>
        <w:pStyle w:val="BodyText2"/>
        <w:spacing w:after="0" w:line="360" w:lineRule="auto"/>
        <w:ind w:firstLine="1440"/>
        <w:rPr>
          <w:sz w:val="26"/>
        </w:rPr>
      </w:pPr>
      <w:r>
        <w:rPr>
          <w:sz w:val="26"/>
        </w:rPr>
        <w:t xml:space="preserve">6.  PPL has shown that the </w:t>
      </w:r>
      <w:r w:rsidR="006B745A">
        <w:rPr>
          <w:sz w:val="26"/>
        </w:rPr>
        <w:t xml:space="preserve">location of the </w:t>
      </w:r>
      <w:r>
        <w:rPr>
          <w:sz w:val="26"/>
        </w:rPr>
        <w:t>building to shelter control equipment at the proposed substation at the Effort Mountain 138-12 kV Substation site, Monroe County, is reasonably necessary for the convenience or welfare of the public and, therefore, exempt from any local zoning ordinance pursuant to Section 619 of the Pennsylvania Municipalities Planning Code, Act of July 31, 1968, P.L. 805, as amended, 53 P.S. § 10619</w:t>
      </w:r>
      <w:r w:rsidR="00345EF7">
        <w:rPr>
          <w:sz w:val="26"/>
        </w:rPr>
        <w:t>, R.D. at 44-46, 52</w:t>
      </w:r>
      <w:r>
        <w:rPr>
          <w:sz w:val="26"/>
        </w:rPr>
        <w:t>;</w:t>
      </w:r>
    </w:p>
    <w:p w:rsidR="00BE33A8" w:rsidRDefault="00BE33A8" w:rsidP="003F655A">
      <w:pPr>
        <w:pStyle w:val="BodyText2"/>
        <w:spacing w:after="0" w:line="360" w:lineRule="auto"/>
        <w:ind w:firstLine="1440"/>
        <w:rPr>
          <w:sz w:val="26"/>
        </w:rPr>
      </w:pPr>
    </w:p>
    <w:p w:rsidR="00730042" w:rsidRDefault="00730042" w:rsidP="00730042">
      <w:pPr>
        <w:pStyle w:val="BodyText2"/>
        <w:spacing w:after="0" w:line="360" w:lineRule="auto"/>
        <w:ind w:firstLine="1440"/>
        <w:rPr>
          <w:sz w:val="26"/>
        </w:rPr>
      </w:pPr>
      <w:r>
        <w:rPr>
          <w:sz w:val="26"/>
        </w:rPr>
        <w:t xml:space="preserve">7.  PPL has shown that </w:t>
      </w:r>
      <w:r w:rsidRPr="00730042">
        <w:rPr>
          <w:sz w:val="26"/>
        </w:rPr>
        <w:t xml:space="preserve">the service which is the </w:t>
      </w:r>
      <w:r>
        <w:rPr>
          <w:sz w:val="26"/>
        </w:rPr>
        <w:t>o</w:t>
      </w:r>
      <w:r w:rsidRPr="00730042">
        <w:rPr>
          <w:sz w:val="26"/>
        </w:rPr>
        <w:t>bject of the Application</w:t>
      </w:r>
      <w:r>
        <w:rPr>
          <w:sz w:val="26"/>
        </w:rPr>
        <w:t xml:space="preserve"> for approval to exercise the power of eminent domain, pursuant to 15 Pa. C.S. § 1511, to acquire rights-of-way and easements necessary for the construction, operation, maintenance, and aerial crossing by the Effort Mountain Taps over the property of LaRue High, is necessary or proper for the service, accommodation, convenience or safety of the public.  R.D. at 47-50, 52.</w:t>
      </w:r>
    </w:p>
    <w:p w:rsidR="00774681" w:rsidRPr="00774681" w:rsidRDefault="00774681" w:rsidP="00BB4F94">
      <w:pPr>
        <w:pStyle w:val="BodyText2"/>
        <w:spacing w:after="0" w:line="360" w:lineRule="auto"/>
        <w:rPr>
          <w:sz w:val="26"/>
        </w:rPr>
      </w:pPr>
    </w:p>
    <w:p w:rsidR="00D8200D" w:rsidRDefault="00D8200D" w:rsidP="00B14F38">
      <w:pPr>
        <w:keepNext/>
        <w:keepLines/>
        <w:spacing w:line="360" w:lineRule="auto"/>
        <w:jc w:val="center"/>
        <w:rPr>
          <w:sz w:val="26"/>
          <w:szCs w:val="26"/>
        </w:rPr>
      </w:pPr>
      <w:r>
        <w:rPr>
          <w:b/>
          <w:sz w:val="26"/>
          <w:szCs w:val="26"/>
        </w:rPr>
        <w:t>Conclusion</w:t>
      </w:r>
    </w:p>
    <w:p w:rsidR="00D8200D" w:rsidRDefault="00D8200D" w:rsidP="00B14F38">
      <w:pPr>
        <w:keepNext/>
        <w:keepLines/>
        <w:spacing w:line="360" w:lineRule="auto"/>
        <w:jc w:val="center"/>
        <w:rPr>
          <w:sz w:val="26"/>
          <w:szCs w:val="26"/>
        </w:rPr>
      </w:pPr>
    </w:p>
    <w:p w:rsidR="00D8200D" w:rsidRDefault="00D8200D" w:rsidP="00BE79C5">
      <w:pPr>
        <w:keepNext/>
        <w:keepLines/>
        <w:spacing w:line="360" w:lineRule="auto"/>
        <w:ind w:firstLine="1440"/>
        <w:rPr>
          <w:b/>
          <w:sz w:val="26"/>
          <w:szCs w:val="26"/>
        </w:rPr>
      </w:pPr>
      <w:r>
        <w:rPr>
          <w:sz w:val="26"/>
          <w:szCs w:val="26"/>
        </w:rPr>
        <w:t xml:space="preserve">For the foregoing reasons, we will </w:t>
      </w:r>
      <w:r w:rsidR="005856F2">
        <w:rPr>
          <w:sz w:val="26"/>
          <w:szCs w:val="26"/>
        </w:rPr>
        <w:t xml:space="preserve">dismiss the Complaint of Albert Barney, with prejudice; we will dismiss the Exceptions of Kurt Scheller; </w:t>
      </w:r>
      <w:r w:rsidR="006B745A">
        <w:rPr>
          <w:sz w:val="26"/>
          <w:szCs w:val="26"/>
        </w:rPr>
        <w:t xml:space="preserve">and </w:t>
      </w:r>
      <w:r w:rsidR="005856F2">
        <w:rPr>
          <w:sz w:val="26"/>
          <w:szCs w:val="26"/>
        </w:rPr>
        <w:t xml:space="preserve">we will </w:t>
      </w:r>
      <w:r>
        <w:rPr>
          <w:sz w:val="26"/>
          <w:szCs w:val="26"/>
        </w:rPr>
        <w:t>deny</w:t>
      </w:r>
      <w:r w:rsidR="006072C6">
        <w:rPr>
          <w:sz w:val="26"/>
          <w:szCs w:val="26"/>
        </w:rPr>
        <w:t xml:space="preserve"> the Exceptions of </w:t>
      </w:r>
      <w:r w:rsidR="005856F2">
        <w:rPr>
          <w:sz w:val="26"/>
          <w:szCs w:val="26"/>
        </w:rPr>
        <w:t>Su</w:t>
      </w:r>
      <w:r w:rsidR="006B745A">
        <w:rPr>
          <w:sz w:val="26"/>
          <w:szCs w:val="26"/>
        </w:rPr>
        <w:t>zanne A. Hart and LaRue High.  Further, w</w:t>
      </w:r>
      <w:r>
        <w:rPr>
          <w:sz w:val="26"/>
          <w:szCs w:val="26"/>
        </w:rPr>
        <w:t>e will adopt the ALJ</w:t>
      </w:r>
      <w:r w:rsidR="006072C6">
        <w:rPr>
          <w:sz w:val="26"/>
          <w:szCs w:val="26"/>
        </w:rPr>
        <w:t>’</w:t>
      </w:r>
      <w:r w:rsidR="006B745A">
        <w:rPr>
          <w:sz w:val="26"/>
          <w:szCs w:val="26"/>
        </w:rPr>
        <w:t>s</w:t>
      </w:r>
      <w:r w:rsidR="006072C6">
        <w:rPr>
          <w:sz w:val="26"/>
          <w:szCs w:val="26"/>
        </w:rPr>
        <w:t xml:space="preserve"> Recommended Decision</w:t>
      </w:r>
      <w:r w:rsidR="006B745A">
        <w:rPr>
          <w:sz w:val="26"/>
          <w:szCs w:val="26"/>
        </w:rPr>
        <w:t>,</w:t>
      </w:r>
      <w:r w:rsidR="006072C6">
        <w:rPr>
          <w:sz w:val="26"/>
          <w:szCs w:val="26"/>
        </w:rPr>
        <w:t xml:space="preserve"> which grants </w:t>
      </w:r>
      <w:r w:rsidR="005856F2">
        <w:rPr>
          <w:sz w:val="26"/>
          <w:szCs w:val="26"/>
        </w:rPr>
        <w:t>PPL</w:t>
      </w:r>
      <w:r w:rsidR="006072C6">
        <w:rPr>
          <w:sz w:val="26"/>
          <w:szCs w:val="26"/>
        </w:rPr>
        <w:t>’s Application</w:t>
      </w:r>
      <w:r w:rsidR="005856F2">
        <w:rPr>
          <w:sz w:val="26"/>
          <w:szCs w:val="26"/>
        </w:rPr>
        <w:t>s and Petition</w:t>
      </w:r>
      <w:r w:rsidR="00BE79C5">
        <w:rPr>
          <w:sz w:val="26"/>
          <w:szCs w:val="26"/>
        </w:rPr>
        <w:t>, consistent with this Opinion and Order</w:t>
      </w:r>
      <w:r w:rsidR="00590E23">
        <w:rPr>
          <w:sz w:val="26"/>
          <w:szCs w:val="26"/>
        </w:rPr>
        <w:t xml:space="preserve">; </w:t>
      </w:r>
      <w:r w:rsidR="00590E23">
        <w:rPr>
          <w:b/>
          <w:sz w:val="26"/>
          <w:szCs w:val="26"/>
        </w:rPr>
        <w:t>THEREFORE,</w:t>
      </w:r>
    </w:p>
    <w:p w:rsidR="00590E23" w:rsidRDefault="00590E23" w:rsidP="00BE79C5">
      <w:pPr>
        <w:spacing w:line="360" w:lineRule="auto"/>
        <w:ind w:firstLine="1440"/>
        <w:rPr>
          <w:b/>
          <w:sz w:val="26"/>
          <w:szCs w:val="26"/>
        </w:rPr>
      </w:pPr>
    </w:p>
    <w:p w:rsidR="00700BEC" w:rsidRDefault="00700BEC" w:rsidP="00BE79C5">
      <w:pPr>
        <w:spacing w:line="360" w:lineRule="auto"/>
        <w:ind w:firstLine="1440"/>
        <w:rPr>
          <w:b/>
          <w:sz w:val="26"/>
          <w:szCs w:val="26"/>
        </w:rPr>
      </w:pPr>
    </w:p>
    <w:p w:rsidR="00700BEC" w:rsidRDefault="00700BEC" w:rsidP="00BE79C5">
      <w:pPr>
        <w:spacing w:line="360" w:lineRule="auto"/>
        <w:ind w:firstLine="1440"/>
        <w:rPr>
          <w:b/>
          <w:sz w:val="26"/>
          <w:szCs w:val="26"/>
        </w:rPr>
      </w:pPr>
    </w:p>
    <w:p w:rsidR="00700BEC" w:rsidRDefault="00700BEC" w:rsidP="00BE79C5">
      <w:pPr>
        <w:spacing w:line="360" w:lineRule="auto"/>
        <w:ind w:firstLine="1440"/>
        <w:rPr>
          <w:b/>
          <w:sz w:val="26"/>
          <w:szCs w:val="26"/>
        </w:rPr>
      </w:pPr>
    </w:p>
    <w:p w:rsidR="00590E23" w:rsidRPr="00590E23" w:rsidRDefault="00590E23" w:rsidP="00BE79C5">
      <w:pPr>
        <w:spacing w:line="360" w:lineRule="auto"/>
        <w:ind w:firstLine="1440"/>
        <w:rPr>
          <w:sz w:val="26"/>
          <w:szCs w:val="26"/>
        </w:rPr>
      </w:pPr>
      <w:r>
        <w:rPr>
          <w:b/>
          <w:sz w:val="26"/>
          <w:szCs w:val="26"/>
        </w:rPr>
        <w:lastRenderedPageBreak/>
        <w:t>IT IS ORDERED:</w:t>
      </w:r>
    </w:p>
    <w:p w:rsidR="00B07B9B" w:rsidRPr="00E92BC1" w:rsidRDefault="00B07B9B" w:rsidP="00B07B9B">
      <w:pPr>
        <w:spacing w:line="360" w:lineRule="auto"/>
        <w:ind w:firstLine="1440"/>
      </w:pPr>
    </w:p>
    <w:p w:rsidR="00B07B9B" w:rsidRDefault="00B07B9B" w:rsidP="00B07B9B">
      <w:pPr>
        <w:tabs>
          <w:tab w:val="left" w:pos="-1440"/>
          <w:tab w:val="left" w:pos="-720"/>
        </w:tabs>
        <w:suppressAutoHyphens/>
        <w:spacing w:line="360" w:lineRule="auto"/>
        <w:ind w:firstLine="1440"/>
        <w:rPr>
          <w:spacing w:val="-3"/>
          <w:sz w:val="26"/>
        </w:rPr>
      </w:pPr>
      <w:r w:rsidRPr="00B07B9B">
        <w:rPr>
          <w:spacing w:val="-3"/>
          <w:sz w:val="26"/>
        </w:rPr>
        <w:t>1.</w:t>
      </w:r>
      <w:r w:rsidRPr="00B07B9B">
        <w:rPr>
          <w:spacing w:val="-3"/>
          <w:sz w:val="26"/>
        </w:rPr>
        <w:tab/>
        <w:t>That the Complaint of Albert Barney against PPL Electric Utilities Corporation at Docket Number C-2009-2107073 is dismissed, with prejudice.</w:t>
      </w:r>
    </w:p>
    <w:p w:rsidR="00B07B9B" w:rsidRDefault="00B07B9B" w:rsidP="00B07B9B">
      <w:pPr>
        <w:tabs>
          <w:tab w:val="left" w:pos="-1440"/>
          <w:tab w:val="left" w:pos="-720"/>
        </w:tabs>
        <w:suppressAutoHyphens/>
        <w:spacing w:line="360" w:lineRule="auto"/>
        <w:ind w:firstLine="1440"/>
        <w:rPr>
          <w:spacing w:val="-3"/>
          <w:sz w:val="26"/>
        </w:rPr>
      </w:pPr>
    </w:p>
    <w:p w:rsidR="00B07B9B" w:rsidRDefault="00B07B9B" w:rsidP="00B07B9B">
      <w:pPr>
        <w:tabs>
          <w:tab w:val="left" w:pos="-1440"/>
          <w:tab w:val="left" w:pos="-720"/>
        </w:tabs>
        <w:suppressAutoHyphens/>
        <w:spacing w:line="360" w:lineRule="auto"/>
        <w:ind w:firstLine="1440"/>
        <w:rPr>
          <w:spacing w:val="-3"/>
          <w:sz w:val="26"/>
        </w:rPr>
      </w:pPr>
      <w:r>
        <w:rPr>
          <w:spacing w:val="-3"/>
          <w:sz w:val="26"/>
        </w:rPr>
        <w:t>2.</w:t>
      </w:r>
      <w:r>
        <w:rPr>
          <w:spacing w:val="-3"/>
          <w:sz w:val="26"/>
        </w:rPr>
        <w:tab/>
        <w:t xml:space="preserve">That the Exceptions filed by Kurt Scheller </w:t>
      </w:r>
      <w:r w:rsidR="006B745A">
        <w:rPr>
          <w:spacing w:val="-3"/>
          <w:sz w:val="26"/>
        </w:rPr>
        <w:t>at these consolidated Dockets is</w:t>
      </w:r>
      <w:r>
        <w:rPr>
          <w:spacing w:val="-3"/>
          <w:sz w:val="26"/>
        </w:rPr>
        <w:t xml:space="preserve"> dismissed.</w:t>
      </w:r>
    </w:p>
    <w:p w:rsidR="00B07B9B" w:rsidRDefault="00B07B9B" w:rsidP="00B07B9B">
      <w:pPr>
        <w:tabs>
          <w:tab w:val="left" w:pos="-1440"/>
          <w:tab w:val="left" w:pos="-720"/>
        </w:tabs>
        <w:suppressAutoHyphens/>
        <w:spacing w:line="360" w:lineRule="auto"/>
        <w:ind w:firstLine="1440"/>
        <w:rPr>
          <w:spacing w:val="-3"/>
          <w:sz w:val="26"/>
        </w:rPr>
      </w:pPr>
    </w:p>
    <w:p w:rsidR="00B07B9B" w:rsidRDefault="00B07B9B" w:rsidP="00B07B9B">
      <w:pPr>
        <w:tabs>
          <w:tab w:val="left" w:pos="-1440"/>
          <w:tab w:val="left" w:pos="-720"/>
        </w:tabs>
        <w:suppressAutoHyphens/>
        <w:spacing w:line="360" w:lineRule="auto"/>
        <w:ind w:firstLine="1440"/>
        <w:rPr>
          <w:spacing w:val="-3"/>
          <w:sz w:val="26"/>
        </w:rPr>
      </w:pPr>
      <w:r>
        <w:rPr>
          <w:spacing w:val="-3"/>
          <w:sz w:val="26"/>
        </w:rPr>
        <w:t>3.</w:t>
      </w:r>
      <w:r>
        <w:rPr>
          <w:spacing w:val="-3"/>
          <w:sz w:val="26"/>
        </w:rPr>
        <w:tab/>
        <w:t>That the Exceptions filed by Suzanne A. Hart at these consolidated Dockets are denied.</w:t>
      </w:r>
    </w:p>
    <w:p w:rsidR="00B07B9B" w:rsidRDefault="00B07B9B" w:rsidP="00B07B9B">
      <w:pPr>
        <w:tabs>
          <w:tab w:val="left" w:pos="-1440"/>
          <w:tab w:val="left" w:pos="-720"/>
        </w:tabs>
        <w:suppressAutoHyphens/>
        <w:spacing w:line="360" w:lineRule="auto"/>
        <w:ind w:firstLine="1440"/>
        <w:rPr>
          <w:spacing w:val="-3"/>
          <w:sz w:val="26"/>
        </w:rPr>
      </w:pPr>
    </w:p>
    <w:p w:rsidR="00B07B9B" w:rsidRDefault="00B07B9B" w:rsidP="00B07B9B">
      <w:pPr>
        <w:tabs>
          <w:tab w:val="left" w:pos="-1440"/>
          <w:tab w:val="left" w:pos="-720"/>
        </w:tabs>
        <w:suppressAutoHyphens/>
        <w:spacing w:line="360" w:lineRule="auto"/>
        <w:ind w:firstLine="1440"/>
        <w:rPr>
          <w:spacing w:val="-3"/>
          <w:sz w:val="26"/>
        </w:rPr>
      </w:pPr>
      <w:r>
        <w:rPr>
          <w:spacing w:val="-3"/>
          <w:sz w:val="26"/>
        </w:rPr>
        <w:t>4.</w:t>
      </w:r>
      <w:r>
        <w:rPr>
          <w:spacing w:val="-3"/>
          <w:sz w:val="26"/>
        </w:rPr>
        <w:tab/>
        <w:t>That the Exceptions filed by LaRue High at these consolidated Dockets are denied.</w:t>
      </w:r>
    </w:p>
    <w:p w:rsidR="00B07B9B" w:rsidRDefault="00B07B9B" w:rsidP="00B07B9B">
      <w:pPr>
        <w:tabs>
          <w:tab w:val="left" w:pos="-1440"/>
          <w:tab w:val="left" w:pos="-720"/>
        </w:tabs>
        <w:suppressAutoHyphens/>
        <w:spacing w:line="360" w:lineRule="auto"/>
        <w:ind w:firstLine="1440"/>
        <w:rPr>
          <w:spacing w:val="-3"/>
          <w:sz w:val="26"/>
        </w:rPr>
      </w:pPr>
    </w:p>
    <w:p w:rsidR="00B07B9B" w:rsidRPr="00B07B9B" w:rsidRDefault="00B07B9B" w:rsidP="00B07B9B">
      <w:pPr>
        <w:tabs>
          <w:tab w:val="left" w:pos="-1440"/>
          <w:tab w:val="left" w:pos="-720"/>
        </w:tabs>
        <w:suppressAutoHyphens/>
        <w:spacing w:line="360" w:lineRule="auto"/>
        <w:ind w:firstLine="1440"/>
        <w:rPr>
          <w:spacing w:val="-3"/>
          <w:sz w:val="26"/>
        </w:rPr>
      </w:pPr>
      <w:r>
        <w:rPr>
          <w:spacing w:val="-3"/>
          <w:sz w:val="26"/>
        </w:rPr>
        <w:t>5.</w:t>
      </w:r>
      <w:r>
        <w:rPr>
          <w:spacing w:val="-3"/>
          <w:sz w:val="26"/>
        </w:rPr>
        <w:tab/>
        <w:t>That the Recommended Decision of Administrative Law Judge Wayne L. Weismandel, issued on October 14, 2010, at these consolidated Dockets is adopted, consistent with this Opinion and Order.</w:t>
      </w:r>
    </w:p>
    <w:p w:rsidR="00B07B9B" w:rsidRPr="00B07B9B" w:rsidRDefault="00B07B9B" w:rsidP="00B07B9B">
      <w:pPr>
        <w:spacing w:line="360" w:lineRule="auto"/>
        <w:ind w:firstLine="1440"/>
        <w:contextualSpacing/>
        <w:rPr>
          <w:sz w:val="26"/>
        </w:rPr>
      </w:pPr>
    </w:p>
    <w:p w:rsidR="00B07B9B" w:rsidRPr="00B07B9B" w:rsidRDefault="00B07B9B" w:rsidP="00B07B9B">
      <w:pPr>
        <w:spacing w:line="360" w:lineRule="auto"/>
        <w:ind w:firstLine="1440"/>
        <w:contextualSpacing/>
        <w:rPr>
          <w:sz w:val="26"/>
        </w:rPr>
      </w:pPr>
      <w:r>
        <w:rPr>
          <w:sz w:val="26"/>
        </w:rPr>
        <w:t>6</w:t>
      </w:r>
      <w:r w:rsidRPr="00B07B9B">
        <w:rPr>
          <w:sz w:val="26"/>
        </w:rPr>
        <w:t>.</w:t>
      </w:r>
      <w:r w:rsidRPr="00B07B9B">
        <w:rPr>
          <w:sz w:val="26"/>
        </w:rPr>
        <w:tab/>
        <w:t>That the</w:t>
      </w:r>
      <w:r w:rsidRPr="00B07B9B">
        <w:rPr>
          <w:color w:val="000000"/>
          <w:sz w:val="26"/>
        </w:rPr>
        <w:t xml:space="preserve"> Application of PPL Electric Utilities Corporation Filed Pursuant To 52 Pa Code Chapter 57, Subchapter G, For Approval of The Siting And Construction of The Effort Mountain </w:t>
      </w:r>
      <w:r w:rsidR="00953F72">
        <w:rPr>
          <w:color w:val="000000"/>
          <w:sz w:val="26"/>
        </w:rPr>
        <w:t xml:space="preserve">No. </w:t>
      </w:r>
      <w:r w:rsidRPr="00B07B9B">
        <w:rPr>
          <w:color w:val="000000"/>
          <w:sz w:val="26"/>
        </w:rPr>
        <w:t xml:space="preserve">1 </w:t>
      </w:r>
      <w:r w:rsidRPr="00B07B9B">
        <w:rPr>
          <w:color w:val="000000"/>
          <w:w w:val="121"/>
          <w:sz w:val="26"/>
        </w:rPr>
        <w:t xml:space="preserve">&amp; </w:t>
      </w:r>
      <w:r w:rsidR="00953F72">
        <w:rPr>
          <w:color w:val="000000"/>
          <w:w w:val="121"/>
          <w:sz w:val="26"/>
        </w:rPr>
        <w:t xml:space="preserve">No. </w:t>
      </w:r>
      <w:r w:rsidRPr="00B07B9B">
        <w:rPr>
          <w:color w:val="000000"/>
          <w:sz w:val="26"/>
        </w:rPr>
        <w:t>2 138 kV Taps In Chestnuthill And Polk Townships, Monroe County, Pennsylvania,</w:t>
      </w:r>
      <w:r w:rsidRPr="00B07B9B">
        <w:rPr>
          <w:sz w:val="26"/>
        </w:rPr>
        <w:t xml:space="preserve"> at Docket Number</w:t>
      </w:r>
      <w:r w:rsidRPr="00B07B9B">
        <w:rPr>
          <w:spacing w:val="-3"/>
          <w:sz w:val="26"/>
        </w:rPr>
        <w:t xml:space="preserve"> A-2010-2152104</w:t>
      </w:r>
      <w:r w:rsidRPr="00B07B9B">
        <w:rPr>
          <w:sz w:val="26"/>
        </w:rPr>
        <w:t>, is granted.</w:t>
      </w:r>
    </w:p>
    <w:p w:rsidR="00B07B9B" w:rsidRPr="00B07B9B" w:rsidRDefault="00B07B9B" w:rsidP="00B07B9B">
      <w:pPr>
        <w:spacing w:line="360" w:lineRule="auto"/>
        <w:ind w:firstLine="1440"/>
        <w:contextualSpacing/>
        <w:rPr>
          <w:sz w:val="26"/>
        </w:rPr>
      </w:pPr>
    </w:p>
    <w:p w:rsidR="00B07B9B" w:rsidRPr="00B07B9B" w:rsidRDefault="00B07B9B" w:rsidP="00B07B9B">
      <w:pPr>
        <w:spacing w:line="360" w:lineRule="auto"/>
        <w:ind w:firstLine="1440"/>
        <w:contextualSpacing/>
        <w:rPr>
          <w:spacing w:val="-3"/>
          <w:sz w:val="26"/>
        </w:rPr>
      </w:pPr>
      <w:r>
        <w:rPr>
          <w:sz w:val="26"/>
        </w:rPr>
        <w:t>7</w:t>
      </w:r>
      <w:r w:rsidRPr="00B07B9B">
        <w:rPr>
          <w:sz w:val="26"/>
        </w:rPr>
        <w:t>.</w:t>
      </w:r>
      <w:r w:rsidRPr="00B07B9B">
        <w:rPr>
          <w:sz w:val="26"/>
        </w:rPr>
        <w:tab/>
        <w:t xml:space="preserve">That the </w:t>
      </w:r>
      <w:r w:rsidRPr="00B07B9B">
        <w:rPr>
          <w:color w:val="000000"/>
          <w:sz w:val="26"/>
        </w:rPr>
        <w:t>Petition of PPL Electric Utilities Corporation For A Finding That a Building To Shelter Control Equipment At The Effort Mountain Substation To Be Constructed in Chestnuthill Township, Monroe County, Pennsylvania is Reasonably Necessary For The Convenience Or Welfare Of The Public, at Docket Number</w:t>
      </w:r>
      <w:r w:rsidRPr="00B07B9B">
        <w:rPr>
          <w:spacing w:val="-3"/>
          <w:sz w:val="26"/>
        </w:rPr>
        <w:t xml:space="preserve"> A-2010-2153061, is granted.</w:t>
      </w:r>
    </w:p>
    <w:p w:rsidR="00B07B9B" w:rsidRPr="00B07B9B" w:rsidRDefault="00B07B9B" w:rsidP="00B07B9B">
      <w:pPr>
        <w:spacing w:line="360" w:lineRule="auto"/>
        <w:ind w:firstLine="1440"/>
        <w:contextualSpacing/>
        <w:rPr>
          <w:sz w:val="26"/>
        </w:rPr>
      </w:pPr>
    </w:p>
    <w:p w:rsidR="00B07B9B" w:rsidRPr="00B07B9B" w:rsidRDefault="00B07B9B" w:rsidP="00B07B9B">
      <w:pPr>
        <w:spacing w:line="360" w:lineRule="auto"/>
        <w:ind w:firstLine="1440"/>
        <w:contextualSpacing/>
        <w:rPr>
          <w:sz w:val="26"/>
        </w:rPr>
      </w:pPr>
      <w:r>
        <w:rPr>
          <w:sz w:val="26"/>
        </w:rPr>
        <w:t>8</w:t>
      </w:r>
      <w:r w:rsidRPr="00B07B9B">
        <w:rPr>
          <w:sz w:val="26"/>
        </w:rPr>
        <w:t>.</w:t>
      </w:r>
      <w:r w:rsidRPr="00B07B9B">
        <w:rPr>
          <w:sz w:val="26"/>
        </w:rPr>
        <w:tab/>
        <w:t xml:space="preserve">That the </w:t>
      </w:r>
      <w:r w:rsidRPr="00B07B9B">
        <w:rPr>
          <w:color w:val="000000"/>
          <w:sz w:val="26"/>
        </w:rPr>
        <w:t>Application Of PPL Electric Utilities Corporation Under 15 Pa.</w:t>
      </w:r>
      <w:r w:rsidR="008C2FA0">
        <w:rPr>
          <w:color w:val="000000"/>
          <w:sz w:val="26"/>
        </w:rPr>
        <w:t xml:space="preserve"> </w:t>
      </w:r>
      <w:r w:rsidRPr="00B07B9B">
        <w:rPr>
          <w:color w:val="000000"/>
          <w:sz w:val="26"/>
        </w:rPr>
        <w:t xml:space="preserve">C.S. §1511(c) For A Finding And Determination That The Service To Be Furnished By The Applicant Through Its Proposed Exercise Of The Power Of Eminent Domain To Acquire A Right-Of-Way And Easement </w:t>
      </w:r>
      <w:r w:rsidR="004670BD">
        <w:rPr>
          <w:color w:val="000000"/>
          <w:sz w:val="26"/>
        </w:rPr>
        <w:t>Over And Across The Lands Of LaR</w:t>
      </w:r>
      <w:r w:rsidRPr="00B07B9B">
        <w:rPr>
          <w:color w:val="000000"/>
          <w:sz w:val="26"/>
        </w:rPr>
        <w:t xml:space="preserve">ue High For The Proposed Effort Mountain </w:t>
      </w:r>
      <w:r w:rsidR="00953F72">
        <w:rPr>
          <w:color w:val="000000"/>
          <w:sz w:val="26"/>
        </w:rPr>
        <w:t xml:space="preserve">No. </w:t>
      </w:r>
      <w:r w:rsidRPr="00B07B9B">
        <w:rPr>
          <w:color w:val="000000"/>
          <w:sz w:val="26"/>
        </w:rPr>
        <w:t xml:space="preserve">1 </w:t>
      </w:r>
      <w:r w:rsidR="00953F72">
        <w:rPr>
          <w:color w:val="000000"/>
          <w:w w:val="118"/>
          <w:sz w:val="26"/>
        </w:rPr>
        <w:t xml:space="preserve">and </w:t>
      </w:r>
      <w:r w:rsidR="00953F72">
        <w:rPr>
          <w:color w:val="000000"/>
          <w:w w:val="118"/>
          <w:sz w:val="26"/>
          <w:szCs w:val="26"/>
        </w:rPr>
        <w:t>No.</w:t>
      </w:r>
      <w:r w:rsidR="00953F72">
        <w:rPr>
          <w:color w:val="000000"/>
          <w:w w:val="118"/>
          <w:sz w:val="26"/>
        </w:rPr>
        <w:t xml:space="preserve"> </w:t>
      </w:r>
      <w:r w:rsidRPr="00B07B9B">
        <w:rPr>
          <w:color w:val="000000"/>
          <w:sz w:val="26"/>
        </w:rPr>
        <w:t>2 138 kV Taps In Chestnuthill And Polk Townships, Monroe County, Pennsylvania Is Necessary Or Proper For The Service, Accommodation, Convenience Or Safety Of The Public, at Docket Number</w:t>
      </w:r>
      <w:r w:rsidRPr="00B07B9B">
        <w:rPr>
          <w:spacing w:val="-3"/>
          <w:sz w:val="26"/>
        </w:rPr>
        <w:t xml:space="preserve"> </w:t>
      </w:r>
      <w:r w:rsidR="006B745A">
        <w:rPr>
          <w:spacing w:val="-3"/>
          <w:sz w:val="26"/>
        </w:rPr>
        <w:br/>
      </w:r>
      <w:r w:rsidRPr="00B07B9B">
        <w:rPr>
          <w:spacing w:val="-3"/>
          <w:sz w:val="26"/>
        </w:rPr>
        <w:t>A-2010-2163154</w:t>
      </w:r>
      <w:r w:rsidRPr="00B07B9B">
        <w:rPr>
          <w:sz w:val="26"/>
        </w:rPr>
        <w:t>, is granted.</w:t>
      </w:r>
    </w:p>
    <w:p w:rsidR="00B07B9B" w:rsidRPr="00B07B9B" w:rsidRDefault="00B07B9B" w:rsidP="00B07B9B">
      <w:pPr>
        <w:spacing w:line="360" w:lineRule="auto"/>
        <w:ind w:firstLine="1440"/>
        <w:contextualSpacing/>
        <w:rPr>
          <w:sz w:val="26"/>
        </w:rPr>
      </w:pPr>
    </w:p>
    <w:p w:rsidR="00B07B9B" w:rsidRPr="00B07B9B" w:rsidRDefault="00B07B9B" w:rsidP="0040281E">
      <w:pPr>
        <w:keepNext/>
        <w:keepLines/>
        <w:spacing w:line="360" w:lineRule="auto"/>
        <w:ind w:firstLine="1440"/>
        <w:contextualSpacing/>
        <w:rPr>
          <w:sz w:val="26"/>
        </w:rPr>
      </w:pPr>
      <w:r>
        <w:rPr>
          <w:sz w:val="26"/>
        </w:rPr>
        <w:t>9</w:t>
      </w:r>
      <w:r w:rsidRPr="00B07B9B">
        <w:rPr>
          <w:sz w:val="26"/>
        </w:rPr>
        <w:t>.</w:t>
      </w:r>
      <w:r w:rsidRPr="00B07B9B">
        <w:rPr>
          <w:sz w:val="26"/>
        </w:rPr>
        <w:tab/>
        <w:t>That the protests filed against one or more of these consolidated Applications and Petition by Suzanne A. Hart and La</w:t>
      </w:r>
      <w:r w:rsidR="004670BD">
        <w:rPr>
          <w:sz w:val="26"/>
        </w:rPr>
        <w:t>R</w:t>
      </w:r>
      <w:r w:rsidRPr="00B07B9B">
        <w:rPr>
          <w:sz w:val="26"/>
        </w:rPr>
        <w:t>ue High</w:t>
      </w:r>
      <w:r w:rsidR="00667CED">
        <w:rPr>
          <w:sz w:val="26"/>
        </w:rPr>
        <w:t>,</w:t>
      </w:r>
      <w:r w:rsidRPr="00B07B9B">
        <w:rPr>
          <w:sz w:val="26"/>
        </w:rPr>
        <w:t xml:space="preserve"> at Docket Numbers </w:t>
      </w:r>
      <w:r w:rsidR="006B745A">
        <w:rPr>
          <w:sz w:val="26"/>
        </w:rPr>
        <w:br/>
      </w:r>
      <w:r w:rsidRPr="00B07B9B">
        <w:rPr>
          <w:spacing w:val="-3"/>
          <w:sz w:val="26"/>
        </w:rPr>
        <w:t>A-2010-2152104, A-2010-2153061, and A-2010-2163154</w:t>
      </w:r>
      <w:r w:rsidRPr="00B07B9B">
        <w:rPr>
          <w:sz w:val="26"/>
        </w:rPr>
        <w:t xml:space="preserve"> are denied.</w:t>
      </w:r>
    </w:p>
    <w:p w:rsidR="00B07B9B" w:rsidRPr="00B07B9B" w:rsidRDefault="00B07B9B" w:rsidP="0040281E">
      <w:pPr>
        <w:keepNext/>
        <w:keepLines/>
        <w:spacing w:line="360" w:lineRule="auto"/>
        <w:ind w:firstLine="1440"/>
        <w:contextualSpacing/>
        <w:rPr>
          <w:sz w:val="26"/>
        </w:rPr>
      </w:pPr>
    </w:p>
    <w:p w:rsidR="00B07B9B" w:rsidRPr="00B07B9B" w:rsidRDefault="00B07B9B" w:rsidP="0040281E">
      <w:pPr>
        <w:keepNext/>
        <w:keepLines/>
        <w:spacing w:line="360" w:lineRule="auto"/>
        <w:ind w:firstLine="1440"/>
        <w:contextualSpacing/>
        <w:rPr>
          <w:sz w:val="26"/>
        </w:rPr>
      </w:pPr>
      <w:r>
        <w:rPr>
          <w:sz w:val="26"/>
        </w:rPr>
        <w:t>10</w:t>
      </w:r>
      <w:r w:rsidRPr="00B07B9B">
        <w:rPr>
          <w:sz w:val="26"/>
        </w:rPr>
        <w:t>.</w:t>
      </w:r>
      <w:r w:rsidRPr="00B07B9B">
        <w:rPr>
          <w:sz w:val="26"/>
        </w:rPr>
        <w:tab/>
        <w:t xml:space="preserve">That the record at Docket Numbers </w:t>
      </w:r>
      <w:r w:rsidRPr="00B07B9B">
        <w:rPr>
          <w:spacing w:val="-3"/>
          <w:sz w:val="26"/>
        </w:rPr>
        <w:t xml:space="preserve">C-2009-2107073, </w:t>
      </w:r>
      <w:r w:rsidR="006B745A">
        <w:rPr>
          <w:spacing w:val="-3"/>
          <w:sz w:val="26"/>
        </w:rPr>
        <w:br/>
      </w:r>
      <w:r w:rsidRPr="00B07B9B">
        <w:rPr>
          <w:spacing w:val="-3"/>
          <w:sz w:val="26"/>
        </w:rPr>
        <w:t>A-2010-2152104, A-2010-2153061, and A-2010-2163154 be marked closed.</w:t>
      </w:r>
    </w:p>
    <w:p w:rsidR="002572E5" w:rsidRDefault="002572E5" w:rsidP="0040281E">
      <w:pPr>
        <w:keepNext/>
        <w:keepLines/>
        <w:spacing w:line="360" w:lineRule="auto"/>
        <w:ind w:firstLine="1440"/>
        <w:rPr>
          <w:sz w:val="26"/>
          <w:szCs w:val="26"/>
        </w:rPr>
      </w:pPr>
    </w:p>
    <w:p w:rsidR="00A437BB" w:rsidRDefault="0069224D" w:rsidP="0040281E">
      <w:pPr>
        <w:keepNext/>
        <w:keepLines/>
        <w:spacing w:line="360" w:lineRule="auto"/>
        <w:rPr>
          <w:b/>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43.75pt;margin-top:2.15pt;width:173.25pt;height:66pt;z-index:-1;visibility:visible">
            <v:imagedata r:id="rId8" o:title=""/>
          </v:shape>
        </w:pict>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4E61BF" w:rsidRPr="000D6043" w:rsidRDefault="004E61BF" w:rsidP="0040281E">
      <w:pPr>
        <w:keepNext/>
        <w:keepLines/>
        <w:spacing w:line="360" w:lineRule="auto"/>
        <w:rPr>
          <w:sz w:val="26"/>
          <w:szCs w:val="26"/>
        </w:rPr>
      </w:pPr>
    </w:p>
    <w:p w:rsidR="008D6E6F" w:rsidRDefault="001A1AD3" w:rsidP="0040281E">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p>
    <w:p w:rsidR="001A1AD3" w:rsidRPr="000D6043" w:rsidRDefault="008D6E6F" w:rsidP="0040281E">
      <w:pPr>
        <w:keepNext/>
        <w:keepLine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A1AD3" w:rsidRPr="000D6043">
        <w:rPr>
          <w:sz w:val="26"/>
          <w:szCs w:val="26"/>
        </w:rPr>
        <w:tab/>
      </w:r>
      <w:r w:rsidR="00F40A17">
        <w:rPr>
          <w:sz w:val="26"/>
          <w:szCs w:val="26"/>
        </w:rPr>
        <w:t>Rosemary Chiavetta</w:t>
      </w:r>
    </w:p>
    <w:p w:rsidR="00F15AA1" w:rsidRDefault="001A1AD3" w:rsidP="0040281E">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0261D5" w:rsidRDefault="000261D5" w:rsidP="0040281E">
      <w:pPr>
        <w:keepNext/>
        <w:keepLines/>
        <w:tabs>
          <w:tab w:val="left" w:pos="-720"/>
        </w:tabs>
        <w:suppressAutoHyphens/>
        <w:rPr>
          <w:sz w:val="26"/>
          <w:szCs w:val="26"/>
        </w:rPr>
      </w:pPr>
    </w:p>
    <w:p w:rsidR="001A1AD3" w:rsidRPr="00AD292A" w:rsidRDefault="001A1AD3" w:rsidP="0040281E">
      <w:pPr>
        <w:keepNext/>
        <w:keepLines/>
        <w:tabs>
          <w:tab w:val="left" w:pos="-720"/>
        </w:tabs>
        <w:suppressAutoHyphens/>
        <w:rPr>
          <w:sz w:val="26"/>
          <w:szCs w:val="26"/>
        </w:rPr>
      </w:pPr>
      <w:r w:rsidRPr="00AD292A">
        <w:rPr>
          <w:sz w:val="26"/>
          <w:szCs w:val="26"/>
        </w:rPr>
        <w:t>(SEAL)</w:t>
      </w:r>
    </w:p>
    <w:p w:rsidR="001A1AD3" w:rsidRPr="001B2BFB" w:rsidRDefault="001A1AD3" w:rsidP="0040281E">
      <w:pPr>
        <w:keepNext/>
        <w:keepLines/>
        <w:tabs>
          <w:tab w:val="left" w:pos="-720"/>
        </w:tabs>
        <w:suppressAutoHyphens/>
        <w:rPr>
          <w:sz w:val="26"/>
          <w:szCs w:val="26"/>
        </w:rPr>
      </w:pPr>
    </w:p>
    <w:p w:rsidR="001A1AD3" w:rsidRDefault="001A1AD3" w:rsidP="0040281E">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sidR="0040281E">
        <w:rPr>
          <w:sz w:val="26"/>
          <w:szCs w:val="26"/>
        </w:rPr>
        <w:t>March 17, 2011</w:t>
      </w:r>
    </w:p>
    <w:p w:rsidR="004E61BF" w:rsidRPr="001B2BFB" w:rsidRDefault="004E61BF" w:rsidP="0040281E">
      <w:pPr>
        <w:keepNext/>
        <w:keepLines/>
        <w:tabs>
          <w:tab w:val="left" w:pos="-720"/>
        </w:tabs>
        <w:suppressAutoHyphens/>
        <w:rPr>
          <w:sz w:val="26"/>
          <w:szCs w:val="26"/>
        </w:rPr>
      </w:pPr>
    </w:p>
    <w:p w:rsidR="009304FE" w:rsidRDefault="001A1AD3" w:rsidP="0040281E">
      <w:pPr>
        <w:pStyle w:val="BodyText"/>
        <w:keepNext/>
        <w:keepLines/>
        <w:spacing w:line="240" w:lineRule="auto"/>
      </w:pPr>
      <w:r w:rsidRPr="00AD292A">
        <w:t>ORDER ENTERED</w:t>
      </w:r>
      <w:r>
        <w:t xml:space="preserve">: </w:t>
      </w:r>
      <w:r w:rsidR="0069224D">
        <w:t>March 18, 2011</w:t>
      </w:r>
    </w:p>
    <w:sectPr w:rsidR="009304FE" w:rsidSect="001D16D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FE0" w:rsidRDefault="00244FE0">
      <w:r>
        <w:separator/>
      </w:r>
    </w:p>
  </w:endnote>
  <w:endnote w:type="continuationSeparator" w:id="0">
    <w:p w:rsidR="00244FE0" w:rsidRDefault="00244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A8" w:rsidRDefault="00C34D91" w:rsidP="00654A2F">
    <w:pPr>
      <w:pStyle w:val="Footer"/>
      <w:framePr w:wrap="around" w:vAnchor="text" w:hAnchor="margin" w:xAlign="center" w:y="1"/>
      <w:rPr>
        <w:rStyle w:val="PageNumber"/>
      </w:rPr>
    </w:pPr>
    <w:r>
      <w:rPr>
        <w:rStyle w:val="PageNumber"/>
      </w:rPr>
      <w:fldChar w:fldCharType="begin"/>
    </w:r>
    <w:r w:rsidR="00BE33A8">
      <w:rPr>
        <w:rStyle w:val="PageNumber"/>
      </w:rPr>
      <w:instrText xml:space="preserve">PAGE  </w:instrText>
    </w:r>
    <w:r>
      <w:rPr>
        <w:rStyle w:val="PageNumber"/>
      </w:rPr>
      <w:fldChar w:fldCharType="end"/>
    </w:r>
  </w:p>
  <w:p w:rsidR="00BE33A8" w:rsidRDefault="00BE33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A8" w:rsidRDefault="00C34D91" w:rsidP="00654A2F">
    <w:pPr>
      <w:pStyle w:val="Footer"/>
      <w:framePr w:wrap="around" w:vAnchor="text" w:hAnchor="margin" w:xAlign="center" w:y="1"/>
      <w:rPr>
        <w:rStyle w:val="PageNumber"/>
      </w:rPr>
    </w:pPr>
    <w:r>
      <w:rPr>
        <w:rStyle w:val="PageNumber"/>
      </w:rPr>
      <w:fldChar w:fldCharType="begin"/>
    </w:r>
    <w:r w:rsidR="00BE33A8">
      <w:rPr>
        <w:rStyle w:val="PageNumber"/>
      </w:rPr>
      <w:instrText xml:space="preserve">PAGE  </w:instrText>
    </w:r>
    <w:r>
      <w:rPr>
        <w:rStyle w:val="PageNumber"/>
      </w:rPr>
      <w:fldChar w:fldCharType="separate"/>
    </w:r>
    <w:r w:rsidR="0069224D">
      <w:rPr>
        <w:rStyle w:val="PageNumber"/>
        <w:noProof/>
      </w:rPr>
      <w:t>40</w:t>
    </w:r>
    <w:r>
      <w:rPr>
        <w:rStyle w:val="PageNumber"/>
      </w:rPr>
      <w:fldChar w:fldCharType="end"/>
    </w:r>
  </w:p>
  <w:p w:rsidR="00BE33A8" w:rsidRDefault="00BE3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FE0" w:rsidRDefault="00244FE0">
      <w:r>
        <w:separator/>
      </w:r>
    </w:p>
  </w:footnote>
  <w:footnote w:type="continuationSeparator" w:id="0">
    <w:p w:rsidR="00244FE0" w:rsidRDefault="00244FE0">
      <w:r>
        <w:continuationSeparator/>
      </w:r>
    </w:p>
  </w:footnote>
  <w:footnote w:id="1">
    <w:p w:rsidR="00BE33A8" w:rsidRPr="006B0A91" w:rsidRDefault="00BE33A8">
      <w:pPr>
        <w:pStyle w:val="FootnoteText"/>
        <w:rPr>
          <w:rFonts w:ascii="Times New Roman" w:hAnsi="Times New Roman"/>
          <w:sz w:val="26"/>
          <w:szCs w:val="26"/>
        </w:rPr>
      </w:pPr>
      <w:r w:rsidRPr="006B0A91">
        <w:rPr>
          <w:rFonts w:ascii="Times New Roman" w:hAnsi="Times New Roman"/>
          <w:sz w:val="26"/>
          <w:szCs w:val="26"/>
        </w:rPr>
        <w:tab/>
      </w:r>
      <w:r w:rsidRPr="006B0A91">
        <w:rPr>
          <w:rStyle w:val="FootnoteReference"/>
          <w:rFonts w:ascii="Times New Roman" w:hAnsi="Times New Roman"/>
        </w:rPr>
        <w:footnoteRef/>
      </w:r>
      <w:r w:rsidRPr="006B0A91">
        <w:rPr>
          <w:rFonts w:ascii="Times New Roman" w:hAnsi="Times New Roman"/>
          <w:sz w:val="26"/>
          <w:szCs w:val="26"/>
        </w:rPr>
        <w:t xml:space="preserve"> </w:t>
      </w:r>
      <w:r w:rsidRPr="006B0A91">
        <w:rPr>
          <w:rFonts w:ascii="Times New Roman" w:hAnsi="Times New Roman"/>
          <w:sz w:val="26"/>
          <w:szCs w:val="26"/>
        </w:rPr>
        <w:tab/>
        <w:t xml:space="preserve">The History of the Proceeding is taken largely from the Recommended Decision at </w:t>
      </w:r>
      <w:r>
        <w:rPr>
          <w:rFonts w:ascii="Times New Roman" w:hAnsi="Times New Roman"/>
          <w:sz w:val="26"/>
          <w:szCs w:val="26"/>
        </w:rPr>
        <w:t>1</w:t>
      </w:r>
      <w:r w:rsidRPr="006B0A91">
        <w:rPr>
          <w:rFonts w:ascii="Times New Roman" w:hAnsi="Times New Roman"/>
          <w:sz w:val="26"/>
          <w:szCs w:val="26"/>
        </w:rPr>
        <w:t>-</w:t>
      </w:r>
      <w:r>
        <w:rPr>
          <w:rFonts w:ascii="Times New Roman" w:hAnsi="Times New Roman"/>
          <w:sz w:val="26"/>
          <w:szCs w:val="26"/>
        </w:rPr>
        <w:t>5</w:t>
      </w:r>
      <w:r w:rsidRPr="006B0A91">
        <w:rPr>
          <w:rFonts w:ascii="Times New Roman" w:hAnsi="Times New Roman"/>
          <w:sz w:val="26"/>
          <w:szCs w:val="26"/>
        </w:rPr>
        <w:t>.</w:t>
      </w:r>
    </w:p>
  </w:footnote>
  <w:footnote w:id="2">
    <w:p w:rsidR="00BE33A8" w:rsidRPr="00E31F41" w:rsidRDefault="00BE33A8" w:rsidP="003A35F0">
      <w:pPr>
        <w:pStyle w:val="FootnoteText"/>
        <w:spacing w:after="0"/>
        <w:rPr>
          <w:rFonts w:ascii="Times New Roman" w:hAnsi="Times New Roman"/>
          <w:sz w:val="26"/>
          <w:szCs w:val="26"/>
        </w:rPr>
      </w:pPr>
      <w:r>
        <w:rPr>
          <w:rFonts w:ascii="Times New Roman" w:hAnsi="Times New Roman"/>
          <w:sz w:val="26"/>
          <w:szCs w:val="26"/>
        </w:rPr>
        <w:tab/>
      </w:r>
      <w:r w:rsidRPr="00E31F41">
        <w:rPr>
          <w:rStyle w:val="FootnoteReference"/>
          <w:rFonts w:ascii="Times New Roman" w:hAnsi="Times New Roman"/>
        </w:rPr>
        <w:footnoteRef/>
      </w:r>
      <w:r w:rsidRPr="00E31F41">
        <w:rPr>
          <w:rFonts w:ascii="Times New Roman" w:hAnsi="Times New Roman"/>
          <w:sz w:val="26"/>
          <w:szCs w:val="26"/>
        </w:rPr>
        <w:tab/>
        <w:t xml:space="preserve">In addition to PPL, the Parties consist of Albert Barney, </w:t>
      </w:r>
      <w:r>
        <w:rPr>
          <w:rFonts w:ascii="Times New Roman" w:hAnsi="Times New Roman"/>
          <w:sz w:val="26"/>
          <w:szCs w:val="26"/>
        </w:rPr>
        <w:t xml:space="preserve">Suzanne </w:t>
      </w:r>
      <w:r w:rsidRPr="00E31F41">
        <w:rPr>
          <w:rFonts w:ascii="Times New Roman" w:hAnsi="Times New Roman"/>
          <w:sz w:val="26"/>
          <w:szCs w:val="26"/>
        </w:rPr>
        <w:t xml:space="preserve">Hart and </w:t>
      </w:r>
      <w:r>
        <w:rPr>
          <w:rFonts w:ascii="Times New Roman" w:hAnsi="Times New Roman"/>
          <w:sz w:val="26"/>
          <w:szCs w:val="26"/>
        </w:rPr>
        <w:t xml:space="preserve">LaRue </w:t>
      </w:r>
      <w:r w:rsidRPr="00E31F41">
        <w:rPr>
          <w:rFonts w:ascii="Times New Roman" w:hAnsi="Times New Roman"/>
          <w:sz w:val="26"/>
          <w:szCs w:val="26"/>
        </w:rPr>
        <w:t>High.</w:t>
      </w:r>
    </w:p>
  </w:footnote>
  <w:footnote w:id="3">
    <w:p w:rsidR="00BE33A8" w:rsidRPr="00E31F41" w:rsidRDefault="00BE33A8" w:rsidP="003A35F0">
      <w:pPr>
        <w:pStyle w:val="FootnoteText"/>
        <w:spacing w:after="0"/>
        <w:rPr>
          <w:rFonts w:ascii="Times New Roman" w:hAnsi="Times New Roman"/>
          <w:sz w:val="26"/>
          <w:szCs w:val="26"/>
        </w:rPr>
      </w:pPr>
      <w:r>
        <w:rPr>
          <w:rFonts w:ascii="Times New Roman" w:hAnsi="Times New Roman"/>
          <w:sz w:val="26"/>
          <w:szCs w:val="26"/>
        </w:rPr>
        <w:tab/>
      </w:r>
      <w:r w:rsidRPr="00E31F41">
        <w:rPr>
          <w:rStyle w:val="FootnoteReference"/>
          <w:rFonts w:ascii="Times New Roman" w:hAnsi="Times New Roman"/>
        </w:rPr>
        <w:footnoteRef/>
      </w:r>
      <w:r w:rsidRPr="00E31F41">
        <w:rPr>
          <w:rFonts w:ascii="Times New Roman" w:hAnsi="Times New Roman"/>
          <w:sz w:val="26"/>
          <w:szCs w:val="26"/>
        </w:rPr>
        <w:tab/>
        <w:t>Immediately prior to the convening of the Prehearing Conference</w:t>
      </w:r>
      <w:r w:rsidR="003A252B">
        <w:rPr>
          <w:rFonts w:ascii="Times New Roman" w:hAnsi="Times New Roman"/>
          <w:sz w:val="26"/>
          <w:szCs w:val="26"/>
        </w:rPr>
        <w:t>,</w:t>
      </w:r>
      <w:r w:rsidRPr="00E31F41">
        <w:rPr>
          <w:rFonts w:ascii="Times New Roman" w:hAnsi="Times New Roman"/>
          <w:sz w:val="26"/>
          <w:szCs w:val="26"/>
        </w:rPr>
        <w:t xml:space="preserve"> a telefacsimile from Joseph P. Hanyon, Esquire, addressed to the ALJ, was delivered to</w:t>
      </w:r>
      <w:r>
        <w:rPr>
          <w:rFonts w:ascii="Times New Roman" w:hAnsi="Times New Roman"/>
          <w:sz w:val="26"/>
          <w:szCs w:val="26"/>
        </w:rPr>
        <w:t xml:space="preserve"> the ALJ </w:t>
      </w:r>
      <w:r w:rsidRPr="00E31F41">
        <w:rPr>
          <w:rFonts w:ascii="Times New Roman" w:hAnsi="Times New Roman"/>
          <w:sz w:val="26"/>
          <w:szCs w:val="26"/>
        </w:rPr>
        <w:t xml:space="preserve">in the Hearing Room.  The fax contained a cover sheet, a Praecipe For Entry Of Appearance, and a Motion For Continuance with enclosures.  There was no indication that the fax had been sent to anyone other than </w:t>
      </w:r>
      <w:r>
        <w:rPr>
          <w:rFonts w:ascii="Times New Roman" w:hAnsi="Times New Roman"/>
          <w:sz w:val="26"/>
          <w:szCs w:val="26"/>
        </w:rPr>
        <w:t>the ALJ</w:t>
      </w:r>
      <w:r w:rsidRPr="00E31F41">
        <w:rPr>
          <w:rFonts w:ascii="Times New Roman" w:hAnsi="Times New Roman"/>
          <w:sz w:val="26"/>
          <w:szCs w:val="26"/>
        </w:rPr>
        <w:t>.  Counsel for PPL stated that he had not received a copy.  Pursuant to the provisions of 52 Pa.</w:t>
      </w:r>
      <w:r w:rsidR="008C2FA0">
        <w:rPr>
          <w:rFonts w:ascii="Times New Roman" w:hAnsi="Times New Roman"/>
          <w:sz w:val="26"/>
          <w:szCs w:val="26"/>
        </w:rPr>
        <w:t xml:space="preserve"> </w:t>
      </w:r>
      <w:r w:rsidR="002B48F3">
        <w:rPr>
          <w:rFonts w:ascii="Times New Roman" w:hAnsi="Times New Roman"/>
          <w:sz w:val="26"/>
          <w:szCs w:val="26"/>
        </w:rPr>
        <w:t>Code § 1.11(c), Mr. </w:t>
      </w:r>
      <w:r w:rsidRPr="00E31F41">
        <w:rPr>
          <w:rFonts w:ascii="Times New Roman" w:hAnsi="Times New Roman"/>
          <w:sz w:val="26"/>
          <w:szCs w:val="26"/>
        </w:rPr>
        <w:t xml:space="preserve">Hanyon’s fax did not constitute a </w:t>
      </w:r>
      <w:r w:rsidR="003A252B">
        <w:rPr>
          <w:rFonts w:ascii="Times New Roman" w:hAnsi="Times New Roman"/>
          <w:sz w:val="26"/>
          <w:szCs w:val="26"/>
        </w:rPr>
        <w:t>proper</w:t>
      </w:r>
      <w:r w:rsidRPr="00E31F41">
        <w:rPr>
          <w:rFonts w:ascii="Times New Roman" w:hAnsi="Times New Roman"/>
          <w:sz w:val="26"/>
          <w:szCs w:val="26"/>
        </w:rPr>
        <w:t xml:space="preserve"> filing with the Commission.</w:t>
      </w:r>
    </w:p>
  </w:footnote>
  <w:footnote w:id="4">
    <w:p w:rsidR="00BE33A8" w:rsidRPr="00B256DE" w:rsidRDefault="00BE33A8">
      <w:pPr>
        <w:pStyle w:val="FootnoteText"/>
        <w:rPr>
          <w:rFonts w:ascii="Times New Roman" w:hAnsi="Times New Roman"/>
          <w:sz w:val="26"/>
          <w:szCs w:val="26"/>
        </w:rPr>
      </w:pPr>
      <w:r w:rsidRPr="00B256DE">
        <w:rPr>
          <w:rFonts w:ascii="Times New Roman" w:hAnsi="Times New Roman"/>
          <w:sz w:val="26"/>
          <w:szCs w:val="26"/>
        </w:rPr>
        <w:tab/>
      </w:r>
      <w:r w:rsidRPr="00B256DE">
        <w:rPr>
          <w:rStyle w:val="FootnoteReference"/>
          <w:rFonts w:ascii="Times New Roman" w:hAnsi="Times New Roman"/>
        </w:rPr>
        <w:footnoteRef/>
      </w:r>
      <w:r w:rsidRPr="00B256DE">
        <w:rPr>
          <w:rFonts w:ascii="Times New Roman" w:hAnsi="Times New Roman"/>
          <w:sz w:val="26"/>
          <w:szCs w:val="26"/>
        </w:rPr>
        <w:t xml:space="preserve"> </w:t>
      </w:r>
      <w:r w:rsidRPr="00B256DE">
        <w:rPr>
          <w:rFonts w:ascii="Times New Roman" w:hAnsi="Times New Roman"/>
          <w:sz w:val="26"/>
          <w:szCs w:val="26"/>
        </w:rPr>
        <w:tab/>
        <w:t>This discussion of the legal standards applicable to PPL’s Applications and Petition is largely taken from the Recommended Decision at 22-27.</w:t>
      </w:r>
    </w:p>
  </w:footnote>
  <w:footnote w:id="5">
    <w:p w:rsidR="00BE33A8" w:rsidRDefault="00BE33A8" w:rsidP="004169D5">
      <w:pPr>
        <w:pStyle w:val="FootnoteText"/>
        <w:spacing w:after="0"/>
        <w:rPr>
          <w:rFonts w:ascii="Times New Roman" w:hAnsi="Times New Roman"/>
          <w:sz w:val="26"/>
          <w:szCs w:val="26"/>
        </w:rPr>
      </w:pPr>
      <w:r w:rsidRPr="006B0A91">
        <w:rPr>
          <w:rFonts w:ascii="Times New Roman" w:hAnsi="Times New Roman"/>
          <w:sz w:val="26"/>
          <w:szCs w:val="26"/>
        </w:rPr>
        <w:tab/>
      </w:r>
      <w:r w:rsidRPr="006B0A91">
        <w:rPr>
          <w:rStyle w:val="FootnoteReference"/>
          <w:rFonts w:ascii="Times New Roman" w:hAnsi="Times New Roman"/>
        </w:rPr>
        <w:footnoteRef/>
      </w:r>
      <w:r w:rsidRPr="006B0A91">
        <w:rPr>
          <w:rFonts w:ascii="Times New Roman" w:hAnsi="Times New Roman"/>
          <w:sz w:val="26"/>
          <w:szCs w:val="26"/>
        </w:rPr>
        <w:tab/>
        <w:t>Article I, Section 27 of the Pennsylvania Constitution states:</w:t>
      </w:r>
    </w:p>
    <w:p w:rsidR="00B256DE" w:rsidRPr="006B0A91" w:rsidRDefault="00B256DE" w:rsidP="00B256DE">
      <w:pPr>
        <w:pStyle w:val="FootnoteText"/>
        <w:spacing w:before="0" w:after="0"/>
        <w:rPr>
          <w:rFonts w:ascii="Times New Roman" w:hAnsi="Times New Roman"/>
          <w:sz w:val="26"/>
          <w:szCs w:val="26"/>
        </w:rPr>
      </w:pPr>
    </w:p>
    <w:p w:rsidR="00BE33A8" w:rsidRPr="006B0A91" w:rsidRDefault="00B256DE" w:rsidP="00B256DE">
      <w:pPr>
        <w:pStyle w:val="IndentSingle"/>
        <w:spacing w:after="0"/>
        <w:jc w:val="left"/>
        <w:rPr>
          <w:sz w:val="26"/>
          <w:szCs w:val="26"/>
        </w:rPr>
      </w:pPr>
      <w:r>
        <w:rPr>
          <w:sz w:val="26"/>
          <w:szCs w:val="26"/>
        </w:rPr>
        <w:t>T</w:t>
      </w:r>
      <w:r w:rsidR="00BE33A8" w:rsidRPr="006B0A91">
        <w:rPr>
          <w:sz w:val="26"/>
          <w:szCs w:val="26"/>
        </w:rPr>
        <w:t>he people have a right to clean air, pure water and to the preservation of the natural, scenic, historic and esthetic values of the environment.  Pennsylvania’s public natural resources are the common property of all the people, including generations yet to come.  As trustee of these resources, the Commonwealth shall conserve and maintain them for t</w:t>
      </w:r>
      <w:r>
        <w:rPr>
          <w:sz w:val="26"/>
          <w:szCs w:val="26"/>
        </w:rPr>
        <w:t>he benefit of all the people.</w:t>
      </w:r>
    </w:p>
  </w:footnote>
  <w:footnote w:id="6">
    <w:p w:rsidR="00BE33A8" w:rsidRDefault="00BE33A8">
      <w:pPr>
        <w:pStyle w:val="FootnoteText"/>
        <w:spacing w:after="0"/>
        <w:rPr>
          <w:sz w:val="26"/>
          <w:szCs w:val="26"/>
        </w:rPr>
      </w:pPr>
      <w:r w:rsidRPr="006B0A91">
        <w:rPr>
          <w:rFonts w:ascii="Times New Roman" w:hAnsi="Times New Roman"/>
          <w:sz w:val="26"/>
          <w:szCs w:val="26"/>
        </w:rPr>
        <w:tab/>
      </w:r>
      <w:r w:rsidRPr="006B0A91">
        <w:rPr>
          <w:rStyle w:val="FootnoteReference"/>
          <w:rFonts w:ascii="Times New Roman" w:hAnsi="Times New Roman"/>
        </w:rPr>
        <w:footnoteRef/>
      </w:r>
      <w:r w:rsidRPr="006B0A91">
        <w:rPr>
          <w:rFonts w:ascii="Times New Roman" w:hAnsi="Times New Roman"/>
          <w:sz w:val="26"/>
          <w:szCs w:val="26"/>
        </w:rPr>
        <w:tab/>
        <w:t xml:space="preserve">The three-part test established in </w:t>
      </w:r>
      <w:r w:rsidRPr="006B0A91">
        <w:rPr>
          <w:rFonts w:ascii="Times New Roman" w:hAnsi="Times New Roman"/>
          <w:i/>
          <w:sz w:val="26"/>
          <w:szCs w:val="26"/>
        </w:rPr>
        <w:t>Payne v. Kassab</w:t>
      </w:r>
      <w:r w:rsidRPr="006B0A91">
        <w:rPr>
          <w:rFonts w:ascii="Times New Roman" w:hAnsi="Times New Roman"/>
          <w:sz w:val="26"/>
          <w:szCs w:val="26"/>
        </w:rPr>
        <w:t xml:space="preserve"> requires consideration of the following:</w:t>
      </w:r>
      <w:r>
        <w:rPr>
          <w:rFonts w:ascii="Times New Roman" w:hAnsi="Times New Roman"/>
          <w:sz w:val="26"/>
          <w:szCs w:val="26"/>
        </w:rPr>
        <w:t xml:space="preserve">  </w:t>
      </w:r>
      <w:r>
        <w:rPr>
          <w:sz w:val="26"/>
          <w:szCs w:val="26"/>
        </w:rPr>
        <w:t>(</w:t>
      </w:r>
      <w:r w:rsidRPr="006B0A91">
        <w:rPr>
          <w:sz w:val="26"/>
          <w:szCs w:val="26"/>
        </w:rPr>
        <w:t>1</w:t>
      </w:r>
      <w:r>
        <w:rPr>
          <w:sz w:val="26"/>
          <w:szCs w:val="26"/>
        </w:rPr>
        <w:t>)</w:t>
      </w:r>
      <w:r w:rsidRPr="006B0A91">
        <w:rPr>
          <w:sz w:val="26"/>
          <w:szCs w:val="26"/>
        </w:rPr>
        <w:t xml:space="preserve"> Was there compliance with all applicable statutes and regulations relevant to the protection of the Commonwealth’s environment?</w:t>
      </w:r>
      <w:r>
        <w:rPr>
          <w:sz w:val="26"/>
          <w:szCs w:val="26"/>
        </w:rPr>
        <w:t xml:space="preserve">  (2)</w:t>
      </w:r>
      <w:r w:rsidRPr="006B0A91">
        <w:rPr>
          <w:sz w:val="26"/>
          <w:szCs w:val="26"/>
        </w:rPr>
        <w:t xml:space="preserve"> </w:t>
      </w:r>
      <w:r>
        <w:rPr>
          <w:sz w:val="26"/>
          <w:szCs w:val="26"/>
        </w:rPr>
        <w:t xml:space="preserve"> </w:t>
      </w:r>
      <w:r w:rsidRPr="006B0A91">
        <w:rPr>
          <w:sz w:val="26"/>
          <w:szCs w:val="26"/>
        </w:rPr>
        <w:t>Does the record demonstrate a reasonable effort to reduce the environmental incursion to a minimum?</w:t>
      </w:r>
      <w:r>
        <w:rPr>
          <w:sz w:val="26"/>
          <w:szCs w:val="26"/>
        </w:rPr>
        <w:t xml:space="preserve">  </w:t>
      </w:r>
      <w:r w:rsidR="00B256DE">
        <w:rPr>
          <w:sz w:val="26"/>
          <w:szCs w:val="26"/>
        </w:rPr>
        <w:br/>
      </w:r>
      <w:r>
        <w:rPr>
          <w:sz w:val="26"/>
          <w:szCs w:val="26"/>
        </w:rPr>
        <w:t>(</w:t>
      </w:r>
      <w:r w:rsidRPr="006B0A91">
        <w:rPr>
          <w:sz w:val="26"/>
          <w:szCs w:val="26"/>
        </w:rPr>
        <w:t>3</w:t>
      </w:r>
      <w:r>
        <w:rPr>
          <w:sz w:val="26"/>
          <w:szCs w:val="26"/>
        </w:rPr>
        <w:t>)</w:t>
      </w:r>
      <w:r w:rsidRPr="006B0A91">
        <w:rPr>
          <w:sz w:val="26"/>
          <w:szCs w:val="26"/>
        </w:rPr>
        <w:t xml:space="preserve">  Does the environmental harm which would result from the challenged decision or action so clearly outweigh the benefits to be derived therefrom that to proceed further would be an abuse of discretion?  312 A.2d at 94.</w:t>
      </w:r>
    </w:p>
  </w:footnote>
  <w:footnote w:id="7">
    <w:p w:rsidR="00BE33A8" w:rsidRDefault="00BE33A8" w:rsidP="008217CA">
      <w:pPr>
        <w:pStyle w:val="FootnoteText"/>
        <w:spacing w:after="0"/>
        <w:rPr>
          <w:rFonts w:ascii="Times New Roman" w:hAnsi="Times New Roman"/>
          <w:sz w:val="26"/>
        </w:rPr>
      </w:pPr>
      <w:r>
        <w:rPr>
          <w:rFonts w:ascii="Times New Roman" w:hAnsi="Times New Roman"/>
          <w:sz w:val="26"/>
        </w:rPr>
        <w:tab/>
      </w:r>
      <w:r w:rsidRPr="008217CA">
        <w:rPr>
          <w:rStyle w:val="FootnoteReference"/>
          <w:rFonts w:ascii="Times New Roman" w:hAnsi="Times New Roman"/>
        </w:rPr>
        <w:footnoteRef/>
      </w:r>
      <w:r w:rsidR="00FD4F85">
        <w:rPr>
          <w:rFonts w:ascii="Times New Roman" w:hAnsi="Times New Roman"/>
          <w:sz w:val="26"/>
        </w:rPr>
        <w:tab/>
        <w:t xml:space="preserve">The </w:t>
      </w:r>
      <w:r w:rsidRPr="008217CA">
        <w:rPr>
          <w:rFonts w:ascii="Times New Roman" w:hAnsi="Times New Roman"/>
          <w:sz w:val="26"/>
        </w:rPr>
        <w:t>Code defines “facilities” as follows:</w:t>
      </w:r>
    </w:p>
    <w:p w:rsidR="00FD4F85" w:rsidRDefault="00BE33A8" w:rsidP="00FD4F85">
      <w:pPr>
        <w:pStyle w:val="IndentSingle"/>
        <w:spacing w:after="0"/>
        <w:jc w:val="left"/>
        <w:rPr>
          <w:sz w:val="26"/>
          <w:szCs w:val="20"/>
        </w:rPr>
      </w:pPr>
      <w:r w:rsidRPr="008217CA">
        <w:rPr>
          <w:sz w:val="26"/>
          <w:szCs w:val="20"/>
        </w:rPr>
        <w:t>‘Facilities.’  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  Property owned by the Commonwealth or any municipal corporation prior to June 1, 1937, shall not be subject to the commission or to any of the terms of this part, except as elsewhere exp</w:t>
      </w:r>
      <w:r w:rsidR="00FD4F85">
        <w:rPr>
          <w:sz w:val="26"/>
          <w:szCs w:val="20"/>
        </w:rPr>
        <w:t>ressly provided in this part.</w:t>
      </w:r>
    </w:p>
    <w:p w:rsidR="00FD4F85" w:rsidRPr="00FD4F85" w:rsidRDefault="00FD4F85" w:rsidP="00FD4F85">
      <w:pPr>
        <w:pStyle w:val="BodyText"/>
        <w:spacing w:line="240" w:lineRule="auto"/>
      </w:pPr>
    </w:p>
    <w:p w:rsidR="00BE33A8" w:rsidRPr="008217CA" w:rsidRDefault="00BE33A8" w:rsidP="008217CA">
      <w:pPr>
        <w:pStyle w:val="IndentSingle"/>
        <w:spacing w:after="0"/>
        <w:ind w:left="0" w:right="0"/>
        <w:jc w:val="left"/>
        <w:rPr>
          <w:sz w:val="26"/>
          <w:szCs w:val="20"/>
        </w:rPr>
      </w:pPr>
      <w:r w:rsidRPr="008217CA">
        <w:rPr>
          <w:sz w:val="26"/>
          <w:szCs w:val="20"/>
        </w:rPr>
        <w:t>66 Pa.</w:t>
      </w:r>
      <w:r>
        <w:rPr>
          <w:sz w:val="26"/>
          <w:szCs w:val="20"/>
        </w:rPr>
        <w:t xml:space="preserve"> </w:t>
      </w:r>
      <w:r w:rsidRPr="008217CA">
        <w:rPr>
          <w:sz w:val="26"/>
          <w:szCs w:val="20"/>
        </w:rPr>
        <w:t>C.S.</w:t>
      </w:r>
      <w:r>
        <w:rPr>
          <w:sz w:val="26"/>
          <w:szCs w:val="20"/>
        </w:rPr>
        <w:t xml:space="preserve"> §</w:t>
      </w:r>
      <w:r w:rsidRPr="008217CA">
        <w:rPr>
          <w:sz w:val="26"/>
          <w:szCs w:val="20"/>
        </w:rPr>
        <w:t xml:space="preserve"> 102.</w:t>
      </w:r>
    </w:p>
  </w:footnote>
  <w:footnote w:id="8">
    <w:p w:rsidR="00BE33A8" w:rsidRPr="00DA15F6" w:rsidRDefault="00BE33A8" w:rsidP="00687BAF">
      <w:pPr>
        <w:pStyle w:val="FootnoteText"/>
        <w:rPr>
          <w:rFonts w:ascii="Times New Roman" w:hAnsi="Times New Roman"/>
        </w:rPr>
      </w:pPr>
      <w:r>
        <w:rPr>
          <w:rFonts w:ascii="Times New Roman" w:hAnsi="Times New Roman"/>
        </w:rPr>
        <w:tab/>
      </w:r>
      <w:r w:rsidRPr="00DA15F6">
        <w:rPr>
          <w:rStyle w:val="FootnoteReference"/>
          <w:rFonts w:ascii="Times New Roman" w:hAnsi="Times New Roman"/>
        </w:rPr>
        <w:footnoteRef/>
      </w:r>
      <w:r w:rsidRPr="00DA15F6">
        <w:rPr>
          <w:rFonts w:ascii="Times New Roman" w:hAnsi="Times New Roman"/>
        </w:rPr>
        <w:t xml:space="preserve"> </w:t>
      </w:r>
      <w:r>
        <w:rPr>
          <w:rFonts w:ascii="Times New Roman" w:hAnsi="Times New Roman"/>
        </w:rPr>
        <w:tab/>
        <w:t>“MVA” is apparent power expressed as Million Volt-Amps.</w:t>
      </w:r>
    </w:p>
  </w:footnote>
  <w:footnote w:id="9">
    <w:p w:rsidR="00C02037" w:rsidRPr="0035186D" w:rsidRDefault="00C02037" w:rsidP="00C02037">
      <w:pPr>
        <w:pStyle w:val="FootnoteText"/>
        <w:ind w:firstLine="720"/>
        <w:rPr>
          <w:rFonts w:ascii="Times New Roman" w:hAnsi="Times New Roman"/>
          <w:sz w:val="26"/>
          <w:szCs w:val="26"/>
        </w:rPr>
      </w:pPr>
      <w:r w:rsidRPr="0035186D">
        <w:rPr>
          <w:rStyle w:val="FootnoteReference"/>
          <w:rFonts w:ascii="Times New Roman" w:hAnsi="Times New Roman"/>
        </w:rPr>
        <w:footnoteRef/>
      </w:r>
      <w:r w:rsidRPr="0035186D">
        <w:rPr>
          <w:rFonts w:ascii="Times New Roman" w:hAnsi="Times New Roman"/>
          <w:sz w:val="26"/>
          <w:szCs w:val="26"/>
        </w:rPr>
        <w:t xml:space="preserve"> </w:t>
      </w:r>
      <w:r w:rsidRPr="0035186D">
        <w:rPr>
          <w:rFonts w:ascii="Times New Roman" w:hAnsi="Times New Roman"/>
          <w:sz w:val="26"/>
          <w:szCs w:val="26"/>
        </w:rPr>
        <w:tab/>
        <w:t xml:space="preserve">In addition to filing Exceptions, </w:t>
      </w:r>
      <w:r w:rsidR="00185E77">
        <w:rPr>
          <w:rFonts w:ascii="Times New Roman" w:hAnsi="Times New Roman"/>
          <w:sz w:val="26"/>
          <w:szCs w:val="26"/>
        </w:rPr>
        <w:t>o</w:t>
      </w:r>
      <w:r w:rsidR="0035186D">
        <w:rPr>
          <w:rFonts w:ascii="Times New Roman" w:hAnsi="Times New Roman"/>
          <w:sz w:val="26"/>
          <w:szCs w:val="26"/>
        </w:rPr>
        <w:t xml:space="preserve">n December </w:t>
      </w:r>
      <w:r w:rsidR="000F1E4E">
        <w:rPr>
          <w:rFonts w:ascii="Times New Roman" w:hAnsi="Times New Roman"/>
          <w:sz w:val="26"/>
          <w:szCs w:val="26"/>
        </w:rPr>
        <w:t xml:space="preserve">14, 2010, </w:t>
      </w:r>
      <w:r w:rsidRPr="0035186D">
        <w:rPr>
          <w:rFonts w:ascii="Times New Roman" w:hAnsi="Times New Roman"/>
          <w:sz w:val="26"/>
          <w:szCs w:val="26"/>
        </w:rPr>
        <w:t xml:space="preserve">Mr. Scheller filed a copy of a newspaper article concerning </w:t>
      </w:r>
      <w:r w:rsidR="000F1E4E">
        <w:rPr>
          <w:rFonts w:ascii="Times New Roman" w:hAnsi="Times New Roman"/>
          <w:sz w:val="26"/>
          <w:szCs w:val="26"/>
        </w:rPr>
        <w:t>a solar farm, which he suggested is an alternative to the Effort Mountain No. 1 and No. 2 138 kV Taps project.  Considering that we will dismiss Mr. Scheller’s Exceptions, there is no need to discuss this filing further.</w:t>
      </w:r>
    </w:p>
  </w:footnote>
  <w:footnote w:id="10">
    <w:p w:rsidR="00BE33A8" w:rsidRPr="00AE50FF" w:rsidRDefault="00BE33A8">
      <w:pPr>
        <w:pStyle w:val="FootnoteText"/>
        <w:rPr>
          <w:rFonts w:ascii="Times New Roman" w:hAnsi="Times New Roman"/>
          <w:sz w:val="26"/>
          <w:szCs w:val="26"/>
        </w:rPr>
      </w:pPr>
      <w:r w:rsidRPr="00AE50FF">
        <w:rPr>
          <w:rFonts w:ascii="Times New Roman" w:hAnsi="Times New Roman"/>
          <w:sz w:val="26"/>
          <w:szCs w:val="26"/>
        </w:rPr>
        <w:tab/>
      </w:r>
      <w:r w:rsidRPr="00AE50FF">
        <w:rPr>
          <w:rStyle w:val="FootnoteReference"/>
          <w:rFonts w:ascii="Times New Roman" w:hAnsi="Times New Roman"/>
        </w:rPr>
        <w:footnoteRef/>
      </w:r>
      <w:r w:rsidRPr="00AE50FF">
        <w:rPr>
          <w:rFonts w:ascii="Times New Roman" w:hAnsi="Times New Roman"/>
          <w:sz w:val="26"/>
          <w:szCs w:val="26"/>
        </w:rPr>
        <w:tab/>
        <w:t>We note that</w:t>
      </w:r>
      <w:r w:rsidR="00185E77">
        <w:rPr>
          <w:rFonts w:ascii="Times New Roman" w:hAnsi="Times New Roman"/>
          <w:sz w:val="26"/>
          <w:szCs w:val="26"/>
        </w:rPr>
        <w:t>,</w:t>
      </w:r>
      <w:r w:rsidRPr="00AE50FF">
        <w:rPr>
          <w:rFonts w:ascii="Times New Roman" w:hAnsi="Times New Roman"/>
          <w:sz w:val="26"/>
          <w:szCs w:val="26"/>
        </w:rPr>
        <w:t xml:space="preserve"> in her Exceptions, Ms. Hart provides a lengthy discussion regarding early attempts to secure representation</w:t>
      </w:r>
      <w:r>
        <w:rPr>
          <w:rFonts w:ascii="Times New Roman" w:hAnsi="Times New Roman"/>
          <w:sz w:val="26"/>
          <w:szCs w:val="26"/>
        </w:rPr>
        <w:t xml:space="preserve">, alleged discussions with Commission personnel regarding procedure and concerns relating to the lack of public input hearings.  Hart Exc. at 2-6.  As pointed out by PPL in its Reply Exceptions, none of these points are based upon record evidence and constitute new evidence not properly raised at the exception stage.  PPL R.Exc. at 11-12.  The record clearly shows that Ms. Hart received all required notices regarding the pre-hearing conference and the evidentiary hearings.  The notice of the pre-hearing conference apprised all Parties of the ALJ’s expectations with regard to matters which would addressed at that conference.  PPL is correct that these particular assertions constitute new evidence and arguments not previously submitted and are improperly raised at the exceptions stage.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04FE"/>
    <w:rsid w:val="000004FF"/>
    <w:rsid w:val="00001139"/>
    <w:rsid w:val="00001267"/>
    <w:rsid w:val="00002F2A"/>
    <w:rsid w:val="000063E9"/>
    <w:rsid w:val="000074DC"/>
    <w:rsid w:val="00010322"/>
    <w:rsid w:val="0001099D"/>
    <w:rsid w:val="0001411C"/>
    <w:rsid w:val="000148F5"/>
    <w:rsid w:val="00015969"/>
    <w:rsid w:val="00015A01"/>
    <w:rsid w:val="00016CE0"/>
    <w:rsid w:val="00017033"/>
    <w:rsid w:val="000208F1"/>
    <w:rsid w:val="00020E43"/>
    <w:rsid w:val="00020F8F"/>
    <w:rsid w:val="00023351"/>
    <w:rsid w:val="00024002"/>
    <w:rsid w:val="00024060"/>
    <w:rsid w:val="00024987"/>
    <w:rsid w:val="00024DD1"/>
    <w:rsid w:val="00025686"/>
    <w:rsid w:val="0002585B"/>
    <w:rsid w:val="00025B28"/>
    <w:rsid w:val="00026018"/>
    <w:rsid w:val="000261D5"/>
    <w:rsid w:val="00026701"/>
    <w:rsid w:val="00026E4B"/>
    <w:rsid w:val="0002723A"/>
    <w:rsid w:val="0002744F"/>
    <w:rsid w:val="000310BE"/>
    <w:rsid w:val="00031E93"/>
    <w:rsid w:val="0003479F"/>
    <w:rsid w:val="000378DC"/>
    <w:rsid w:val="000405AC"/>
    <w:rsid w:val="00041B3F"/>
    <w:rsid w:val="0004437C"/>
    <w:rsid w:val="00047AB9"/>
    <w:rsid w:val="000502A4"/>
    <w:rsid w:val="000510D0"/>
    <w:rsid w:val="000510FD"/>
    <w:rsid w:val="00051CEA"/>
    <w:rsid w:val="00053CED"/>
    <w:rsid w:val="0005544D"/>
    <w:rsid w:val="00057057"/>
    <w:rsid w:val="000610F9"/>
    <w:rsid w:val="00061850"/>
    <w:rsid w:val="000629CD"/>
    <w:rsid w:val="000634BD"/>
    <w:rsid w:val="00065827"/>
    <w:rsid w:val="0006585E"/>
    <w:rsid w:val="00065DB6"/>
    <w:rsid w:val="00067181"/>
    <w:rsid w:val="000673D1"/>
    <w:rsid w:val="00070FF8"/>
    <w:rsid w:val="00070FFD"/>
    <w:rsid w:val="00072883"/>
    <w:rsid w:val="00073515"/>
    <w:rsid w:val="00073C25"/>
    <w:rsid w:val="00075161"/>
    <w:rsid w:val="00076E28"/>
    <w:rsid w:val="00080BE7"/>
    <w:rsid w:val="00082D11"/>
    <w:rsid w:val="000830C7"/>
    <w:rsid w:val="0008328F"/>
    <w:rsid w:val="0008445E"/>
    <w:rsid w:val="00085FFB"/>
    <w:rsid w:val="00086411"/>
    <w:rsid w:val="00086D0B"/>
    <w:rsid w:val="0008768F"/>
    <w:rsid w:val="00087D18"/>
    <w:rsid w:val="00091A97"/>
    <w:rsid w:val="00092ABD"/>
    <w:rsid w:val="00092F98"/>
    <w:rsid w:val="0009319F"/>
    <w:rsid w:val="00096187"/>
    <w:rsid w:val="000966DC"/>
    <w:rsid w:val="0009781B"/>
    <w:rsid w:val="000A1593"/>
    <w:rsid w:val="000A2F11"/>
    <w:rsid w:val="000A3417"/>
    <w:rsid w:val="000A35F4"/>
    <w:rsid w:val="000A770A"/>
    <w:rsid w:val="000A7F96"/>
    <w:rsid w:val="000B2B80"/>
    <w:rsid w:val="000B3FB4"/>
    <w:rsid w:val="000B432E"/>
    <w:rsid w:val="000B4F29"/>
    <w:rsid w:val="000B5487"/>
    <w:rsid w:val="000B5DF8"/>
    <w:rsid w:val="000B63A8"/>
    <w:rsid w:val="000C2A2F"/>
    <w:rsid w:val="000C51BF"/>
    <w:rsid w:val="000C742F"/>
    <w:rsid w:val="000D0D75"/>
    <w:rsid w:val="000D1A34"/>
    <w:rsid w:val="000D3EF6"/>
    <w:rsid w:val="000D55EA"/>
    <w:rsid w:val="000D74C4"/>
    <w:rsid w:val="000E0050"/>
    <w:rsid w:val="000E2985"/>
    <w:rsid w:val="000E3108"/>
    <w:rsid w:val="000E3FDA"/>
    <w:rsid w:val="000E4BED"/>
    <w:rsid w:val="000E7556"/>
    <w:rsid w:val="000F1E4E"/>
    <w:rsid w:val="000F2540"/>
    <w:rsid w:val="000F292B"/>
    <w:rsid w:val="000F34FC"/>
    <w:rsid w:val="000F3505"/>
    <w:rsid w:val="000F4144"/>
    <w:rsid w:val="000F6D5A"/>
    <w:rsid w:val="000F748E"/>
    <w:rsid w:val="0010013C"/>
    <w:rsid w:val="001006F0"/>
    <w:rsid w:val="00100BF3"/>
    <w:rsid w:val="00101745"/>
    <w:rsid w:val="00103A52"/>
    <w:rsid w:val="00105084"/>
    <w:rsid w:val="00105104"/>
    <w:rsid w:val="00105193"/>
    <w:rsid w:val="00106537"/>
    <w:rsid w:val="0011244B"/>
    <w:rsid w:val="001124A2"/>
    <w:rsid w:val="00112861"/>
    <w:rsid w:val="001146C7"/>
    <w:rsid w:val="00114D80"/>
    <w:rsid w:val="00115FD9"/>
    <w:rsid w:val="00116D79"/>
    <w:rsid w:val="00120A27"/>
    <w:rsid w:val="001233E3"/>
    <w:rsid w:val="00123E53"/>
    <w:rsid w:val="001245BF"/>
    <w:rsid w:val="00124A50"/>
    <w:rsid w:val="0012697D"/>
    <w:rsid w:val="00127965"/>
    <w:rsid w:val="00127C7C"/>
    <w:rsid w:val="00131B43"/>
    <w:rsid w:val="00132429"/>
    <w:rsid w:val="00133878"/>
    <w:rsid w:val="00137A60"/>
    <w:rsid w:val="00137E7E"/>
    <w:rsid w:val="00140313"/>
    <w:rsid w:val="00140CD4"/>
    <w:rsid w:val="00141882"/>
    <w:rsid w:val="00141DF0"/>
    <w:rsid w:val="0014205C"/>
    <w:rsid w:val="00143689"/>
    <w:rsid w:val="00143F43"/>
    <w:rsid w:val="00144166"/>
    <w:rsid w:val="00147415"/>
    <w:rsid w:val="00147F0B"/>
    <w:rsid w:val="00150989"/>
    <w:rsid w:val="00152303"/>
    <w:rsid w:val="0015662E"/>
    <w:rsid w:val="001572C5"/>
    <w:rsid w:val="0016005F"/>
    <w:rsid w:val="001606BC"/>
    <w:rsid w:val="00161FCC"/>
    <w:rsid w:val="00163AA3"/>
    <w:rsid w:val="001646C7"/>
    <w:rsid w:val="00164715"/>
    <w:rsid w:val="00164C98"/>
    <w:rsid w:val="001679F1"/>
    <w:rsid w:val="001701B3"/>
    <w:rsid w:val="001718CA"/>
    <w:rsid w:val="001764A3"/>
    <w:rsid w:val="00177A43"/>
    <w:rsid w:val="001811B8"/>
    <w:rsid w:val="001827DB"/>
    <w:rsid w:val="00183B60"/>
    <w:rsid w:val="00183D96"/>
    <w:rsid w:val="00185B5E"/>
    <w:rsid w:val="00185E77"/>
    <w:rsid w:val="00186887"/>
    <w:rsid w:val="00187782"/>
    <w:rsid w:val="0019214E"/>
    <w:rsid w:val="00192AFB"/>
    <w:rsid w:val="0019318F"/>
    <w:rsid w:val="00193EF0"/>
    <w:rsid w:val="001967CA"/>
    <w:rsid w:val="00196D61"/>
    <w:rsid w:val="00197920"/>
    <w:rsid w:val="00197C2F"/>
    <w:rsid w:val="00197F3D"/>
    <w:rsid w:val="001A0516"/>
    <w:rsid w:val="001A1AD3"/>
    <w:rsid w:val="001A4A0C"/>
    <w:rsid w:val="001A4D90"/>
    <w:rsid w:val="001A5756"/>
    <w:rsid w:val="001A75AA"/>
    <w:rsid w:val="001B0B36"/>
    <w:rsid w:val="001B2E4F"/>
    <w:rsid w:val="001B423C"/>
    <w:rsid w:val="001B7A05"/>
    <w:rsid w:val="001C0F64"/>
    <w:rsid w:val="001C35D3"/>
    <w:rsid w:val="001C3942"/>
    <w:rsid w:val="001C53B1"/>
    <w:rsid w:val="001C7E91"/>
    <w:rsid w:val="001C7F88"/>
    <w:rsid w:val="001D01F1"/>
    <w:rsid w:val="001D02A2"/>
    <w:rsid w:val="001D16DA"/>
    <w:rsid w:val="001D2979"/>
    <w:rsid w:val="001D2BAD"/>
    <w:rsid w:val="001D491F"/>
    <w:rsid w:val="001D70A6"/>
    <w:rsid w:val="001D7137"/>
    <w:rsid w:val="001E0039"/>
    <w:rsid w:val="001E05C6"/>
    <w:rsid w:val="001E0B29"/>
    <w:rsid w:val="001E0D4B"/>
    <w:rsid w:val="001E19BC"/>
    <w:rsid w:val="001E2C3E"/>
    <w:rsid w:val="001E2CFB"/>
    <w:rsid w:val="001E2FEE"/>
    <w:rsid w:val="001E3574"/>
    <w:rsid w:val="001E4181"/>
    <w:rsid w:val="001E4225"/>
    <w:rsid w:val="001E4A7C"/>
    <w:rsid w:val="001E6158"/>
    <w:rsid w:val="001E777F"/>
    <w:rsid w:val="001F0488"/>
    <w:rsid w:val="001F3675"/>
    <w:rsid w:val="001F55D5"/>
    <w:rsid w:val="001F5B0F"/>
    <w:rsid w:val="001F75D6"/>
    <w:rsid w:val="001F79C6"/>
    <w:rsid w:val="001F7B55"/>
    <w:rsid w:val="001F7CDD"/>
    <w:rsid w:val="00203F27"/>
    <w:rsid w:val="00205242"/>
    <w:rsid w:val="00205A24"/>
    <w:rsid w:val="00206877"/>
    <w:rsid w:val="00206D03"/>
    <w:rsid w:val="00207453"/>
    <w:rsid w:val="00210868"/>
    <w:rsid w:val="002133B2"/>
    <w:rsid w:val="00213B95"/>
    <w:rsid w:val="00217C4E"/>
    <w:rsid w:val="002242F7"/>
    <w:rsid w:val="00225A51"/>
    <w:rsid w:val="00225BD2"/>
    <w:rsid w:val="00230396"/>
    <w:rsid w:val="0023097E"/>
    <w:rsid w:val="00230BAB"/>
    <w:rsid w:val="00231D02"/>
    <w:rsid w:val="002326E8"/>
    <w:rsid w:val="00232A03"/>
    <w:rsid w:val="00234F92"/>
    <w:rsid w:val="0023535F"/>
    <w:rsid w:val="00237A2B"/>
    <w:rsid w:val="00237CE3"/>
    <w:rsid w:val="002431F5"/>
    <w:rsid w:val="00243CC9"/>
    <w:rsid w:val="00244FE0"/>
    <w:rsid w:val="002450F3"/>
    <w:rsid w:val="00246294"/>
    <w:rsid w:val="002469C9"/>
    <w:rsid w:val="00247332"/>
    <w:rsid w:val="00247E09"/>
    <w:rsid w:val="00252313"/>
    <w:rsid w:val="00252D00"/>
    <w:rsid w:val="00253CC7"/>
    <w:rsid w:val="0025590A"/>
    <w:rsid w:val="0025592A"/>
    <w:rsid w:val="00255C41"/>
    <w:rsid w:val="002564D7"/>
    <w:rsid w:val="00256A4C"/>
    <w:rsid w:val="0025718D"/>
    <w:rsid w:val="002572E5"/>
    <w:rsid w:val="002631AF"/>
    <w:rsid w:val="00264ABB"/>
    <w:rsid w:val="002652DF"/>
    <w:rsid w:val="00265BD8"/>
    <w:rsid w:val="00267322"/>
    <w:rsid w:val="002723CB"/>
    <w:rsid w:val="002724ED"/>
    <w:rsid w:val="00273450"/>
    <w:rsid w:val="00274EC0"/>
    <w:rsid w:val="002770D8"/>
    <w:rsid w:val="0028157C"/>
    <w:rsid w:val="00282019"/>
    <w:rsid w:val="002838E3"/>
    <w:rsid w:val="002848FD"/>
    <w:rsid w:val="002854BF"/>
    <w:rsid w:val="002857A6"/>
    <w:rsid w:val="0028580D"/>
    <w:rsid w:val="00285856"/>
    <w:rsid w:val="00286AFA"/>
    <w:rsid w:val="00287BE6"/>
    <w:rsid w:val="002919FB"/>
    <w:rsid w:val="002945D5"/>
    <w:rsid w:val="00296493"/>
    <w:rsid w:val="00296C5D"/>
    <w:rsid w:val="002A0E82"/>
    <w:rsid w:val="002A3A6E"/>
    <w:rsid w:val="002A3AC8"/>
    <w:rsid w:val="002A5399"/>
    <w:rsid w:val="002A740E"/>
    <w:rsid w:val="002B0089"/>
    <w:rsid w:val="002B2D9D"/>
    <w:rsid w:val="002B31AD"/>
    <w:rsid w:val="002B3767"/>
    <w:rsid w:val="002B3E0D"/>
    <w:rsid w:val="002B48F3"/>
    <w:rsid w:val="002B4B0D"/>
    <w:rsid w:val="002B61D4"/>
    <w:rsid w:val="002C011D"/>
    <w:rsid w:val="002C0765"/>
    <w:rsid w:val="002C2F02"/>
    <w:rsid w:val="002C4311"/>
    <w:rsid w:val="002C5A11"/>
    <w:rsid w:val="002D08E2"/>
    <w:rsid w:val="002D0BD9"/>
    <w:rsid w:val="002D0C4F"/>
    <w:rsid w:val="002D33E8"/>
    <w:rsid w:val="002D4BD0"/>
    <w:rsid w:val="002D5216"/>
    <w:rsid w:val="002D547E"/>
    <w:rsid w:val="002D5C5B"/>
    <w:rsid w:val="002D650D"/>
    <w:rsid w:val="002D677B"/>
    <w:rsid w:val="002D7A91"/>
    <w:rsid w:val="002E00A3"/>
    <w:rsid w:val="002E0503"/>
    <w:rsid w:val="002E475A"/>
    <w:rsid w:val="002E4908"/>
    <w:rsid w:val="002E6F2D"/>
    <w:rsid w:val="002F0238"/>
    <w:rsid w:val="002F3B92"/>
    <w:rsid w:val="002F4D5E"/>
    <w:rsid w:val="002F6563"/>
    <w:rsid w:val="00301857"/>
    <w:rsid w:val="00303915"/>
    <w:rsid w:val="00303B6A"/>
    <w:rsid w:val="00304ABF"/>
    <w:rsid w:val="00304E5F"/>
    <w:rsid w:val="00305383"/>
    <w:rsid w:val="0030541E"/>
    <w:rsid w:val="003054A6"/>
    <w:rsid w:val="00305684"/>
    <w:rsid w:val="00306216"/>
    <w:rsid w:val="00306411"/>
    <w:rsid w:val="0030678F"/>
    <w:rsid w:val="003074B0"/>
    <w:rsid w:val="003077A3"/>
    <w:rsid w:val="00307B01"/>
    <w:rsid w:val="00310CE1"/>
    <w:rsid w:val="0031278E"/>
    <w:rsid w:val="00316BFA"/>
    <w:rsid w:val="0031729F"/>
    <w:rsid w:val="00321B87"/>
    <w:rsid w:val="00322A65"/>
    <w:rsid w:val="0032388C"/>
    <w:rsid w:val="00324791"/>
    <w:rsid w:val="00324B2C"/>
    <w:rsid w:val="00324E5B"/>
    <w:rsid w:val="00325440"/>
    <w:rsid w:val="0032579A"/>
    <w:rsid w:val="0032615A"/>
    <w:rsid w:val="00326A17"/>
    <w:rsid w:val="00330392"/>
    <w:rsid w:val="00333DFA"/>
    <w:rsid w:val="003349B1"/>
    <w:rsid w:val="003377BC"/>
    <w:rsid w:val="00337DFD"/>
    <w:rsid w:val="003408BA"/>
    <w:rsid w:val="00341748"/>
    <w:rsid w:val="00344581"/>
    <w:rsid w:val="0034532C"/>
    <w:rsid w:val="0034562E"/>
    <w:rsid w:val="003459E2"/>
    <w:rsid w:val="00345EF7"/>
    <w:rsid w:val="00350131"/>
    <w:rsid w:val="00350442"/>
    <w:rsid w:val="0035186D"/>
    <w:rsid w:val="00352BC7"/>
    <w:rsid w:val="00353BBC"/>
    <w:rsid w:val="0035474E"/>
    <w:rsid w:val="00354DCC"/>
    <w:rsid w:val="00354EEE"/>
    <w:rsid w:val="00357B6E"/>
    <w:rsid w:val="00360ED1"/>
    <w:rsid w:val="00361E1D"/>
    <w:rsid w:val="00362AC9"/>
    <w:rsid w:val="00362BA3"/>
    <w:rsid w:val="003669C8"/>
    <w:rsid w:val="00366C32"/>
    <w:rsid w:val="0037005D"/>
    <w:rsid w:val="00370193"/>
    <w:rsid w:val="003704B1"/>
    <w:rsid w:val="003708CD"/>
    <w:rsid w:val="00371138"/>
    <w:rsid w:val="00371228"/>
    <w:rsid w:val="003742CF"/>
    <w:rsid w:val="0037692B"/>
    <w:rsid w:val="00381C7A"/>
    <w:rsid w:val="003843B1"/>
    <w:rsid w:val="003871D3"/>
    <w:rsid w:val="00387A01"/>
    <w:rsid w:val="0039007A"/>
    <w:rsid w:val="00390FB3"/>
    <w:rsid w:val="00391B6F"/>
    <w:rsid w:val="00392B85"/>
    <w:rsid w:val="003943C4"/>
    <w:rsid w:val="00394491"/>
    <w:rsid w:val="00394901"/>
    <w:rsid w:val="003A252B"/>
    <w:rsid w:val="003A2FF8"/>
    <w:rsid w:val="003A35F0"/>
    <w:rsid w:val="003A364A"/>
    <w:rsid w:val="003A433F"/>
    <w:rsid w:val="003A50AE"/>
    <w:rsid w:val="003A52F0"/>
    <w:rsid w:val="003A5385"/>
    <w:rsid w:val="003A54C7"/>
    <w:rsid w:val="003A76DB"/>
    <w:rsid w:val="003B03A6"/>
    <w:rsid w:val="003B0FA5"/>
    <w:rsid w:val="003B2F87"/>
    <w:rsid w:val="003B3893"/>
    <w:rsid w:val="003B3CEA"/>
    <w:rsid w:val="003B3E5F"/>
    <w:rsid w:val="003B561F"/>
    <w:rsid w:val="003B6D2E"/>
    <w:rsid w:val="003B7738"/>
    <w:rsid w:val="003B7B99"/>
    <w:rsid w:val="003C042A"/>
    <w:rsid w:val="003C0F72"/>
    <w:rsid w:val="003C1B86"/>
    <w:rsid w:val="003C31AF"/>
    <w:rsid w:val="003C384E"/>
    <w:rsid w:val="003C4355"/>
    <w:rsid w:val="003C729B"/>
    <w:rsid w:val="003C7AAB"/>
    <w:rsid w:val="003D4638"/>
    <w:rsid w:val="003D6E02"/>
    <w:rsid w:val="003D70DF"/>
    <w:rsid w:val="003D7416"/>
    <w:rsid w:val="003D7B3D"/>
    <w:rsid w:val="003D7B97"/>
    <w:rsid w:val="003E07E5"/>
    <w:rsid w:val="003E0C89"/>
    <w:rsid w:val="003E22D4"/>
    <w:rsid w:val="003E2B94"/>
    <w:rsid w:val="003E33FC"/>
    <w:rsid w:val="003E3836"/>
    <w:rsid w:val="003E4CD9"/>
    <w:rsid w:val="003E73BC"/>
    <w:rsid w:val="003F07AF"/>
    <w:rsid w:val="003F1C7C"/>
    <w:rsid w:val="003F20D2"/>
    <w:rsid w:val="003F27D1"/>
    <w:rsid w:val="003F287E"/>
    <w:rsid w:val="003F3939"/>
    <w:rsid w:val="003F655A"/>
    <w:rsid w:val="003F70EA"/>
    <w:rsid w:val="003F7B3A"/>
    <w:rsid w:val="003F7E44"/>
    <w:rsid w:val="004023F4"/>
    <w:rsid w:val="00402479"/>
    <w:rsid w:val="0040281E"/>
    <w:rsid w:val="00406C01"/>
    <w:rsid w:val="00410766"/>
    <w:rsid w:val="00411FED"/>
    <w:rsid w:val="004140BA"/>
    <w:rsid w:val="004144EB"/>
    <w:rsid w:val="004144EE"/>
    <w:rsid w:val="004146BE"/>
    <w:rsid w:val="00414855"/>
    <w:rsid w:val="00415460"/>
    <w:rsid w:val="00415483"/>
    <w:rsid w:val="00415A5E"/>
    <w:rsid w:val="004169D5"/>
    <w:rsid w:val="00420902"/>
    <w:rsid w:val="004217B4"/>
    <w:rsid w:val="00421E3B"/>
    <w:rsid w:val="004246D3"/>
    <w:rsid w:val="00427697"/>
    <w:rsid w:val="00430570"/>
    <w:rsid w:val="00431621"/>
    <w:rsid w:val="00431F78"/>
    <w:rsid w:val="00432C2D"/>
    <w:rsid w:val="0043392B"/>
    <w:rsid w:val="00434CE9"/>
    <w:rsid w:val="00435582"/>
    <w:rsid w:val="004357EC"/>
    <w:rsid w:val="00437A0D"/>
    <w:rsid w:val="0044114D"/>
    <w:rsid w:val="004415D8"/>
    <w:rsid w:val="00441920"/>
    <w:rsid w:val="00442945"/>
    <w:rsid w:val="00445B96"/>
    <w:rsid w:val="0044707B"/>
    <w:rsid w:val="004470A5"/>
    <w:rsid w:val="00447374"/>
    <w:rsid w:val="0045114C"/>
    <w:rsid w:val="00452AE5"/>
    <w:rsid w:val="00455C99"/>
    <w:rsid w:val="004572B4"/>
    <w:rsid w:val="00457386"/>
    <w:rsid w:val="00461E0C"/>
    <w:rsid w:val="004622AF"/>
    <w:rsid w:val="004670BD"/>
    <w:rsid w:val="004715B6"/>
    <w:rsid w:val="0047307A"/>
    <w:rsid w:val="00473CA5"/>
    <w:rsid w:val="00473F27"/>
    <w:rsid w:val="00474F36"/>
    <w:rsid w:val="00474FC8"/>
    <w:rsid w:val="00475BF0"/>
    <w:rsid w:val="004761B9"/>
    <w:rsid w:val="00477363"/>
    <w:rsid w:val="004856F3"/>
    <w:rsid w:val="0048747D"/>
    <w:rsid w:val="00487688"/>
    <w:rsid w:val="00490417"/>
    <w:rsid w:val="0049096E"/>
    <w:rsid w:val="00492432"/>
    <w:rsid w:val="004938FA"/>
    <w:rsid w:val="004949D0"/>
    <w:rsid w:val="00496B38"/>
    <w:rsid w:val="0049771B"/>
    <w:rsid w:val="0049798B"/>
    <w:rsid w:val="00497BCA"/>
    <w:rsid w:val="004A0CC8"/>
    <w:rsid w:val="004A2A28"/>
    <w:rsid w:val="004A3500"/>
    <w:rsid w:val="004A41B7"/>
    <w:rsid w:val="004A5066"/>
    <w:rsid w:val="004A555B"/>
    <w:rsid w:val="004A572B"/>
    <w:rsid w:val="004A6496"/>
    <w:rsid w:val="004A6AA6"/>
    <w:rsid w:val="004A75A3"/>
    <w:rsid w:val="004A7831"/>
    <w:rsid w:val="004B0237"/>
    <w:rsid w:val="004B0C9B"/>
    <w:rsid w:val="004B14C4"/>
    <w:rsid w:val="004B30C3"/>
    <w:rsid w:val="004B5255"/>
    <w:rsid w:val="004B533D"/>
    <w:rsid w:val="004C0207"/>
    <w:rsid w:val="004C40E8"/>
    <w:rsid w:val="004C4F45"/>
    <w:rsid w:val="004C54A0"/>
    <w:rsid w:val="004C69A0"/>
    <w:rsid w:val="004C749A"/>
    <w:rsid w:val="004D08F5"/>
    <w:rsid w:val="004D10E7"/>
    <w:rsid w:val="004D1BE6"/>
    <w:rsid w:val="004D362A"/>
    <w:rsid w:val="004D4AAB"/>
    <w:rsid w:val="004D5A16"/>
    <w:rsid w:val="004D5B29"/>
    <w:rsid w:val="004D5E02"/>
    <w:rsid w:val="004D75D8"/>
    <w:rsid w:val="004D7F3B"/>
    <w:rsid w:val="004E05E7"/>
    <w:rsid w:val="004E27CC"/>
    <w:rsid w:val="004E2F35"/>
    <w:rsid w:val="004E3204"/>
    <w:rsid w:val="004E3FFF"/>
    <w:rsid w:val="004E58C3"/>
    <w:rsid w:val="004E61BF"/>
    <w:rsid w:val="004E6399"/>
    <w:rsid w:val="004E75A8"/>
    <w:rsid w:val="004E79BD"/>
    <w:rsid w:val="004F2383"/>
    <w:rsid w:val="004F4FE5"/>
    <w:rsid w:val="004F5854"/>
    <w:rsid w:val="00500D24"/>
    <w:rsid w:val="00500EDA"/>
    <w:rsid w:val="00502D50"/>
    <w:rsid w:val="00503A81"/>
    <w:rsid w:val="00503E65"/>
    <w:rsid w:val="00504D5D"/>
    <w:rsid w:val="005055F8"/>
    <w:rsid w:val="00505BA0"/>
    <w:rsid w:val="00505E50"/>
    <w:rsid w:val="00510147"/>
    <w:rsid w:val="00511418"/>
    <w:rsid w:val="00511BF3"/>
    <w:rsid w:val="00514988"/>
    <w:rsid w:val="00515110"/>
    <w:rsid w:val="005154BC"/>
    <w:rsid w:val="00517839"/>
    <w:rsid w:val="00520A20"/>
    <w:rsid w:val="00523193"/>
    <w:rsid w:val="00523347"/>
    <w:rsid w:val="00523D34"/>
    <w:rsid w:val="00524898"/>
    <w:rsid w:val="00525DBB"/>
    <w:rsid w:val="005262C2"/>
    <w:rsid w:val="00526AD5"/>
    <w:rsid w:val="00527A20"/>
    <w:rsid w:val="00530F5B"/>
    <w:rsid w:val="005310AE"/>
    <w:rsid w:val="005318B9"/>
    <w:rsid w:val="00531E07"/>
    <w:rsid w:val="0053205B"/>
    <w:rsid w:val="005320B6"/>
    <w:rsid w:val="005321F4"/>
    <w:rsid w:val="005332F5"/>
    <w:rsid w:val="00534A1D"/>
    <w:rsid w:val="00535439"/>
    <w:rsid w:val="00540F72"/>
    <w:rsid w:val="00542077"/>
    <w:rsid w:val="0054255F"/>
    <w:rsid w:val="00545FB5"/>
    <w:rsid w:val="00551BEE"/>
    <w:rsid w:val="00552D6D"/>
    <w:rsid w:val="00555069"/>
    <w:rsid w:val="00555CA0"/>
    <w:rsid w:val="005579FF"/>
    <w:rsid w:val="00560E96"/>
    <w:rsid w:val="005611CD"/>
    <w:rsid w:val="005644F4"/>
    <w:rsid w:val="0056564F"/>
    <w:rsid w:val="005663B7"/>
    <w:rsid w:val="005673FC"/>
    <w:rsid w:val="00571BB2"/>
    <w:rsid w:val="00575664"/>
    <w:rsid w:val="00576F27"/>
    <w:rsid w:val="005774D8"/>
    <w:rsid w:val="005856F2"/>
    <w:rsid w:val="005859D9"/>
    <w:rsid w:val="0058671F"/>
    <w:rsid w:val="00586DBE"/>
    <w:rsid w:val="00587811"/>
    <w:rsid w:val="00590A8E"/>
    <w:rsid w:val="00590E23"/>
    <w:rsid w:val="005921ED"/>
    <w:rsid w:val="00592CAB"/>
    <w:rsid w:val="00593628"/>
    <w:rsid w:val="00594275"/>
    <w:rsid w:val="0059500A"/>
    <w:rsid w:val="0059788B"/>
    <w:rsid w:val="005A08BE"/>
    <w:rsid w:val="005A18EE"/>
    <w:rsid w:val="005A199F"/>
    <w:rsid w:val="005A1D87"/>
    <w:rsid w:val="005A4358"/>
    <w:rsid w:val="005A5F10"/>
    <w:rsid w:val="005A6378"/>
    <w:rsid w:val="005A6875"/>
    <w:rsid w:val="005A69E2"/>
    <w:rsid w:val="005A6ED0"/>
    <w:rsid w:val="005A7032"/>
    <w:rsid w:val="005B01F2"/>
    <w:rsid w:val="005B5378"/>
    <w:rsid w:val="005B5F54"/>
    <w:rsid w:val="005C0131"/>
    <w:rsid w:val="005C14B5"/>
    <w:rsid w:val="005C5410"/>
    <w:rsid w:val="005D090E"/>
    <w:rsid w:val="005D3738"/>
    <w:rsid w:val="005D40C7"/>
    <w:rsid w:val="005D4382"/>
    <w:rsid w:val="005D44F8"/>
    <w:rsid w:val="005D5B48"/>
    <w:rsid w:val="005D60FF"/>
    <w:rsid w:val="005D6922"/>
    <w:rsid w:val="005D75C3"/>
    <w:rsid w:val="005D765E"/>
    <w:rsid w:val="005D7948"/>
    <w:rsid w:val="005E0C51"/>
    <w:rsid w:val="005E1993"/>
    <w:rsid w:val="005E56CB"/>
    <w:rsid w:val="005E6386"/>
    <w:rsid w:val="005F10BC"/>
    <w:rsid w:val="005F178B"/>
    <w:rsid w:val="005F1F4C"/>
    <w:rsid w:val="005F2E90"/>
    <w:rsid w:val="005F4A9E"/>
    <w:rsid w:val="005F4C5B"/>
    <w:rsid w:val="005F5031"/>
    <w:rsid w:val="005F5398"/>
    <w:rsid w:val="005F5A31"/>
    <w:rsid w:val="005F6740"/>
    <w:rsid w:val="005F7940"/>
    <w:rsid w:val="006000EA"/>
    <w:rsid w:val="00600271"/>
    <w:rsid w:val="006015C3"/>
    <w:rsid w:val="0060192A"/>
    <w:rsid w:val="00604B46"/>
    <w:rsid w:val="006072C6"/>
    <w:rsid w:val="00607554"/>
    <w:rsid w:val="00607CD1"/>
    <w:rsid w:val="00611C49"/>
    <w:rsid w:val="006130F6"/>
    <w:rsid w:val="00613C23"/>
    <w:rsid w:val="006158BA"/>
    <w:rsid w:val="00617175"/>
    <w:rsid w:val="006172CD"/>
    <w:rsid w:val="006216D9"/>
    <w:rsid w:val="00621F3C"/>
    <w:rsid w:val="00622BA1"/>
    <w:rsid w:val="00623094"/>
    <w:rsid w:val="00623C44"/>
    <w:rsid w:val="0062480D"/>
    <w:rsid w:val="00625C7F"/>
    <w:rsid w:val="0062742E"/>
    <w:rsid w:val="006301EB"/>
    <w:rsid w:val="00630C3B"/>
    <w:rsid w:val="00631505"/>
    <w:rsid w:val="00631978"/>
    <w:rsid w:val="006327F5"/>
    <w:rsid w:val="0063491D"/>
    <w:rsid w:val="006368C7"/>
    <w:rsid w:val="00640D08"/>
    <w:rsid w:val="00640EBA"/>
    <w:rsid w:val="006425C8"/>
    <w:rsid w:val="00642706"/>
    <w:rsid w:val="00642A13"/>
    <w:rsid w:val="00642A8F"/>
    <w:rsid w:val="006437DA"/>
    <w:rsid w:val="00643ECB"/>
    <w:rsid w:val="0064401B"/>
    <w:rsid w:val="0064422C"/>
    <w:rsid w:val="00644DE1"/>
    <w:rsid w:val="00645170"/>
    <w:rsid w:val="00645391"/>
    <w:rsid w:val="0064584C"/>
    <w:rsid w:val="00646B81"/>
    <w:rsid w:val="00647EAD"/>
    <w:rsid w:val="0065242B"/>
    <w:rsid w:val="00652638"/>
    <w:rsid w:val="0065458B"/>
    <w:rsid w:val="00654A2F"/>
    <w:rsid w:val="00655AC4"/>
    <w:rsid w:val="0065707C"/>
    <w:rsid w:val="0065713A"/>
    <w:rsid w:val="00660C81"/>
    <w:rsid w:val="00662E16"/>
    <w:rsid w:val="00662E83"/>
    <w:rsid w:val="00663E95"/>
    <w:rsid w:val="00664F45"/>
    <w:rsid w:val="006665B9"/>
    <w:rsid w:val="00666BF3"/>
    <w:rsid w:val="00667CED"/>
    <w:rsid w:val="006706A5"/>
    <w:rsid w:val="006709E7"/>
    <w:rsid w:val="0067116A"/>
    <w:rsid w:val="00671D61"/>
    <w:rsid w:val="00672851"/>
    <w:rsid w:val="00673B03"/>
    <w:rsid w:val="0067608D"/>
    <w:rsid w:val="00680324"/>
    <w:rsid w:val="006811E0"/>
    <w:rsid w:val="0068197D"/>
    <w:rsid w:val="0068375B"/>
    <w:rsid w:val="00685438"/>
    <w:rsid w:val="00685C47"/>
    <w:rsid w:val="00686195"/>
    <w:rsid w:val="00686442"/>
    <w:rsid w:val="00686FE9"/>
    <w:rsid w:val="0068734F"/>
    <w:rsid w:val="006873CB"/>
    <w:rsid w:val="006878D9"/>
    <w:rsid w:val="00687BAF"/>
    <w:rsid w:val="00690B33"/>
    <w:rsid w:val="00690F25"/>
    <w:rsid w:val="0069224D"/>
    <w:rsid w:val="00693910"/>
    <w:rsid w:val="00694B21"/>
    <w:rsid w:val="00695654"/>
    <w:rsid w:val="006963AB"/>
    <w:rsid w:val="006A0550"/>
    <w:rsid w:val="006A0B82"/>
    <w:rsid w:val="006A29BE"/>
    <w:rsid w:val="006A780B"/>
    <w:rsid w:val="006B0A91"/>
    <w:rsid w:val="006B1632"/>
    <w:rsid w:val="006B247F"/>
    <w:rsid w:val="006B460D"/>
    <w:rsid w:val="006B4D18"/>
    <w:rsid w:val="006B745A"/>
    <w:rsid w:val="006C11F4"/>
    <w:rsid w:val="006C41A3"/>
    <w:rsid w:val="006C56A5"/>
    <w:rsid w:val="006C5BFF"/>
    <w:rsid w:val="006C5D46"/>
    <w:rsid w:val="006C5DAF"/>
    <w:rsid w:val="006D0207"/>
    <w:rsid w:val="006D04EE"/>
    <w:rsid w:val="006D3169"/>
    <w:rsid w:val="006D6913"/>
    <w:rsid w:val="006D6E56"/>
    <w:rsid w:val="006D7922"/>
    <w:rsid w:val="006E02F5"/>
    <w:rsid w:val="006E0ACD"/>
    <w:rsid w:val="006E0E1A"/>
    <w:rsid w:val="006E14B3"/>
    <w:rsid w:val="006E270D"/>
    <w:rsid w:val="006E3777"/>
    <w:rsid w:val="006E431C"/>
    <w:rsid w:val="006E50F1"/>
    <w:rsid w:val="006F32C7"/>
    <w:rsid w:val="006F381F"/>
    <w:rsid w:val="006F4482"/>
    <w:rsid w:val="006F4DB9"/>
    <w:rsid w:val="006F68A2"/>
    <w:rsid w:val="00700664"/>
    <w:rsid w:val="00700BEC"/>
    <w:rsid w:val="00701FAC"/>
    <w:rsid w:val="00702EF7"/>
    <w:rsid w:val="00703DA2"/>
    <w:rsid w:val="00704A66"/>
    <w:rsid w:val="007078B7"/>
    <w:rsid w:val="00710EAE"/>
    <w:rsid w:val="007132B5"/>
    <w:rsid w:val="00715D19"/>
    <w:rsid w:val="0071619B"/>
    <w:rsid w:val="00716DBB"/>
    <w:rsid w:val="00717887"/>
    <w:rsid w:val="00717AA6"/>
    <w:rsid w:val="00720B78"/>
    <w:rsid w:val="00721CAB"/>
    <w:rsid w:val="0072235F"/>
    <w:rsid w:val="00722CE9"/>
    <w:rsid w:val="0072487D"/>
    <w:rsid w:val="00730042"/>
    <w:rsid w:val="0073142B"/>
    <w:rsid w:val="00733D05"/>
    <w:rsid w:val="00735260"/>
    <w:rsid w:val="00737F05"/>
    <w:rsid w:val="007431F5"/>
    <w:rsid w:val="00745908"/>
    <w:rsid w:val="007475CC"/>
    <w:rsid w:val="007477F4"/>
    <w:rsid w:val="0075055B"/>
    <w:rsid w:val="0075282E"/>
    <w:rsid w:val="00752F02"/>
    <w:rsid w:val="00754AB5"/>
    <w:rsid w:val="0075617D"/>
    <w:rsid w:val="00756930"/>
    <w:rsid w:val="00756F1C"/>
    <w:rsid w:val="00757C4B"/>
    <w:rsid w:val="00761B0B"/>
    <w:rsid w:val="007631E0"/>
    <w:rsid w:val="00764153"/>
    <w:rsid w:val="00765781"/>
    <w:rsid w:val="00766353"/>
    <w:rsid w:val="00772EB2"/>
    <w:rsid w:val="00774681"/>
    <w:rsid w:val="00775CAC"/>
    <w:rsid w:val="00777194"/>
    <w:rsid w:val="00780296"/>
    <w:rsid w:val="0078063B"/>
    <w:rsid w:val="00780972"/>
    <w:rsid w:val="00781D9D"/>
    <w:rsid w:val="007873C3"/>
    <w:rsid w:val="00787B2C"/>
    <w:rsid w:val="00787D24"/>
    <w:rsid w:val="00790783"/>
    <w:rsid w:val="00791813"/>
    <w:rsid w:val="00793F15"/>
    <w:rsid w:val="00794DE7"/>
    <w:rsid w:val="007953FB"/>
    <w:rsid w:val="007A1D8B"/>
    <w:rsid w:val="007A1DC5"/>
    <w:rsid w:val="007A20AD"/>
    <w:rsid w:val="007A5D05"/>
    <w:rsid w:val="007A7331"/>
    <w:rsid w:val="007A7415"/>
    <w:rsid w:val="007B0CB0"/>
    <w:rsid w:val="007B3A86"/>
    <w:rsid w:val="007B3DF4"/>
    <w:rsid w:val="007B4823"/>
    <w:rsid w:val="007B520A"/>
    <w:rsid w:val="007B54ED"/>
    <w:rsid w:val="007C0279"/>
    <w:rsid w:val="007C2DE4"/>
    <w:rsid w:val="007C31CC"/>
    <w:rsid w:val="007C37F1"/>
    <w:rsid w:val="007C3E46"/>
    <w:rsid w:val="007C5B2A"/>
    <w:rsid w:val="007C6456"/>
    <w:rsid w:val="007D0023"/>
    <w:rsid w:val="007D0E00"/>
    <w:rsid w:val="007D1913"/>
    <w:rsid w:val="007D298C"/>
    <w:rsid w:val="007D3420"/>
    <w:rsid w:val="007D5362"/>
    <w:rsid w:val="007D6C48"/>
    <w:rsid w:val="007D71F7"/>
    <w:rsid w:val="007D71FA"/>
    <w:rsid w:val="007E000F"/>
    <w:rsid w:val="007E156E"/>
    <w:rsid w:val="007E15F5"/>
    <w:rsid w:val="007E2C46"/>
    <w:rsid w:val="007E2E70"/>
    <w:rsid w:val="007E3501"/>
    <w:rsid w:val="007E3BBC"/>
    <w:rsid w:val="007E3FB2"/>
    <w:rsid w:val="007E6057"/>
    <w:rsid w:val="007E7953"/>
    <w:rsid w:val="007F1ABF"/>
    <w:rsid w:val="007F2956"/>
    <w:rsid w:val="007F2CB5"/>
    <w:rsid w:val="007F2E32"/>
    <w:rsid w:val="007F682E"/>
    <w:rsid w:val="007F6A11"/>
    <w:rsid w:val="007F74EC"/>
    <w:rsid w:val="008002AA"/>
    <w:rsid w:val="00802783"/>
    <w:rsid w:val="008044BF"/>
    <w:rsid w:val="00810DDB"/>
    <w:rsid w:val="00814E45"/>
    <w:rsid w:val="008217CA"/>
    <w:rsid w:val="00823AF1"/>
    <w:rsid w:val="00824CEF"/>
    <w:rsid w:val="00826480"/>
    <w:rsid w:val="00830148"/>
    <w:rsid w:val="008316AD"/>
    <w:rsid w:val="00831855"/>
    <w:rsid w:val="0083478D"/>
    <w:rsid w:val="00835315"/>
    <w:rsid w:val="00835AEB"/>
    <w:rsid w:val="008405BA"/>
    <w:rsid w:val="00840D0F"/>
    <w:rsid w:val="00842A84"/>
    <w:rsid w:val="00842E57"/>
    <w:rsid w:val="00842FDE"/>
    <w:rsid w:val="00843A89"/>
    <w:rsid w:val="00843BC4"/>
    <w:rsid w:val="008445D4"/>
    <w:rsid w:val="008446F1"/>
    <w:rsid w:val="00846FF0"/>
    <w:rsid w:val="00847DE2"/>
    <w:rsid w:val="00852CA4"/>
    <w:rsid w:val="00854B56"/>
    <w:rsid w:val="0085728C"/>
    <w:rsid w:val="008611A4"/>
    <w:rsid w:val="00861FD7"/>
    <w:rsid w:val="00862A5C"/>
    <w:rsid w:val="0086363F"/>
    <w:rsid w:val="00865E17"/>
    <w:rsid w:val="00865EF5"/>
    <w:rsid w:val="00866766"/>
    <w:rsid w:val="00866D0F"/>
    <w:rsid w:val="00866D13"/>
    <w:rsid w:val="008678C2"/>
    <w:rsid w:val="00867BAC"/>
    <w:rsid w:val="00873A1B"/>
    <w:rsid w:val="0088013C"/>
    <w:rsid w:val="00880F2C"/>
    <w:rsid w:val="00881882"/>
    <w:rsid w:val="00882AC7"/>
    <w:rsid w:val="00884452"/>
    <w:rsid w:val="0088683D"/>
    <w:rsid w:val="008905D7"/>
    <w:rsid w:val="008921DC"/>
    <w:rsid w:val="0089242C"/>
    <w:rsid w:val="00894F4D"/>
    <w:rsid w:val="00895B87"/>
    <w:rsid w:val="00895F57"/>
    <w:rsid w:val="008960B7"/>
    <w:rsid w:val="008962F2"/>
    <w:rsid w:val="00896511"/>
    <w:rsid w:val="008975E7"/>
    <w:rsid w:val="008A08D2"/>
    <w:rsid w:val="008A0DE1"/>
    <w:rsid w:val="008A2E7B"/>
    <w:rsid w:val="008B13E7"/>
    <w:rsid w:val="008B1D85"/>
    <w:rsid w:val="008B3920"/>
    <w:rsid w:val="008B566D"/>
    <w:rsid w:val="008B5B9D"/>
    <w:rsid w:val="008B6F16"/>
    <w:rsid w:val="008B77BF"/>
    <w:rsid w:val="008C01FE"/>
    <w:rsid w:val="008C0618"/>
    <w:rsid w:val="008C2FA0"/>
    <w:rsid w:val="008C465E"/>
    <w:rsid w:val="008C4CE4"/>
    <w:rsid w:val="008C73D6"/>
    <w:rsid w:val="008D0C62"/>
    <w:rsid w:val="008D2CD6"/>
    <w:rsid w:val="008D4939"/>
    <w:rsid w:val="008D6E6F"/>
    <w:rsid w:val="008D77E6"/>
    <w:rsid w:val="008D78A7"/>
    <w:rsid w:val="008E1E36"/>
    <w:rsid w:val="008E2BB6"/>
    <w:rsid w:val="008E3D60"/>
    <w:rsid w:val="008E4312"/>
    <w:rsid w:val="008E5F6C"/>
    <w:rsid w:val="008E6A32"/>
    <w:rsid w:val="008E7390"/>
    <w:rsid w:val="008E77AA"/>
    <w:rsid w:val="008F05C2"/>
    <w:rsid w:val="008F1F00"/>
    <w:rsid w:val="008F2382"/>
    <w:rsid w:val="008F2BA7"/>
    <w:rsid w:val="008F42BB"/>
    <w:rsid w:val="008F47D1"/>
    <w:rsid w:val="008F4845"/>
    <w:rsid w:val="008F5311"/>
    <w:rsid w:val="008F7D08"/>
    <w:rsid w:val="00905434"/>
    <w:rsid w:val="00905C39"/>
    <w:rsid w:val="00905C9B"/>
    <w:rsid w:val="00905FD8"/>
    <w:rsid w:val="009072F6"/>
    <w:rsid w:val="00907620"/>
    <w:rsid w:val="00907697"/>
    <w:rsid w:val="009103BB"/>
    <w:rsid w:val="009113AE"/>
    <w:rsid w:val="00912262"/>
    <w:rsid w:val="00920BD4"/>
    <w:rsid w:val="00921F3C"/>
    <w:rsid w:val="00924F4A"/>
    <w:rsid w:val="009259EF"/>
    <w:rsid w:val="009273A0"/>
    <w:rsid w:val="00927725"/>
    <w:rsid w:val="00927DC4"/>
    <w:rsid w:val="00927EE5"/>
    <w:rsid w:val="009304FE"/>
    <w:rsid w:val="00930782"/>
    <w:rsid w:val="009310F0"/>
    <w:rsid w:val="0093237C"/>
    <w:rsid w:val="0093422B"/>
    <w:rsid w:val="0093570A"/>
    <w:rsid w:val="009363C8"/>
    <w:rsid w:val="00936EC8"/>
    <w:rsid w:val="00943F6E"/>
    <w:rsid w:val="00945570"/>
    <w:rsid w:val="00945D59"/>
    <w:rsid w:val="00947F9D"/>
    <w:rsid w:val="00951D24"/>
    <w:rsid w:val="00952049"/>
    <w:rsid w:val="00953BC2"/>
    <w:rsid w:val="00953F72"/>
    <w:rsid w:val="009565E3"/>
    <w:rsid w:val="00956972"/>
    <w:rsid w:val="009572B3"/>
    <w:rsid w:val="00961E91"/>
    <w:rsid w:val="0096409A"/>
    <w:rsid w:val="0096670F"/>
    <w:rsid w:val="00974568"/>
    <w:rsid w:val="00977973"/>
    <w:rsid w:val="00981F79"/>
    <w:rsid w:val="009834E9"/>
    <w:rsid w:val="009850EF"/>
    <w:rsid w:val="0098527D"/>
    <w:rsid w:val="009868FC"/>
    <w:rsid w:val="0099107A"/>
    <w:rsid w:val="00991A16"/>
    <w:rsid w:val="00992AC8"/>
    <w:rsid w:val="00993BEE"/>
    <w:rsid w:val="00993F16"/>
    <w:rsid w:val="009957BC"/>
    <w:rsid w:val="009961EE"/>
    <w:rsid w:val="009A0BF1"/>
    <w:rsid w:val="009A180B"/>
    <w:rsid w:val="009A3138"/>
    <w:rsid w:val="009A3F78"/>
    <w:rsid w:val="009A43AF"/>
    <w:rsid w:val="009A472A"/>
    <w:rsid w:val="009A492E"/>
    <w:rsid w:val="009B0086"/>
    <w:rsid w:val="009B29FB"/>
    <w:rsid w:val="009B4E8F"/>
    <w:rsid w:val="009B7FCB"/>
    <w:rsid w:val="009C07DF"/>
    <w:rsid w:val="009C0E2E"/>
    <w:rsid w:val="009C190C"/>
    <w:rsid w:val="009C2436"/>
    <w:rsid w:val="009C321B"/>
    <w:rsid w:val="009C3440"/>
    <w:rsid w:val="009C3A87"/>
    <w:rsid w:val="009C79CB"/>
    <w:rsid w:val="009D21D0"/>
    <w:rsid w:val="009D2FBA"/>
    <w:rsid w:val="009D351E"/>
    <w:rsid w:val="009D4A0B"/>
    <w:rsid w:val="009D7787"/>
    <w:rsid w:val="009E02C9"/>
    <w:rsid w:val="009E0FDD"/>
    <w:rsid w:val="009E1505"/>
    <w:rsid w:val="009E2A96"/>
    <w:rsid w:val="009E39DC"/>
    <w:rsid w:val="009E5645"/>
    <w:rsid w:val="009E56B4"/>
    <w:rsid w:val="009F11F6"/>
    <w:rsid w:val="009F43C3"/>
    <w:rsid w:val="009F465A"/>
    <w:rsid w:val="00A00BD3"/>
    <w:rsid w:val="00A020B4"/>
    <w:rsid w:val="00A04076"/>
    <w:rsid w:val="00A043FE"/>
    <w:rsid w:val="00A04DF0"/>
    <w:rsid w:val="00A05916"/>
    <w:rsid w:val="00A05AA6"/>
    <w:rsid w:val="00A06192"/>
    <w:rsid w:val="00A06639"/>
    <w:rsid w:val="00A07065"/>
    <w:rsid w:val="00A0746C"/>
    <w:rsid w:val="00A07FC9"/>
    <w:rsid w:val="00A11861"/>
    <w:rsid w:val="00A1266A"/>
    <w:rsid w:val="00A1389B"/>
    <w:rsid w:val="00A1622A"/>
    <w:rsid w:val="00A16EEB"/>
    <w:rsid w:val="00A2114F"/>
    <w:rsid w:val="00A2216E"/>
    <w:rsid w:val="00A22F5A"/>
    <w:rsid w:val="00A2370B"/>
    <w:rsid w:val="00A23F13"/>
    <w:rsid w:val="00A27A18"/>
    <w:rsid w:val="00A27ACC"/>
    <w:rsid w:val="00A27C20"/>
    <w:rsid w:val="00A30EA6"/>
    <w:rsid w:val="00A31406"/>
    <w:rsid w:val="00A31523"/>
    <w:rsid w:val="00A31536"/>
    <w:rsid w:val="00A346FE"/>
    <w:rsid w:val="00A36BAC"/>
    <w:rsid w:val="00A36E14"/>
    <w:rsid w:val="00A37995"/>
    <w:rsid w:val="00A40446"/>
    <w:rsid w:val="00A41988"/>
    <w:rsid w:val="00A437BB"/>
    <w:rsid w:val="00A46C9F"/>
    <w:rsid w:val="00A4716C"/>
    <w:rsid w:val="00A47535"/>
    <w:rsid w:val="00A5127C"/>
    <w:rsid w:val="00A52978"/>
    <w:rsid w:val="00A53130"/>
    <w:rsid w:val="00A53F61"/>
    <w:rsid w:val="00A5412B"/>
    <w:rsid w:val="00A546C5"/>
    <w:rsid w:val="00A6042C"/>
    <w:rsid w:val="00A64735"/>
    <w:rsid w:val="00A66B50"/>
    <w:rsid w:val="00A66D18"/>
    <w:rsid w:val="00A71393"/>
    <w:rsid w:val="00A7322E"/>
    <w:rsid w:val="00A77072"/>
    <w:rsid w:val="00A7753C"/>
    <w:rsid w:val="00A81BA0"/>
    <w:rsid w:val="00A8510A"/>
    <w:rsid w:val="00A85226"/>
    <w:rsid w:val="00A85E68"/>
    <w:rsid w:val="00A860D4"/>
    <w:rsid w:val="00A87BC8"/>
    <w:rsid w:val="00A92240"/>
    <w:rsid w:val="00A94058"/>
    <w:rsid w:val="00A944A8"/>
    <w:rsid w:val="00A94EA3"/>
    <w:rsid w:val="00A973D1"/>
    <w:rsid w:val="00AA081C"/>
    <w:rsid w:val="00AA4898"/>
    <w:rsid w:val="00AA4C40"/>
    <w:rsid w:val="00AA5C5A"/>
    <w:rsid w:val="00AB1C24"/>
    <w:rsid w:val="00AB2C4F"/>
    <w:rsid w:val="00AB437E"/>
    <w:rsid w:val="00AB4F4F"/>
    <w:rsid w:val="00AB5F73"/>
    <w:rsid w:val="00AB6968"/>
    <w:rsid w:val="00AB699B"/>
    <w:rsid w:val="00AC113A"/>
    <w:rsid w:val="00AC2919"/>
    <w:rsid w:val="00AC3473"/>
    <w:rsid w:val="00AC44BA"/>
    <w:rsid w:val="00AC4746"/>
    <w:rsid w:val="00AC57B6"/>
    <w:rsid w:val="00AC5FB9"/>
    <w:rsid w:val="00AC7204"/>
    <w:rsid w:val="00AD07F3"/>
    <w:rsid w:val="00AD10FA"/>
    <w:rsid w:val="00AD1CE0"/>
    <w:rsid w:val="00AD43A3"/>
    <w:rsid w:val="00AD5C38"/>
    <w:rsid w:val="00AE2D37"/>
    <w:rsid w:val="00AE2D7B"/>
    <w:rsid w:val="00AE3EE8"/>
    <w:rsid w:val="00AE4870"/>
    <w:rsid w:val="00AE50FF"/>
    <w:rsid w:val="00AE655A"/>
    <w:rsid w:val="00AF0AC1"/>
    <w:rsid w:val="00AF16AA"/>
    <w:rsid w:val="00AF1F4E"/>
    <w:rsid w:val="00AF4E66"/>
    <w:rsid w:val="00AF6DD9"/>
    <w:rsid w:val="00AF781E"/>
    <w:rsid w:val="00AF7988"/>
    <w:rsid w:val="00B011C9"/>
    <w:rsid w:val="00B03703"/>
    <w:rsid w:val="00B05C76"/>
    <w:rsid w:val="00B07B9B"/>
    <w:rsid w:val="00B07E37"/>
    <w:rsid w:val="00B10CEB"/>
    <w:rsid w:val="00B10F4E"/>
    <w:rsid w:val="00B11E5B"/>
    <w:rsid w:val="00B146AF"/>
    <w:rsid w:val="00B148A4"/>
    <w:rsid w:val="00B14F38"/>
    <w:rsid w:val="00B1511A"/>
    <w:rsid w:val="00B15D08"/>
    <w:rsid w:val="00B1628A"/>
    <w:rsid w:val="00B20655"/>
    <w:rsid w:val="00B20AC4"/>
    <w:rsid w:val="00B21832"/>
    <w:rsid w:val="00B256DE"/>
    <w:rsid w:val="00B2631A"/>
    <w:rsid w:val="00B265B1"/>
    <w:rsid w:val="00B303F0"/>
    <w:rsid w:val="00B30F4F"/>
    <w:rsid w:val="00B312A4"/>
    <w:rsid w:val="00B32D74"/>
    <w:rsid w:val="00B33FBB"/>
    <w:rsid w:val="00B3533C"/>
    <w:rsid w:val="00B35695"/>
    <w:rsid w:val="00B35D17"/>
    <w:rsid w:val="00B40231"/>
    <w:rsid w:val="00B40C7A"/>
    <w:rsid w:val="00B419E0"/>
    <w:rsid w:val="00B4266C"/>
    <w:rsid w:val="00B42F5F"/>
    <w:rsid w:val="00B44516"/>
    <w:rsid w:val="00B508E9"/>
    <w:rsid w:val="00B51B80"/>
    <w:rsid w:val="00B52B1B"/>
    <w:rsid w:val="00B531F1"/>
    <w:rsid w:val="00B555EA"/>
    <w:rsid w:val="00B555ED"/>
    <w:rsid w:val="00B56E5D"/>
    <w:rsid w:val="00B6173F"/>
    <w:rsid w:val="00B64C58"/>
    <w:rsid w:val="00B70517"/>
    <w:rsid w:val="00B7181E"/>
    <w:rsid w:val="00B72809"/>
    <w:rsid w:val="00B751FF"/>
    <w:rsid w:val="00B75BB3"/>
    <w:rsid w:val="00B8045B"/>
    <w:rsid w:val="00B80D03"/>
    <w:rsid w:val="00B80F64"/>
    <w:rsid w:val="00B872BD"/>
    <w:rsid w:val="00B9185F"/>
    <w:rsid w:val="00B918B1"/>
    <w:rsid w:val="00B9205F"/>
    <w:rsid w:val="00B92D56"/>
    <w:rsid w:val="00B93333"/>
    <w:rsid w:val="00B94525"/>
    <w:rsid w:val="00B95A7D"/>
    <w:rsid w:val="00B96A3D"/>
    <w:rsid w:val="00BA4EA6"/>
    <w:rsid w:val="00BA657A"/>
    <w:rsid w:val="00BB0F18"/>
    <w:rsid w:val="00BB25C7"/>
    <w:rsid w:val="00BB276B"/>
    <w:rsid w:val="00BB2F66"/>
    <w:rsid w:val="00BB354F"/>
    <w:rsid w:val="00BB36A8"/>
    <w:rsid w:val="00BB4825"/>
    <w:rsid w:val="00BB4F94"/>
    <w:rsid w:val="00BB5B0A"/>
    <w:rsid w:val="00BB5DE9"/>
    <w:rsid w:val="00BB6E72"/>
    <w:rsid w:val="00BB700A"/>
    <w:rsid w:val="00BC108B"/>
    <w:rsid w:val="00BC12B6"/>
    <w:rsid w:val="00BC283F"/>
    <w:rsid w:val="00BC2DCC"/>
    <w:rsid w:val="00BC321A"/>
    <w:rsid w:val="00BC5C7E"/>
    <w:rsid w:val="00BD1E93"/>
    <w:rsid w:val="00BD2684"/>
    <w:rsid w:val="00BD27A4"/>
    <w:rsid w:val="00BD27D3"/>
    <w:rsid w:val="00BD57BE"/>
    <w:rsid w:val="00BE18A4"/>
    <w:rsid w:val="00BE1981"/>
    <w:rsid w:val="00BE1985"/>
    <w:rsid w:val="00BE25E4"/>
    <w:rsid w:val="00BE26EB"/>
    <w:rsid w:val="00BE2DFC"/>
    <w:rsid w:val="00BE33A8"/>
    <w:rsid w:val="00BE37E1"/>
    <w:rsid w:val="00BE689F"/>
    <w:rsid w:val="00BE6BBF"/>
    <w:rsid w:val="00BE79C5"/>
    <w:rsid w:val="00BE7C36"/>
    <w:rsid w:val="00BF335C"/>
    <w:rsid w:val="00BF48C1"/>
    <w:rsid w:val="00BF5828"/>
    <w:rsid w:val="00BF6CE4"/>
    <w:rsid w:val="00C00570"/>
    <w:rsid w:val="00C00AE5"/>
    <w:rsid w:val="00C00CE1"/>
    <w:rsid w:val="00C02037"/>
    <w:rsid w:val="00C0227F"/>
    <w:rsid w:val="00C02311"/>
    <w:rsid w:val="00C03981"/>
    <w:rsid w:val="00C03E6B"/>
    <w:rsid w:val="00C03F51"/>
    <w:rsid w:val="00C04218"/>
    <w:rsid w:val="00C05103"/>
    <w:rsid w:val="00C06A92"/>
    <w:rsid w:val="00C0704F"/>
    <w:rsid w:val="00C07844"/>
    <w:rsid w:val="00C1369E"/>
    <w:rsid w:val="00C13ED1"/>
    <w:rsid w:val="00C1408E"/>
    <w:rsid w:val="00C14801"/>
    <w:rsid w:val="00C14D24"/>
    <w:rsid w:val="00C15225"/>
    <w:rsid w:val="00C16966"/>
    <w:rsid w:val="00C17EC8"/>
    <w:rsid w:val="00C25EB9"/>
    <w:rsid w:val="00C26422"/>
    <w:rsid w:val="00C26C7C"/>
    <w:rsid w:val="00C27327"/>
    <w:rsid w:val="00C30956"/>
    <w:rsid w:val="00C32484"/>
    <w:rsid w:val="00C3269F"/>
    <w:rsid w:val="00C34D91"/>
    <w:rsid w:val="00C363DB"/>
    <w:rsid w:val="00C40BC4"/>
    <w:rsid w:val="00C41F4A"/>
    <w:rsid w:val="00C42CFC"/>
    <w:rsid w:val="00C439A3"/>
    <w:rsid w:val="00C4449A"/>
    <w:rsid w:val="00C44D0D"/>
    <w:rsid w:val="00C45358"/>
    <w:rsid w:val="00C45513"/>
    <w:rsid w:val="00C4681F"/>
    <w:rsid w:val="00C4799E"/>
    <w:rsid w:val="00C479F8"/>
    <w:rsid w:val="00C51391"/>
    <w:rsid w:val="00C52998"/>
    <w:rsid w:val="00C54F74"/>
    <w:rsid w:val="00C56CDC"/>
    <w:rsid w:val="00C6107C"/>
    <w:rsid w:val="00C6118B"/>
    <w:rsid w:val="00C621F1"/>
    <w:rsid w:val="00C62588"/>
    <w:rsid w:val="00C63E16"/>
    <w:rsid w:val="00C65E9D"/>
    <w:rsid w:val="00C6646B"/>
    <w:rsid w:val="00C664E5"/>
    <w:rsid w:val="00C67672"/>
    <w:rsid w:val="00C70497"/>
    <w:rsid w:val="00C704B8"/>
    <w:rsid w:val="00C726B8"/>
    <w:rsid w:val="00C74E95"/>
    <w:rsid w:val="00C802DA"/>
    <w:rsid w:val="00C809A2"/>
    <w:rsid w:val="00C81097"/>
    <w:rsid w:val="00C81704"/>
    <w:rsid w:val="00C837CC"/>
    <w:rsid w:val="00C84A26"/>
    <w:rsid w:val="00C869F3"/>
    <w:rsid w:val="00C86F0C"/>
    <w:rsid w:val="00C87880"/>
    <w:rsid w:val="00C918DF"/>
    <w:rsid w:val="00C93939"/>
    <w:rsid w:val="00C93DC0"/>
    <w:rsid w:val="00C96BC5"/>
    <w:rsid w:val="00C97BC9"/>
    <w:rsid w:val="00C97D76"/>
    <w:rsid w:val="00C97F79"/>
    <w:rsid w:val="00CA1972"/>
    <w:rsid w:val="00CA1C47"/>
    <w:rsid w:val="00CA1E09"/>
    <w:rsid w:val="00CA3612"/>
    <w:rsid w:val="00CA372D"/>
    <w:rsid w:val="00CA4C2D"/>
    <w:rsid w:val="00CA63A8"/>
    <w:rsid w:val="00CA6536"/>
    <w:rsid w:val="00CA6B73"/>
    <w:rsid w:val="00CA6BAF"/>
    <w:rsid w:val="00CB0B66"/>
    <w:rsid w:val="00CB389F"/>
    <w:rsid w:val="00CB6336"/>
    <w:rsid w:val="00CB6E78"/>
    <w:rsid w:val="00CB6FA2"/>
    <w:rsid w:val="00CC14C4"/>
    <w:rsid w:val="00CC1F9E"/>
    <w:rsid w:val="00CC49C4"/>
    <w:rsid w:val="00CC54C3"/>
    <w:rsid w:val="00CC5812"/>
    <w:rsid w:val="00CC69CB"/>
    <w:rsid w:val="00CC6BD1"/>
    <w:rsid w:val="00CC714E"/>
    <w:rsid w:val="00CD1C84"/>
    <w:rsid w:val="00CD26DF"/>
    <w:rsid w:val="00CD32A8"/>
    <w:rsid w:val="00CD57AA"/>
    <w:rsid w:val="00CD5D7F"/>
    <w:rsid w:val="00CD7494"/>
    <w:rsid w:val="00CD7578"/>
    <w:rsid w:val="00CD7D3D"/>
    <w:rsid w:val="00CE06E6"/>
    <w:rsid w:val="00CE186F"/>
    <w:rsid w:val="00CE200F"/>
    <w:rsid w:val="00CE2067"/>
    <w:rsid w:val="00CE23AA"/>
    <w:rsid w:val="00CE3041"/>
    <w:rsid w:val="00CE3475"/>
    <w:rsid w:val="00CE4799"/>
    <w:rsid w:val="00CE55DA"/>
    <w:rsid w:val="00CE6615"/>
    <w:rsid w:val="00CE6674"/>
    <w:rsid w:val="00CE680F"/>
    <w:rsid w:val="00CE681A"/>
    <w:rsid w:val="00CE69C0"/>
    <w:rsid w:val="00CF0BAF"/>
    <w:rsid w:val="00CF1884"/>
    <w:rsid w:val="00CF2350"/>
    <w:rsid w:val="00CF303B"/>
    <w:rsid w:val="00CF6BE1"/>
    <w:rsid w:val="00CF7CE7"/>
    <w:rsid w:val="00CF7F11"/>
    <w:rsid w:val="00D02325"/>
    <w:rsid w:val="00D023DE"/>
    <w:rsid w:val="00D025A0"/>
    <w:rsid w:val="00D04F78"/>
    <w:rsid w:val="00D05704"/>
    <w:rsid w:val="00D05DE9"/>
    <w:rsid w:val="00D0739F"/>
    <w:rsid w:val="00D07893"/>
    <w:rsid w:val="00D12493"/>
    <w:rsid w:val="00D14EF9"/>
    <w:rsid w:val="00D201F0"/>
    <w:rsid w:val="00D21282"/>
    <w:rsid w:val="00D226BF"/>
    <w:rsid w:val="00D2377A"/>
    <w:rsid w:val="00D23D51"/>
    <w:rsid w:val="00D25376"/>
    <w:rsid w:val="00D2685E"/>
    <w:rsid w:val="00D26FB3"/>
    <w:rsid w:val="00D27632"/>
    <w:rsid w:val="00D27A73"/>
    <w:rsid w:val="00D304BF"/>
    <w:rsid w:val="00D307F8"/>
    <w:rsid w:val="00D309CF"/>
    <w:rsid w:val="00D30E85"/>
    <w:rsid w:val="00D325CD"/>
    <w:rsid w:val="00D33BAD"/>
    <w:rsid w:val="00D3501F"/>
    <w:rsid w:val="00D36224"/>
    <w:rsid w:val="00D416AA"/>
    <w:rsid w:val="00D41A37"/>
    <w:rsid w:val="00D42FCD"/>
    <w:rsid w:val="00D458CA"/>
    <w:rsid w:val="00D45C6D"/>
    <w:rsid w:val="00D50742"/>
    <w:rsid w:val="00D50EE4"/>
    <w:rsid w:val="00D540B2"/>
    <w:rsid w:val="00D5492C"/>
    <w:rsid w:val="00D556A2"/>
    <w:rsid w:val="00D55FDF"/>
    <w:rsid w:val="00D5673B"/>
    <w:rsid w:val="00D56769"/>
    <w:rsid w:val="00D56F3D"/>
    <w:rsid w:val="00D576AC"/>
    <w:rsid w:val="00D63483"/>
    <w:rsid w:val="00D63FC0"/>
    <w:rsid w:val="00D65037"/>
    <w:rsid w:val="00D66661"/>
    <w:rsid w:val="00D67C03"/>
    <w:rsid w:val="00D74447"/>
    <w:rsid w:val="00D751AA"/>
    <w:rsid w:val="00D75B68"/>
    <w:rsid w:val="00D75DD0"/>
    <w:rsid w:val="00D76810"/>
    <w:rsid w:val="00D76D4B"/>
    <w:rsid w:val="00D76EF3"/>
    <w:rsid w:val="00D80B21"/>
    <w:rsid w:val="00D8123C"/>
    <w:rsid w:val="00D81263"/>
    <w:rsid w:val="00D8200D"/>
    <w:rsid w:val="00D83398"/>
    <w:rsid w:val="00D83927"/>
    <w:rsid w:val="00D84DAA"/>
    <w:rsid w:val="00D85E86"/>
    <w:rsid w:val="00D867A5"/>
    <w:rsid w:val="00D90B19"/>
    <w:rsid w:val="00D93A22"/>
    <w:rsid w:val="00D942E4"/>
    <w:rsid w:val="00D954F4"/>
    <w:rsid w:val="00D958DD"/>
    <w:rsid w:val="00D964A1"/>
    <w:rsid w:val="00D964B5"/>
    <w:rsid w:val="00D9715B"/>
    <w:rsid w:val="00DA15F6"/>
    <w:rsid w:val="00DA3675"/>
    <w:rsid w:val="00DA36AA"/>
    <w:rsid w:val="00DA424F"/>
    <w:rsid w:val="00DA5CB5"/>
    <w:rsid w:val="00DA5D3A"/>
    <w:rsid w:val="00DA624B"/>
    <w:rsid w:val="00DA7199"/>
    <w:rsid w:val="00DB07BF"/>
    <w:rsid w:val="00DB324A"/>
    <w:rsid w:val="00DB4DC4"/>
    <w:rsid w:val="00DB56B4"/>
    <w:rsid w:val="00DB7A7C"/>
    <w:rsid w:val="00DC07A5"/>
    <w:rsid w:val="00DC0B14"/>
    <w:rsid w:val="00DC134F"/>
    <w:rsid w:val="00DC2DC4"/>
    <w:rsid w:val="00DC2E86"/>
    <w:rsid w:val="00DC4F0E"/>
    <w:rsid w:val="00DC5F21"/>
    <w:rsid w:val="00DC6174"/>
    <w:rsid w:val="00DD0028"/>
    <w:rsid w:val="00DD009F"/>
    <w:rsid w:val="00DD0EEF"/>
    <w:rsid w:val="00DD283C"/>
    <w:rsid w:val="00DD2AD9"/>
    <w:rsid w:val="00DD461A"/>
    <w:rsid w:val="00DD479B"/>
    <w:rsid w:val="00DD4AD2"/>
    <w:rsid w:val="00DD58FD"/>
    <w:rsid w:val="00DD5C38"/>
    <w:rsid w:val="00DD6081"/>
    <w:rsid w:val="00DD6697"/>
    <w:rsid w:val="00DD7963"/>
    <w:rsid w:val="00DE06E8"/>
    <w:rsid w:val="00DE167F"/>
    <w:rsid w:val="00DE177E"/>
    <w:rsid w:val="00DE1F57"/>
    <w:rsid w:val="00DE2507"/>
    <w:rsid w:val="00DE3207"/>
    <w:rsid w:val="00DE486D"/>
    <w:rsid w:val="00DE5045"/>
    <w:rsid w:val="00DE5D05"/>
    <w:rsid w:val="00DE6CE8"/>
    <w:rsid w:val="00DE6DAB"/>
    <w:rsid w:val="00DE7AB3"/>
    <w:rsid w:val="00DF0036"/>
    <w:rsid w:val="00DF0276"/>
    <w:rsid w:val="00DF0724"/>
    <w:rsid w:val="00DF117D"/>
    <w:rsid w:val="00DF2917"/>
    <w:rsid w:val="00DF2C28"/>
    <w:rsid w:val="00DF335E"/>
    <w:rsid w:val="00DF4141"/>
    <w:rsid w:val="00DF4AA9"/>
    <w:rsid w:val="00DF512A"/>
    <w:rsid w:val="00DF7AAA"/>
    <w:rsid w:val="00E05801"/>
    <w:rsid w:val="00E05C7D"/>
    <w:rsid w:val="00E06113"/>
    <w:rsid w:val="00E064FC"/>
    <w:rsid w:val="00E1053D"/>
    <w:rsid w:val="00E11730"/>
    <w:rsid w:val="00E12301"/>
    <w:rsid w:val="00E12E16"/>
    <w:rsid w:val="00E13CEA"/>
    <w:rsid w:val="00E14272"/>
    <w:rsid w:val="00E14B2D"/>
    <w:rsid w:val="00E1648B"/>
    <w:rsid w:val="00E20A86"/>
    <w:rsid w:val="00E23BA1"/>
    <w:rsid w:val="00E240F1"/>
    <w:rsid w:val="00E25274"/>
    <w:rsid w:val="00E26111"/>
    <w:rsid w:val="00E266C1"/>
    <w:rsid w:val="00E26BB3"/>
    <w:rsid w:val="00E26E0C"/>
    <w:rsid w:val="00E27DF4"/>
    <w:rsid w:val="00E302B8"/>
    <w:rsid w:val="00E31C44"/>
    <w:rsid w:val="00E31E59"/>
    <w:rsid w:val="00E31F41"/>
    <w:rsid w:val="00E32452"/>
    <w:rsid w:val="00E34401"/>
    <w:rsid w:val="00E34738"/>
    <w:rsid w:val="00E375EE"/>
    <w:rsid w:val="00E37A09"/>
    <w:rsid w:val="00E407BC"/>
    <w:rsid w:val="00E40BD1"/>
    <w:rsid w:val="00E40E74"/>
    <w:rsid w:val="00E412C8"/>
    <w:rsid w:val="00E42464"/>
    <w:rsid w:val="00E4620B"/>
    <w:rsid w:val="00E46C3A"/>
    <w:rsid w:val="00E47A80"/>
    <w:rsid w:val="00E501E9"/>
    <w:rsid w:val="00E50882"/>
    <w:rsid w:val="00E53779"/>
    <w:rsid w:val="00E54B68"/>
    <w:rsid w:val="00E54F24"/>
    <w:rsid w:val="00E55DA2"/>
    <w:rsid w:val="00E5737B"/>
    <w:rsid w:val="00E574E0"/>
    <w:rsid w:val="00E57997"/>
    <w:rsid w:val="00E614A7"/>
    <w:rsid w:val="00E61A27"/>
    <w:rsid w:val="00E62BE3"/>
    <w:rsid w:val="00E6365C"/>
    <w:rsid w:val="00E63A60"/>
    <w:rsid w:val="00E64036"/>
    <w:rsid w:val="00E6407B"/>
    <w:rsid w:val="00E64097"/>
    <w:rsid w:val="00E64DB9"/>
    <w:rsid w:val="00E718F9"/>
    <w:rsid w:val="00E72273"/>
    <w:rsid w:val="00E73C65"/>
    <w:rsid w:val="00E741A1"/>
    <w:rsid w:val="00E77ADD"/>
    <w:rsid w:val="00E8370B"/>
    <w:rsid w:val="00E849FB"/>
    <w:rsid w:val="00E86337"/>
    <w:rsid w:val="00E875EE"/>
    <w:rsid w:val="00E9041E"/>
    <w:rsid w:val="00E9272A"/>
    <w:rsid w:val="00E93FDD"/>
    <w:rsid w:val="00E9423B"/>
    <w:rsid w:val="00E95165"/>
    <w:rsid w:val="00E95C32"/>
    <w:rsid w:val="00E966E3"/>
    <w:rsid w:val="00E968B2"/>
    <w:rsid w:val="00E977A5"/>
    <w:rsid w:val="00E97BC1"/>
    <w:rsid w:val="00E97E10"/>
    <w:rsid w:val="00EA0459"/>
    <w:rsid w:val="00EA086B"/>
    <w:rsid w:val="00EA1B47"/>
    <w:rsid w:val="00EA4EBA"/>
    <w:rsid w:val="00EA50E2"/>
    <w:rsid w:val="00EA7014"/>
    <w:rsid w:val="00EB3F2D"/>
    <w:rsid w:val="00EB41FD"/>
    <w:rsid w:val="00EB52D7"/>
    <w:rsid w:val="00EB5DBD"/>
    <w:rsid w:val="00EB5F63"/>
    <w:rsid w:val="00EC0FE8"/>
    <w:rsid w:val="00EC2F39"/>
    <w:rsid w:val="00EC46A8"/>
    <w:rsid w:val="00EC4AB0"/>
    <w:rsid w:val="00EC4D1C"/>
    <w:rsid w:val="00EC5038"/>
    <w:rsid w:val="00EC56D6"/>
    <w:rsid w:val="00EC5EF0"/>
    <w:rsid w:val="00EC73B4"/>
    <w:rsid w:val="00EC7C22"/>
    <w:rsid w:val="00ED075D"/>
    <w:rsid w:val="00ED08E4"/>
    <w:rsid w:val="00ED114C"/>
    <w:rsid w:val="00ED3390"/>
    <w:rsid w:val="00ED6EB2"/>
    <w:rsid w:val="00ED785A"/>
    <w:rsid w:val="00ED7F27"/>
    <w:rsid w:val="00EE05FE"/>
    <w:rsid w:val="00EE0B02"/>
    <w:rsid w:val="00EE21F4"/>
    <w:rsid w:val="00EE5238"/>
    <w:rsid w:val="00EE62D0"/>
    <w:rsid w:val="00EF0212"/>
    <w:rsid w:val="00EF0F4B"/>
    <w:rsid w:val="00EF1579"/>
    <w:rsid w:val="00EF782F"/>
    <w:rsid w:val="00EF7CD6"/>
    <w:rsid w:val="00F02264"/>
    <w:rsid w:val="00F02ACE"/>
    <w:rsid w:val="00F0433E"/>
    <w:rsid w:val="00F05C39"/>
    <w:rsid w:val="00F07424"/>
    <w:rsid w:val="00F0744C"/>
    <w:rsid w:val="00F07D5F"/>
    <w:rsid w:val="00F13F30"/>
    <w:rsid w:val="00F1442D"/>
    <w:rsid w:val="00F147F9"/>
    <w:rsid w:val="00F15AA1"/>
    <w:rsid w:val="00F167EB"/>
    <w:rsid w:val="00F177E3"/>
    <w:rsid w:val="00F22BD1"/>
    <w:rsid w:val="00F24526"/>
    <w:rsid w:val="00F24C1C"/>
    <w:rsid w:val="00F303DA"/>
    <w:rsid w:val="00F322CA"/>
    <w:rsid w:val="00F32D74"/>
    <w:rsid w:val="00F332CF"/>
    <w:rsid w:val="00F3684A"/>
    <w:rsid w:val="00F409F0"/>
    <w:rsid w:val="00F40A17"/>
    <w:rsid w:val="00F41CC2"/>
    <w:rsid w:val="00F44049"/>
    <w:rsid w:val="00F458CA"/>
    <w:rsid w:val="00F45C6F"/>
    <w:rsid w:val="00F46438"/>
    <w:rsid w:val="00F50C10"/>
    <w:rsid w:val="00F52C7E"/>
    <w:rsid w:val="00F553FC"/>
    <w:rsid w:val="00F55971"/>
    <w:rsid w:val="00F55BED"/>
    <w:rsid w:val="00F5729E"/>
    <w:rsid w:val="00F577A7"/>
    <w:rsid w:val="00F57956"/>
    <w:rsid w:val="00F60CBF"/>
    <w:rsid w:val="00F62E63"/>
    <w:rsid w:val="00F6348A"/>
    <w:rsid w:val="00F64418"/>
    <w:rsid w:val="00F65036"/>
    <w:rsid w:val="00F65147"/>
    <w:rsid w:val="00F652BB"/>
    <w:rsid w:val="00F66AF2"/>
    <w:rsid w:val="00F70645"/>
    <w:rsid w:val="00F723F8"/>
    <w:rsid w:val="00F73479"/>
    <w:rsid w:val="00F7384B"/>
    <w:rsid w:val="00F77FFA"/>
    <w:rsid w:val="00F8097F"/>
    <w:rsid w:val="00F84D5F"/>
    <w:rsid w:val="00F913D3"/>
    <w:rsid w:val="00F93027"/>
    <w:rsid w:val="00F944C5"/>
    <w:rsid w:val="00F945B3"/>
    <w:rsid w:val="00F96208"/>
    <w:rsid w:val="00F96664"/>
    <w:rsid w:val="00F97807"/>
    <w:rsid w:val="00FA1E4A"/>
    <w:rsid w:val="00FA2C64"/>
    <w:rsid w:val="00FA4A78"/>
    <w:rsid w:val="00FA4F12"/>
    <w:rsid w:val="00FB0722"/>
    <w:rsid w:val="00FB1D58"/>
    <w:rsid w:val="00FB1DDB"/>
    <w:rsid w:val="00FB2808"/>
    <w:rsid w:val="00FB37EA"/>
    <w:rsid w:val="00FB3CF4"/>
    <w:rsid w:val="00FB65AC"/>
    <w:rsid w:val="00FB67B5"/>
    <w:rsid w:val="00FB6C98"/>
    <w:rsid w:val="00FB6CD4"/>
    <w:rsid w:val="00FC0FF2"/>
    <w:rsid w:val="00FC1FE6"/>
    <w:rsid w:val="00FC31DB"/>
    <w:rsid w:val="00FC4BD9"/>
    <w:rsid w:val="00FC4D9A"/>
    <w:rsid w:val="00FC501B"/>
    <w:rsid w:val="00FC71E8"/>
    <w:rsid w:val="00FD0122"/>
    <w:rsid w:val="00FD059A"/>
    <w:rsid w:val="00FD2521"/>
    <w:rsid w:val="00FD27B8"/>
    <w:rsid w:val="00FD2B91"/>
    <w:rsid w:val="00FD2C7C"/>
    <w:rsid w:val="00FD3549"/>
    <w:rsid w:val="00FD45F1"/>
    <w:rsid w:val="00FD497B"/>
    <w:rsid w:val="00FD4F85"/>
    <w:rsid w:val="00FD5BB3"/>
    <w:rsid w:val="00FD6024"/>
    <w:rsid w:val="00FD7BF5"/>
    <w:rsid w:val="00FE0478"/>
    <w:rsid w:val="00FE0C89"/>
    <w:rsid w:val="00FE1251"/>
    <w:rsid w:val="00FE2984"/>
    <w:rsid w:val="00FE3446"/>
    <w:rsid w:val="00FE4072"/>
    <w:rsid w:val="00FE4202"/>
    <w:rsid w:val="00FE6EF8"/>
    <w:rsid w:val="00FF0555"/>
    <w:rsid w:val="00FF1256"/>
    <w:rsid w:val="00FF1E66"/>
    <w:rsid w:val="00FF296D"/>
    <w:rsid w:val="00FF4A2A"/>
    <w:rsid w:val="00FF4F7F"/>
    <w:rsid w:val="00FF5E4C"/>
    <w:rsid w:val="00FF6703"/>
    <w:rsid w:val="00FF7084"/>
    <w:rsid w:val="00FF74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qFormat/>
    <w:rsid w:val="008217CA"/>
    <w:pPr>
      <w:keepLines/>
      <w:spacing w:after="240"/>
      <w:jc w:val="both"/>
      <w:outlineLvl w:val="1"/>
    </w:pPr>
    <w:rPr>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0502A4"/>
    <w:rPr>
      <w:rFonts w:ascii="Tahoma" w:hAnsi="Tahoma" w:cs="Tahoma"/>
      <w:sz w:val="16"/>
      <w:szCs w:val="16"/>
    </w:rPr>
  </w:style>
  <w:style w:type="character" w:customStyle="1" w:styleId="BalloonTextChar">
    <w:name w:val="Balloon Text Char"/>
    <w:basedOn w:val="DefaultParagraphFont"/>
    <w:link w:val="BalloonText"/>
    <w:rsid w:val="000502A4"/>
    <w:rPr>
      <w:rFonts w:ascii="Tahoma" w:hAnsi="Tahoma" w:cs="Tahoma"/>
      <w:sz w:val="16"/>
      <w:szCs w:val="16"/>
    </w:rPr>
  </w:style>
  <w:style w:type="paragraph" w:customStyle="1" w:styleId="Style">
    <w:name w:val="Style"/>
    <w:rsid w:val="003A35F0"/>
    <w:pPr>
      <w:widowControl w:val="0"/>
      <w:autoSpaceDE w:val="0"/>
      <w:autoSpaceDN w:val="0"/>
      <w:adjustRightInd w:val="0"/>
    </w:pPr>
    <w:rPr>
      <w:sz w:val="24"/>
      <w:szCs w:val="24"/>
    </w:rPr>
  </w:style>
  <w:style w:type="character" w:customStyle="1" w:styleId="Heading2Char">
    <w:name w:val="Heading 2 Char"/>
    <w:basedOn w:val="DefaultParagraphFont"/>
    <w:link w:val="Heading2"/>
    <w:rsid w:val="008217CA"/>
    <w:rPr>
      <w:b/>
      <w:bCs/>
      <w:iCs/>
      <w:caps/>
      <w:sz w:val="24"/>
      <w:szCs w:val="28"/>
    </w:rPr>
  </w:style>
  <w:style w:type="character" w:customStyle="1" w:styleId="pmterms11">
    <w:name w:val="pmterms11"/>
    <w:basedOn w:val="DefaultParagraphFont"/>
    <w:rsid w:val="00AD1CE0"/>
    <w:rPr>
      <w:b/>
      <w:bCs/>
      <w:i w:val="0"/>
      <w:iCs w:val="0"/>
      <w:color w:val="000000"/>
    </w:rPr>
  </w:style>
  <w:style w:type="paragraph" w:styleId="Header">
    <w:name w:val="header"/>
    <w:basedOn w:val="Normal"/>
    <w:link w:val="HeaderChar"/>
    <w:rsid w:val="003C7AAB"/>
    <w:pPr>
      <w:tabs>
        <w:tab w:val="center" w:pos="4680"/>
        <w:tab w:val="right" w:pos="9360"/>
      </w:tabs>
    </w:pPr>
  </w:style>
  <w:style w:type="character" w:customStyle="1" w:styleId="HeaderChar">
    <w:name w:val="Header Char"/>
    <w:basedOn w:val="DefaultParagraphFont"/>
    <w:link w:val="Header"/>
    <w:rsid w:val="003C7AAB"/>
    <w:rPr>
      <w:sz w:val="24"/>
      <w:szCs w:val="24"/>
    </w:rPr>
  </w:style>
</w:styles>
</file>

<file path=word/webSettings.xml><?xml version="1.0" encoding="utf-8"?>
<w:webSettings xmlns:r="http://schemas.openxmlformats.org/officeDocument/2006/relationships" xmlns:w="http://schemas.openxmlformats.org/wordprocessingml/2006/main">
  <w:divs>
    <w:div w:id="15195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456E-47DE-47D5-9DBB-8A618827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10250</Words>
  <Characters>58429</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3</cp:revision>
  <cp:lastPrinted>2011-03-18T12:05:00Z</cp:lastPrinted>
  <dcterms:created xsi:type="dcterms:W3CDTF">2011-03-08T16:13:00Z</dcterms:created>
  <dcterms:modified xsi:type="dcterms:W3CDTF">2011-03-18T12:05:00Z</dcterms:modified>
</cp:coreProperties>
</file>