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B70599" w:rsidRPr="00B96D75" w:rsidRDefault="00B70599" w:rsidP="00B70599">
      <w:pPr>
        <w:rPr>
          <w:sz w:val="24"/>
          <w:szCs w:val="24"/>
        </w:rPr>
      </w:pPr>
      <w:r w:rsidRPr="00B96D75">
        <w:rPr>
          <w:sz w:val="24"/>
          <w:szCs w:val="24"/>
        </w:rPr>
        <w:t>Armstrong Telecommunications, Inc.</w:t>
      </w:r>
      <w:r w:rsidRPr="00B96D75">
        <w:rPr>
          <w:sz w:val="24"/>
          <w:szCs w:val="24"/>
        </w:rPr>
        <w:tab/>
      </w:r>
      <w:r w:rsidR="00B96D75">
        <w:rPr>
          <w:sz w:val="24"/>
          <w:szCs w:val="24"/>
        </w:rPr>
        <w:tab/>
      </w:r>
      <w:r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C-2010-2216205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Verizon Pennsylvania Inc.</w:t>
      </w:r>
      <w:r w:rsidR="00C362C1" w:rsidRPr="00B96D75">
        <w:rPr>
          <w:sz w:val="24"/>
          <w:szCs w:val="24"/>
        </w:rPr>
        <w:tab/>
      </w:r>
      <w:r w:rsidR="00C362C1" w:rsidRPr="00B96D75">
        <w:rPr>
          <w:sz w:val="24"/>
          <w:szCs w:val="24"/>
        </w:rPr>
        <w:tab/>
      </w:r>
      <w:r w:rsidR="00C362C1"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C362C1"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C-2010-2216311</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Verizon North LLC</w:t>
      </w:r>
      <w:r w:rsidR="00C362C1" w:rsidRPr="00B96D75">
        <w:rPr>
          <w:sz w:val="24"/>
          <w:szCs w:val="24"/>
        </w:rPr>
        <w:tab/>
      </w:r>
      <w:r w:rsidR="00C362C1" w:rsidRPr="00B96D75">
        <w:rPr>
          <w:sz w:val="24"/>
          <w:szCs w:val="24"/>
        </w:rPr>
        <w:tab/>
      </w:r>
      <w:r w:rsidR="00C362C1" w:rsidRPr="00B96D75">
        <w:rPr>
          <w:sz w:val="24"/>
          <w:szCs w:val="24"/>
        </w:rPr>
        <w:tab/>
      </w:r>
      <w:r w:rsidR="00C362C1"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C362C1" w:rsidRPr="00B96D75">
        <w:rPr>
          <w:sz w:val="24"/>
          <w:szCs w:val="24"/>
        </w:rPr>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C-2010-2216325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5655C8" w:rsidRPr="00B96D75" w:rsidRDefault="00B70599" w:rsidP="00B70599">
      <w:pPr>
        <w:rPr>
          <w:sz w:val="24"/>
          <w:szCs w:val="24"/>
        </w:rPr>
      </w:pPr>
      <w:r w:rsidRPr="00B96D75">
        <w:rPr>
          <w:sz w:val="24"/>
          <w:szCs w:val="24"/>
        </w:rPr>
        <w:t>MCImetro Access Transmission</w:t>
      </w:r>
      <w:r w:rsidR="00C362C1" w:rsidRPr="00B96D75">
        <w:rPr>
          <w:sz w:val="24"/>
          <w:szCs w:val="24"/>
        </w:rPr>
        <w:tab/>
      </w:r>
      <w:r w:rsidR="00C362C1" w:rsidRPr="00B96D75">
        <w:rPr>
          <w:sz w:val="24"/>
          <w:szCs w:val="24"/>
        </w:rPr>
        <w:tab/>
        <w:t>:</w:t>
      </w:r>
    </w:p>
    <w:p w:rsidR="005655C8" w:rsidRPr="00B96D75" w:rsidRDefault="00B70599" w:rsidP="00B70599">
      <w:pPr>
        <w:rPr>
          <w:sz w:val="24"/>
          <w:szCs w:val="24"/>
        </w:rPr>
      </w:pPr>
      <w:r w:rsidRPr="00B96D75">
        <w:rPr>
          <w:sz w:val="24"/>
          <w:szCs w:val="24"/>
        </w:rPr>
        <w:t>Services LLC d/b/a Verizon Access</w:t>
      </w:r>
      <w:r w:rsidR="00C362C1" w:rsidRPr="00B96D75">
        <w:rPr>
          <w:sz w:val="24"/>
          <w:szCs w:val="24"/>
        </w:rPr>
        <w:tab/>
      </w:r>
      <w:r w:rsidR="00C362C1" w:rsidRPr="00B96D75">
        <w:rPr>
          <w:sz w:val="24"/>
          <w:szCs w:val="24"/>
        </w:rPr>
        <w:tab/>
        <w:t>:</w:t>
      </w:r>
    </w:p>
    <w:p w:rsidR="00B70599" w:rsidRPr="00B96D75" w:rsidRDefault="00B70599" w:rsidP="00B70599">
      <w:pPr>
        <w:rPr>
          <w:sz w:val="24"/>
          <w:szCs w:val="24"/>
        </w:rPr>
      </w:pPr>
      <w:r w:rsidRPr="00B96D75">
        <w:rPr>
          <w:sz w:val="24"/>
          <w:szCs w:val="24"/>
        </w:rPr>
        <w:t>Transmission Services</w:t>
      </w:r>
      <w:r w:rsidR="00C362C1" w:rsidRPr="00B96D75">
        <w:rPr>
          <w:sz w:val="24"/>
          <w:szCs w:val="24"/>
        </w:rPr>
        <w:tab/>
      </w:r>
      <w:r w:rsidR="00C362C1" w:rsidRPr="00B96D75">
        <w:rPr>
          <w:sz w:val="24"/>
          <w:szCs w:val="24"/>
        </w:rPr>
        <w:tab/>
      </w:r>
      <w:r w:rsidR="00C362C1"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B96D75">
        <w:rPr>
          <w:sz w:val="24"/>
          <w:szCs w:val="24"/>
        </w:rPr>
        <w:tab/>
      </w:r>
      <w:r w:rsidR="00C362C1"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t>:</w:t>
      </w:r>
      <w:r w:rsidRPr="00B96D75">
        <w:rPr>
          <w:sz w:val="24"/>
          <w:szCs w:val="24"/>
        </w:rPr>
        <w:tab/>
      </w:r>
      <w:r w:rsidRPr="00B96D75">
        <w:rPr>
          <w:sz w:val="24"/>
          <w:szCs w:val="24"/>
        </w:rPr>
        <w:tab/>
        <w:t>Docket No. C-2010-2216293</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 xml:space="preserve">MCI Communications Services Inc. </w:t>
      </w:r>
      <w:r w:rsidR="00C362C1" w:rsidRPr="00B96D75">
        <w:rPr>
          <w:sz w:val="24"/>
          <w:szCs w:val="24"/>
        </w:rPr>
        <w:tab/>
      </w:r>
      <w:r w:rsidR="00B96D75">
        <w:rPr>
          <w:sz w:val="24"/>
          <w:szCs w:val="24"/>
        </w:rPr>
        <w:tab/>
      </w:r>
      <w:r w:rsidR="00C362C1" w:rsidRPr="00B96D75">
        <w:rPr>
          <w:sz w:val="24"/>
          <w:szCs w:val="24"/>
        </w:rPr>
        <w:t>:</w:t>
      </w:r>
    </w:p>
    <w:p w:rsidR="003B1503" w:rsidRPr="00B96D75" w:rsidRDefault="00B70599" w:rsidP="003B1503">
      <w:pPr>
        <w:rPr>
          <w:sz w:val="24"/>
          <w:szCs w:val="24"/>
        </w:rPr>
      </w:pPr>
      <w:r w:rsidRPr="00B96D75">
        <w:rPr>
          <w:sz w:val="24"/>
          <w:szCs w:val="24"/>
        </w:rPr>
        <w:tab/>
      </w:r>
      <w:r w:rsidR="007255D0" w:rsidRPr="00B96D75">
        <w:rPr>
          <w:sz w:val="24"/>
          <w:szCs w:val="24"/>
        </w:rPr>
        <w:tab/>
      </w:r>
      <w:r w:rsidR="00035E9B" w:rsidRPr="00B96D75">
        <w:rPr>
          <w:sz w:val="24"/>
          <w:szCs w:val="24"/>
        </w:rPr>
        <w:tab/>
      </w:r>
      <w:r w:rsidR="007D41EF" w:rsidRPr="00B96D75">
        <w:rPr>
          <w:sz w:val="24"/>
          <w:szCs w:val="24"/>
        </w:rPr>
        <w:tab/>
      </w:r>
      <w:r w:rsidR="007D41EF" w:rsidRPr="00B96D75">
        <w:rPr>
          <w:sz w:val="24"/>
          <w:szCs w:val="24"/>
        </w:rPr>
        <w:tab/>
      </w:r>
      <w:r w:rsidR="005655C8" w:rsidRPr="00B96D75">
        <w:rPr>
          <w:sz w:val="24"/>
          <w:szCs w:val="24"/>
        </w:rPr>
        <w:tab/>
      </w:r>
      <w:r w:rsidR="005655C8" w:rsidRPr="00B96D75">
        <w:rPr>
          <w:sz w:val="24"/>
          <w:szCs w:val="24"/>
        </w:rPr>
        <w:tab/>
      </w:r>
    </w:p>
    <w:p w:rsidR="008E01E3" w:rsidRPr="00C81100" w:rsidRDefault="008E01E3"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CB0365" w:rsidRDefault="00A26946" w:rsidP="00CB0365">
      <w:pPr>
        <w:spacing w:line="360" w:lineRule="auto"/>
        <w:rPr>
          <w:sz w:val="24"/>
          <w:szCs w:val="24"/>
        </w:rPr>
      </w:pPr>
      <w:r>
        <w:rPr>
          <w:sz w:val="24"/>
          <w:szCs w:val="24"/>
        </w:rPr>
        <w:tab/>
      </w:r>
      <w:r>
        <w:rPr>
          <w:sz w:val="24"/>
          <w:szCs w:val="24"/>
        </w:rPr>
        <w:tab/>
      </w:r>
      <w:r w:rsidR="00CB0365" w:rsidRPr="00CB0365">
        <w:rPr>
          <w:sz w:val="24"/>
          <w:szCs w:val="24"/>
        </w:rPr>
        <w:t>On December 1</w:t>
      </w:r>
      <w:r w:rsidR="00CB0365">
        <w:rPr>
          <w:sz w:val="24"/>
          <w:szCs w:val="24"/>
        </w:rPr>
        <w:t>6</w:t>
      </w:r>
      <w:r w:rsidR="00CB0365" w:rsidRPr="00CB0365">
        <w:rPr>
          <w:sz w:val="24"/>
          <w:szCs w:val="24"/>
        </w:rPr>
        <w:t>, 2010, Armstrong Telecommunications, Inc</w:t>
      </w:r>
      <w:r w:rsidR="00CB0365">
        <w:rPr>
          <w:sz w:val="24"/>
          <w:szCs w:val="24"/>
        </w:rPr>
        <w:t xml:space="preserve">., </w:t>
      </w:r>
      <w:r w:rsidR="00CB0365" w:rsidRPr="00CB0365">
        <w:rPr>
          <w:sz w:val="24"/>
          <w:szCs w:val="24"/>
        </w:rPr>
        <w:t>(</w:t>
      </w:r>
      <w:r w:rsidR="00CB0365">
        <w:rPr>
          <w:sz w:val="24"/>
          <w:szCs w:val="24"/>
        </w:rPr>
        <w:t>Armstrong</w:t>
      </w:r>
      <w:r w:rsidR="00CB0365" w:rsidRPr="00CB0365">
        <w:rPr>
          <w:sz w:val="24"/>
          <w:szCs w:val="24"/>
        </w:rPr>
        <w:t xml:space="preserve">) filed </w:t>
      </w:r>
      <w:r w:rsidR="00120D96">
        <w:rPr>
          <w:sz w:val="24"/>
          <w:szCs w:val="24"/>
        </w:rPr>
        <w:t xml:space="preserve">four separate </w:t>
      </w:r>
      <w:r w:rsidR="00CB0365">
        <w:rPr>
          <w:sz w:val="24"/>
          <w:szCs w:val="24"/>
        </w:rPr>
        <w:t xml:space="preserve">Complaints with </w:t>
      </w:r>
      <w:r w:rsidR="00CB0365" w:rsidRPr="00CB0365">
        <w:rPr>
          <w:sz w:val="24"/>
          <w:szCs w:val="24"/>
        </w:rPr>
        <w:t xml:space="preserve">the Pennsylvania Public Utility Commission (Commission) </w:t>
      </w:r>
      <w:r w:rsidR="00CB0365">
        <w:rPr>
          <w:sz w:val="24"/>
          <w:szCs w:val="24"/>
        </w:rPr>
        <w:t>against</w:t>
      </w:r>
      <w:r w:rsidR="00120D96">
        <w:rPr>
          <w:sz w:val="24"/>
          <w:szCs w:val="24"/>
        </w:rPr>
        <w:t>:</w:t>
      </w:r>
      <w:r w:rsidR="00CB0365">
        <w:rPr>
          <w:sz w:val="24"/>
          <w:szCs w:val="24"/>
        </w:rPr>
        <w:t xml:space="preserve"> </w:t>
      </w:r>
      <w:r w:rsidR="00CB0365" w:rsidRPr="00B96D75">
        <w:rPr>
          <w:sz w:val="24"/>
          <w:szCs w:val="24"/>
        </w:rPr>
        <w:t>Verizon Pennsylvania Inc.</w:t>
      </w:r>
      <w:r w:rsidR="00CB0365">
        <w:rPr>
          <w:sz w:val="24"/>
          <w:szCs w:val="24"/>
        </w:rPr>
        <w:t xml:space="preserve">, </w:t>
      </w:r>
      <w:r w:rsidR="00CB0365" w:rsidRPr="00B96D75">
        <w:rPr>
          <w:sz w:val="24"/>
          <w:szCs w:val="24"/>
        </w:rPr>
        <w:t>Verizon North LLC</w:t>
      </w:r>
      <w:r w:rsidR="00CB0365">
        <w:rPr>
          <w:sz w:val="24"/>
          <w:szCs w:val="24"/>
        </w:rPr>
        <w:t xml:space="preserve">, </w:t>
      </w:r>
      <w:r w:rsidR="00CB0365" w:rsidRPr="00CB0365">
        <w:rPr>
          <w:sz w:val="24"/>
          <w:szCs w:val="24"/>
        </w:rPr>
        <w:t>MCImetro Access Transmission</w:t>
      </w:r>
      <w:r w:rsidR="00CB0365">
        <w:rPr>
          <w:sz w:val="24"/>
          <w:szCs w:val="24"/>
        </w:rPr>
        <w:t xml:space="preserve"> </w:t>
      </w:r>
      <w:r w:rsidR="00CB0365" w:rsidRPr="00CB0365">
        <w:rPr>
          <w:sz w:val="24"/>
          <w:szCs w:val="24"/>
        </w:rPr>
        <w:t>Services LLC d/b/a Verizon Access</w:t>
      </w:r>
      <w:r w:rsidR="00CB0365">
        <w:rPr>
          <w:sz w:val="24"/>
          <w:szCs w:val="24"/>
        </w:rPr>
        <w:t xml:space="preserve"> </w:t>
      </w:r>
      <w:r w:rsidR="00CB0365" w:rsidRPr="00CB0365">
        <w:rPr>
          <w:sz w:val="24"/>
          <w:szCs w:val="24"/>
        </w:rPr>
        <w:t>Transmission Services</w:t>
      </w:r>
      <w:r w:rsidR="00CB0365">
        <w:rPr>
          <w:sz w:val="24"/>
          <w:szCs w:val="24"/>
        </w:rPr>
        <w:t xml:space="preserve">, and </w:t>
      </w:r>
      <w:r w:rsidR="00CB0365" w:rsidRPr="00B96D75">
        <w:rPr>
          <w:sz w:val="24"/>
          <w:szCs w:val="24"/>
        </w:rPr>
        <w:t>MCI Communications Services Inc.</w:t>
      </w:r>
      <w:r w:rsidR="00CB0365">
        <w:rPr>
          <w:sz w:val="24"/>
          <w:szCs w:val="24"/>
        </w:rPr>
        <w:t xml:space="preserve"> (collectively Verizon or Respondent) alleging non-payment by Verizon for services rendered </w:t>
      </w:r>
      <w:r w:rsidR="00CB0365">
        <w:rPr>
          <w:sz w:val="24"/>
          <w:szCs w:val="24"/>
        </w:rPr>
        <w:lastRenderedPageBreak/>
        <w:t xml:space="preserve">by Armstrong.  On January 10, 2011, Verizon filed an Answer and New Matter.  On January 31, 2011, Armstrong filed a Reply to New Matter.  </w:t>
      </w:r>
    </w:p>
    <w:p w:rsidR="00CB0365" w:rsidRDefault="00CB0365" w:rsidP="00CB0365">
      <w:pPr>
        <w:spacing w:line="360" w:lineRule="auto"/>
        <w:rPr>
          <w:sz w:val="24"/>
          <w:szCs w:val="24"/>
        </w:rPr>
      </w:pPr>
    </w:p>
    <w:p w:rsidR="00CB0365" w:rsidRDefault="00CB0365" w:rsidP="00CB0365">
      <w:pPr>
        <w:spacing w:line="360" w:lineRule="auto"/>
        <w:rPr>
          <w:sz w:val="24"/>
          <w:szCs w:val="24"/>
        </w:rPr>
      </w:pPr>
      <w:r>
        <w:rPr>
          <w:sz w:val="24"/>
          <w:szCs w:val="24"/>
        </w:rPr>
        <w:tab/>
      </w:r>
      <w:r>
        <w:rPr>
          <w:sz w:val="24"/>
          <w:szCs w:val="24"/>
        </w:rPr>
        <w:tab/>
      </w:r>
      <w:r w:rsidRPr="00CB0365">
        <w:rPr>
          <w:sz w:val="24"/>
          <w:szCs w:val="24"/>
        </w:rPr>
        <w:t xml:space="preserve">This </w:t>
      </w:r>
      <w:r w:rsidR="005A2608">
        <w:rPr>
          <w:sz w:val="24"/>
          <w:szCs w:val="24"/>
        </w:rPr>
        <w:t>case</w:t>
      </w:r>
      <w:r w:rsidRPr="00CB0365">
        <w:rPr>
          <w:sz w:val="24"/>
          <w:szCs w:val="24"/>
        </w:rPr>
        <w:t xml:space="preserve"> was assigned to me as presiding officer on </w:t>
      </w:r>
      <w:r>
        <w:rPr>
          <w:sz w:val="24"/>
          <w:szCs w:val="24"/>
        </w:rPr>
        <w:t>February 24, 2011</w:t>
      </w:r>
      <w:r w:rsidRPr="00CB0365">
        <w:rPr>
          <w:sz w:val="24"/>
          <w:szCs w:val="24"/>
        </w:rPr>
        <w:t xml:space="preserve">, and on </w:t>
      </w:r>
      <w:r>
        <w:rPr>
          <w:sz w:val="24"/>
          <w:szCs w:val="24"/>
        </w:rPr>
        <w:t>March 4</w:t>
      </w:r>
      <w:r w:rsidRPr="00CB0365">
        <w:rPr>
          <w:sz w:val="24"/>
          <w:szCs w:val="24"/>
        </w:rPr>
        <w:t>, 2011, a prehearing Order</w:t>
      </w:r>
      <w:r w:rsidR="005A2608">
        <w:rPr>
          <w:sz w:val="24"/>
          <w:szCs w:val="24"/>
        </w:rPr>
        <w:t xml:space="preserve"> was issued</w:t>
      </w:r>
      <w:r w:rsidRPr="00CB0365">
        <w:rPr>
          <w:sz w:val="24"/>
          <w:szCs w:val="24"/>
        </w:rPr>
        <w:t xml:space="preserve">.  </w:t>
      </w:r>
      <w:r w:rsidR="005A2608">
        <w:rPr>
          <w:sz w:val="24"/>
          <w:szCs w:val="24"/>
        </w:rPr>
        <w:t>On March 17, 2011</w:t>
      </w:r>
      <w:r w:rsidRPr="00CB0365">
        <w:rPr>
          <w:sz w:val="24"/>
          <w:szCs w:val="24"/>
        </w:rPr>
        <w:t xml:space="preserve">, </w:t>
      </w:r>
      <w:r w:rsidR="00120D96">
        <w:rPr>
          <w:sz w:val="24"/>
          <w:szCs w:val="24"/>
        </w:rPr>
        <w:t xml:space="preserve">both </w:t>
      </w:r>
      <w:r w:rsidR="005A2608">
        <w:rPr>
          <w:sz w:val="24"/>
          <w:szCs w:val="24"/>
        </w:rPr>
        <w:t>P</w:t>
      </w:r>
      <w:r w:rsidRPr="00CB0365">
        <w:rPr>
          <w:sz w:val="24"/>
          <w:szCs w:val="24"/>
        </w:rPr>
        <w:t>art</w:t>
      </w:r>
      <w:r w:rsidR="00120D96">
        <w:rPr>
          <w:sz w:val="24"/>
          <w:szCs w:val="24"/>
        </w:rPr>
        <w:t xml:space="preserve">ies </w:t>
      </w:r>
      <w:r w:rsidRPr="00CB0365">
        <w:rPr>
          <w:sz w:val="24"/>
          <w:szCs w:val="24"/>
        </w:rPr>
        <w:t>filed a prehearing memorandum identifying issues</w:t>
      </w:r>
      <w:r>
        <w:rPr>
          <w:sz w:val="24"/>
          <w:szCs w:val="24"/>
        </w:rPr>
        <w:t>, and, in the case of Verizon, informally requesting a stay of these proceedings.</w:t>
      </w:r>
    </w:p>
    <w:p w:rsidR="00CB0365" w:rsidRDefault="00CB0365" w:rsidP="00CB0365">
      <w:pPr>
        <w:spacing w:line="360" w:lineRule="auto"/>
        <w:rPr>
          <w:sz w:val="24"/>
          <w:szCs w:val="24"/>
        </w:rPr>
      </w:pPr>
    </w:p>
    <w:p w:rsidR="001153BE" w:rsidRDefault="00CB0365" w:rsidP="00CB0365">
      <w:pPr>
        <w:spacing w:line="360" w:lineRule="auto"/>
        <w:rPr>
          <w:sz w:val="24"/>
          <w:szCs w:val="24"/>
        </w:rPr>
      </w:pPr>
      <w:r w:rsidRPr="00CB0365">
        <w:rPr>
          <w:sz w:val="24"/>
          <w:szCs w:val="24"/>
        </w:rPr>
        <w:tab/>
      </w:r>
      <w:r w:rsidRPr="00CB0365">
        <w:rPr>
          <w:sz w:val="24"/>
          <w:szCs w:val="24"/>
        </w:rPr>
        <w:tab/>
      </w:r>
      <w:r w:rsidR="005A2608">
        <w:rPr>
          <w:sz w:val="24"/>
          <w:szCs w:val="24"/>
        </w:rPr>
        <w:t>On March 21, 2011, a</w:t>
      </w:r>
      <w:r w:rsidR="002148B5">
        <w:rPr>
          <w:sz w:val="24"/>
          <w:szCs w:val="24"/>
        </w:rPr>
        <w:t xml:space="preserve"> prehearing conference was held</w:t>
      </w:r>
      <w:r w:rsidR="00120D96">
        <w:rPr>
          <w:sz w:val="24"/>
          <w:szCs w:val="24"/>
        </w:rPr>
        <w:t xml:space="preserve"> in Harrisburg, Pennsylvania</w:t>
      </w:r>
      <w:r w:rsidR="002148B5">
        <w:rPr>
          <w:sz w:val="24"/>
          <w:szCs w:val="24"/>
        </w:rPr>
        <w:t xml:space="preserve">, as scheduled.  At that prehearing conference, </w:t>
      </w:r>
      <w:r w:rsidR="005A2608">
        <w:rPr>
          <w:sz w:val="24"/>
          <w:szCs w:val="24"/>
        </w:rPr>
        <w:t>the undersigned</w:t>
      </w:r>
      <w:r w:rsidR="002148B5">
        <w:rPr>
          <w:sz w:val="24"/>
          <w:szCs w:val="24"/>
        </w:rPr>
        <w:t xml:space="preserve"> asked whether additional time might be needed by the Parties so as to attempt to reach a settlement of the issues in this matter, but after hearing statements from the Parties with respect to that suggestion, it did not appear that settlement discussions could even begin at this time.  Therefore, and i</w:t>
      </w:r>
      <w:r w:rsidRPr="00CB0365">
        <w:rPr>
          <w:sz w:val="24"/>
          <w:szCs w:val="24"/>
        </w:rPr>
        <w:t xml:space="preserve">n accordance with the provisions of 52 Pa. Code § 5.483, the purpose of this Order is to confirm certain agreements among the parties and related rulings made during the prehearing conference in this case on </w:t>
      </w:r>
      <w:r>
        <w:rPr>
          <w:sz w:val="24"/>
          <w:szCs w:val="24"/>
        </w:rPr>
        <w:t>Monday</w:t>
      </w:r>
      <w:r w:rsidRPr="00CB0365">
        <w:rPr>
          <w:sz w:val="24"/>
          <w:szCs w:val="24"/>
        </w:rPr>
        <w:t xml:space="preserve">, </w:t>
      </w:r>
      <w:r>
        <w:rPr>
          <w:sz w:val="24"/>
          <w:szCs w:val="24"/>
        </w:rPr>
        <w:t>March 21</w:t>
      </w:r>
      <w:r w:rsidRPr="00CB0365">
        <w:rPr>
          <w:sz w:val="24"/>
          <w:szCs w:val="24"/>
        </w:rPr>
        <w:t>, 2011.</w:t>
      </w:r>
    </w:p>
    <w:p w:rsidR="002148B5" w:rsidRDefault="002148B5" w:rsidP="00CB0365">
      <w:pPr>
        <w:spacing w:line="360" w:lineRule="auto"/>
        <w:rPr>
          <w:sz w:val="24"/>
          <w:szCs w:val="24"/>
        </w:rPr>
      </w:pPr>
    </w:p>
    <w:p w:rsidR="002148B5" w:rsidRDefault="002148B5" w:rsidP="002148B5">
      <w:pPr>
        <w:spacing w:line="360" w:lineRule="auto"/>
        <w:rPr>
          <w:sz w:val="24"/>
          <w:szCs w:val="24"/>
        </w:rPr>
      </w:pPr>
      <w:r>
        <w:rPr>
          <w:sz w:val="24"/>
          <w:szCs w:val="24"/>
        </w:rPr>
        <w:tab/>
      </w:r>
      <w:r>
        <w:rPr>
          <w:sz w:val="24"/>
          <w:szCs w:val="24"/>
        </w:rPr>
        <w:tab/>
      </w:r>
      <w:r w:rsidR="005A2608">
        <w:rPr>
          <w:sz w:val="24"/>
          <w:szCs w:val="24"/>
        </w:rPr>
        <w:t>First, t</w:t>
      </w:r>
      <w:r>
        <w:rPr>
          <w:sz w:val="24"/>
          <w:szCs w:val="24"/>
        </w:rPr>
        <w:t xml:space="preserve">he Parties have agreed that the four separate Complaints in this proceeding may be consolidated.  </w:t>
      </w:r>
      <w:r w:rsidRPr="00C52ADD">
        <w:rPr>
          <w:sz w:val="24"/>
          <w:szCs w:val="24"/>
        </w:rPr>
        <w:t>The Commission’s regulation pertaining to Consolidation appears at 52 Pa. Code § 5.81, and states in relevant part:</w:t>
      </w:r>
    </w:p>
    <w:p w:rsidR="002148B5" w:rsidRDefault="002148B5" w:rsidP="002148B5">
      <w:pPr>
        <w:pStyle w:val="NoSpacing"/>
        <w:spacing w:line="360" w:lineRule="auto"/>
        <w:rPr>
          <w:rFonts w:ascii="Times New Roman" w:hAnsi="Times New Roman" w:cs="Times New Roman"/>
          <w:sz w:val="24"/>
          <w:szCs w:val="24"/>
        </w:rPr>
      </w:pPr>
    </w:p>
    <w:p w:rsidR="002148B5" w:rsidRDefault="002148B5" w:rsidP="002148B5">
      <w:pPr>
        <w:pStyle w:val="NoSpacing"/>
        <w:ind w:left="1440"/>
        <w:rPr>
          <w:rFonts w:ascii="Times New Roman" w:hAnsi="Times New Roman" w:cs="Times New Roman"/>
          <w:b/>
          <w:bCs/>
          <w:sz w:val="24"/>
          <w:szCs w:val="24"/>
        </w:rPr>
      </w:pPr>
      <w:r w:rsidRPr="00C52ADD">
        <w:rPr>
          <w:rFonts w:ascii="Times New Roman" w:eastAsia="Calibri" w:hAnsi="Times New Roman" w:cs="Times New Roman"/>
          <w:b/>
          <w:bCs/>
          <w:sz w:val="24"/>
          <w:szCs w:val="24"/>
        </w:rPr>
        <w:t>§ 5.81. Consolidation</w:t>
      </w:r>
    </w:p>
    <w:p w:rsidR="002148B5" w:rsidRPr="00C52ADD" w:rsidRDefault="002148B5" w:rsidP="002148B5">
      <w:pPr>
        <w:pStyle w:val="NoSpacing"/>
        <w:ind w:left="1440"/>
        <w:rPr>
          <w:rFonts w:ascii="Times New Roman" w:hAnsi="Times New Roman" w:cs="Times New Roman"/>
          <w:sz w:val="24"/>
          <w:szCs w:val="24"/>
        </w:rPr>
      </w:pPr>
    </w:p>
    <w:p w:rsidR="002148B5" w:rsidRPr="00C52ADD" w:rsidRDefault="002148B5" w:rsidP="002148B5">
      <w:pPr>
        <w:pStyle w:val="NoSpacing"/>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C52ADD">
        <w:rPr>
          <w:rFonts w:ascii="Times New Roman" w:hAnsi="Times New Roman" w:cs="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2148B5" w:rsidRPr="00C52ADD" w:rsidRDefault="002148B5" w:rsidP="002148B5">
      <w:pPr>
        <w:pStyle w:val="NoSpacing"/>
        <w:ind w:left="1440" w:right="1440"/>
        <w:rPr>
          <w:rFonts w:ascii="Times New Roman" w:hAnsi="Times New Roman" w:cs="Times New Roman"/>
          <w:sz w:val="24"/>
          <w:szCs w:val="24"/>
        </w:rPr>
      </w:pPr>
    </w:p>
    <w:p w:rsidR="002148B5" w:rsidRPr="00C52ADD" w:rsidRDefault="002148B5" w:rsidP="002148B5">
      <w:pPr>
        <w:ind w:left="1440" w:right="1440"/>
        <w:rPr>
          <w:sz w:val="24"/>
          <w:szCs w:val="24"/>
        </w:rPr>
      </w:pPr>
      <w:proofErr w:type="gramStart"/>
      <w:r w:rsidRPr="00C52ADD">
        <w:rPr>
          <w:sz w:val="24"/>
          <w:szCs w:val="24"/>
        </w:rPr>
        <w:t>52 Pa.</w:t>
      </w:r>
      <w:r>
        <w:rPr>
          <w:sz w:val="24"/>
          <w:szCs w:val="24"/>
        </w:rPr>
        <w:t xml:space="preserve"> </w:t>
      </w:r>
      <w:r w:rsidRPr="00C52ADD">
        <w:rPr>
          <w:sz w:val="24"/>
          <w:szCs w:val="24"/>
        </w:rPr>
        <w:t>Code § 5.81(a).</w:t>
      </w:r>
      <w:proofErr w:type="gramEnd"/>
    </w:p>
    <w:p w:rsidR="002148B5" w:rsidRPr="00C52ADD" w:rsidRDefault="002148B5" w:rsidP="002148B5">
      <w:pPr>
        <w:pStyle w:val="NoSpacing"/>
        <w:spacing w:line="360" w:lineRule="auto"/>
        <w:rPr>
          <w:rFonts w:ascii="Times New Roman" w:hAnsi="Times New Roman" w:cs="Times New Roman"/>
          <w:sz w:val="24"/>
          <w:szCs w:val="24"/>
        </w:rPr>
      </w:pPr>
    </w:p>
    <w:p w:rsidR="002148B5" w:rsidRPr="00C52ADD" w:rsidRDefault="002148B5" w:rsidP="002148B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The question of consolidation is clearly left to the sound discretion of the Commission or presiding officer.</w:t>
      </w:r>
    </w:p>
    <w:p w:rsidR="002148B5" w:rsidRPr="00C52ADD" w:rsidRDefault="002148B5" w:rsidP="002148B5">
      <w:pPr>
        <w:pStyle w:val="NoSpacing"/>
        <w:spacing w:line="360" w:lineRule="auto"/>
        <w:rPr>
          <w:rFonts w:ascii="Times New Roman" w:hAnsi="Times New Roman" w:cs="Times New Roman"/>
          <w:sz w:val="24"/>
          <w:szCs w:val="24"/>
        </w:rPr>
      </w:pPr>
    </w:p>
    <w:p w:rsidR="002148B5" w:rsidRPr="00C52ADD" w:rsidRDefault="002148B5" w:rsidP="002148B5">
      <w:pPr>
        <w:widowControl w:val="0"/>
        <w:spacing w:line="360" w:lineRule="auto"/>
        <w:ind w:firstLine="1440"/>
        <w:rPr>
          <w:sz w:val="24"/>
          <w:szCs w:val="24"/>
        </w:rPr>
      </w:pPr>
      <w:r w:rsidRPr="00C52ADD">
        <w:rPr>
          <w:sz w:val="24"/>
          <w:szCs w:val="24"/>
        </w:rPr>
        <w:lastRenderedPageBreak/>
        <w:t xml:space="preserve">Cases have been consolidated for adjudication; </w:t>
      </w:r>
      <w:r w:rsidRPr="00C52ADD">
        <w:rPr>
          <w:i/>
          <w:sz w:val="24"/>
          <w:szCs w:val="24"/>
        </w:rPr>
        <w:t>Re Middletown Taxi Co.</w:t>
      </w:r>
      <w:r w:rsidRPr="00C52ADD">
        <w:rPr>
          <w:sz w:val="24"/>
          <w:szCs w:val="24"/>
        </w:rPr>
        <w:t xml:space="preserve">, 50 Pa. PUC 263 (1976), for hearing; </w:t>
      </w:r>
      <w:r w:rsidRPr="00C52ADD">
        <w:rPr>
          <w:i/>
          <w:sz w:val="24"/>
          <w:szCs w:val="24"/>
        </w:rPr>
        <w:t>City of York v. York Telephone and Telegraph Co.</w:t>
      </w:r>
      <w:r w:rsidRPr="00C52ADD">
        <w:rPr>
          <w:sz w:val="24"/>
          <w:szCs w:val="24"/>
        </w:rPr>
        <w:t xml:space="preserve">, 43 Pa. PUC 240 (1967), for briefing; </w:t>
      </w:r>
      <w:r w:rsidRPr="00C52ADD">
        <w:rPr>
          <w:i/>
          <w:sz w:val="24"/>
          <w:szCs w:val="24"/>
        </w:rPr>
        <w:t>Clepper Farms, Inc. v. Grantham Water Co.</w:t>
      </w:r>
      <w:r w:rsidRPr="00C52ADD">
        <w:rPr>
          <w:sz w:val="24"/>
          <w:szCs w:val="24"/>
        </w:rPr>
        <w:t xml:space="preserve">, 41 Pa. PUC 749 (1965), and have been refused consolidation for any purpose; </w:t>
      </w:r>
      <w:r w:rsidRPr="00C52ADD">
        <w:rPr>
          <w:i/>
          <w:sz w:val="24"/>
          <w:szCs w:val="24"/>
        </w:rPr>
        <w:t>Dopp v. Williamsburg Borough Dep’t of Water and Sewer</w:t>
      </w:r>
      <w:r w:rsidRPr="00C52ADD">
        <w:rPr>
          <w:sz w:val="24"/>
          <w:szCs w:val="24"/>
        </w:rPr>
        <w:t>, 59 Pa. PUC 25 (1984).</w:t>
      </w:r>
    </w:p>
    <w:p w:rsidR="002148B5" w:rsidRPr="00C52ADD" w:rsidRDefault="002148B5" w:rsidP="002148B5">
      <w:pPr>
        <w:widowControl w:val="0"/>
        <w:spacing w:line="360" w:lineRule="auto"/>
        <w:rPr>
          <w:sz w:val="24"/>
          <w:szCs w:val="24"/>
        </w:rPr>
      </w:pPr>
    </w:p>
    <w:p w:rsidR="002148B5" w:rsidRPr="00C52ADD" w:rsidRDefault="002148B5" w:rsidP="002148B5">
      <w:pPr>
        <w:widowControl w:val="0"/>
        <w:spacing w:line="360" w:lineRule="auto"/>
        <w:ind w:firstLine="1440"/>
        <w:rPr>
          <w:sz w:val="24"/>
          <w:szCs w:val="24"/>
        </w:rPr>
      </w:pPr>
      <w:r w:rsidRPr="00C52ADD">
        <w:rPr>
          <w:sz w:val="24"/>
          <w:szCs w:val="24"/>
        </w:rPr>
        <w:t xml:space="preserve">In considering the consolidation of cases, the first criteria (set forth in the Commission’s regulations) is that the proceedings must involve “a common question of law or fact”.  An examination of Commission precedent in such cases as </w:t>
      </w:r>
      <w:r w:rsidRPr="00C52ADD">
        <w:rPr>
          <w:i/>
          <w:sz w:val="24"/>
          <w:szCs w:val="24"/>
        </w:rPr>
        <w:t>Applications of Philadelphia Electric Co.</w:t>
      </w:r>
      <w:r w:rsidRPr="00C52ADD">
        <w:rPr>
          <w:sz w:val="24"/>
          <w:szCs w:val="24"/>
        </w:rPr>
        <w:t xml:space="preserve">, 43 Pa. PUC 781 (1968), </w:t>
      </w:r>
      <w:r w:rsidRPr="00C52ADD">
        <w:rPr>
          <w:i/>
          <w:sz w:val="24"/>
          <w:szCs w:val="24"/>
        </w:rPr>
        <w:t>Pa. Public Utility Comm’n v. Bell Telephone Co. of Pennsylvania</w:t>
      </w:r>
      <w:r w:rsidRPr="00C52ADD">
        <w:rPr>
          <w:sz w:val="24"/>
          <w:szCs w:val="24"/>
        </w:rPr>
        <w:t xml:space="preserve">, 46 Pa. PUC 568 (1973), and </w:t>
      </w:r>
      <w:r w:rsidRPr="00C52ADD">
        <w:rPr>
          <w:i/>
          <w:sz w:val="24"/>
          <w:szCs w:val="24"/>
        </w:rPr>
        <w:t>Pa. Public Utility Comm’n v. Butler Twp. Water Co.</w:t>
      </w:r>
      <w:r w:rsidRPr="00C52ADD">
        <w:rPr>
          <w:sz w:val="24"/>
          <w:szCs w:val="24"/>
        </w:rPr>
        <w:t>, 52 Pa. PUC 442 (1978), as well as those cited above, establishes that considerations in addition to the presence of common questions of law or fact must also be evaluated in</w:t>
      </w:r>
      <w:r>
        <w:rPr>
          <w:sz w:val="24"/>
          <w:szCs w:val="24"/>
        </w:rPr>
        <w:t xml:space="preserve"> ruling on a consolidation.  Tho</w:t>
      </w:r>
      <w:r w:rsidRPr="00C52ADD">
        <w:rPr>
          <w:sz w:val="24"/>
          <w:szCs w:val="24"/>
        </w:rPr>
        <w:t>se other considerations are:</w:t>
      </w:r>
    </w:p>
    <w:p w:rsidR="002148B5" w:rsidRPr="00C52ADD" w:rsidRDefault="002148B5" w:rsidP="002148B5">
      <w:pPr>
        <w:widowControl w:val="0"/>
        <w:spacing w:line="360" w:lineRule="auto"/>
        <w:rPr>
          <w:sz w:val="24"/>
          <w:szCs w:val="24"/>
        </w:rPr>
      </w:pPr>
    </w:p>
    <w:p w:rsidR="002148B5" w:rsidRPr="00C52ADD" w:rsidRDefault="002148B5" w:rsidP="002148B5">
      <w:pPr>
        <w:ind w:left="2160" w:hanging="720"/>
        <w:rPr>
          <w:sz w:val="24"/>
          <w:szCs w:val="24"/>
        </w:rPr>
      </w:pPr>
      <w:r w:rsidRPr="00C52ADD">
        <w:rPr>
          <w:sz w:val="24"/>
          <w:szCs w:val="24"/>
        </w:rPr>
        <w:t>1.</w:t>
      </w:r>
      <w:r w:rsidRPr="00C52ADD">
        <w:rPr>
          <w:sz w:val="24"/>
          <w:szCs w:val="24"/>
        </w:rPr>
        <w:tab/>
        <w:t>Will the presence of additional issues cloud a determination of the common issues?</w:t>
      </w:r>
    </w:p>
    <w:p w:rsidR="002148B5" w:rsidRPr="00C52ADD" w:rsidRDefault="002148B5" w:rsidP="002148B5">
      <w:pPr>
        <w:rPr>
          <w:sz w:val="24"/>
          <w:szCs w:val="24"/>
        </w:rPr>
      </w:pPr>
    </w:p>
    <w:p w:rsidR="002148B5" w:rsidRPr="00C52ADD" w:rsidRDefault="002148B5" w:rsidP="002148B5">
      <w:pPr>
        <w:widowControl w:val="0"/>
        <w:ind w:left="2160" w:hanging="720"/>
        <w:rPr>
          <w:sz w:val="24"/>
          <w:szCs w:val="24"/>
        </w:rPr>
      </w:pPr>
      <w:r w:rsidRPr="00C52ADD">
        <w:rPr>
          <w:sz w:val="24"/>
          <w:szCs w:val="24"/>
        </w:rPr>
        <w:t>2.</w:t>
      </w:r>
      <w:r w:rsidRPr="00C52ADD">
        <w:rPr>
          <w:sz w:val="24"/>
          <w:szCs w:val="24"/>
        </w:rPr>
        <w:tab/>
        <w:t>Will consolidation result in reduced costs of litigation and decision-making for the parties and the Commission?</w:t>
      </w:r>
    </w:p>
    <w:p w:rsidR="002148B5" w:rsidRPr="00C52ADD" w:rsidRDefault="002148B5" w:rsidP="002148B5">
      <w:pPr>
        <w:widowControl w:val="0"/>
        <w:rPr>
          <w:sz w:val="24"/>
          <w:szCs w:val="24"/>
        </w:rPr>
      </w:pPr>
    </w:p>
    <w:p w:rsidR="002148B5" w:rsidRPr="00C52ADD" w:rsidRDefault="002148B5" w:rsidP="002148B5">
      <w:pPr>
        <w:widowControl w:val="0"/>
        <w:ind w:left="2160" w:hanging="720"/>
        <w:rPr>
          <w:sz w:val="24"/>
          <w:szCs w:val="24"/>
        </w:rPr>
      </w:pPr>
      <w:r w:rsidRPr="00C52ADD">
        <w:rPr>
          <w:sz w:val="24"/>
          <w:szCs w:val="24"/>
        </w:rPr>
        <w:t>3.</w:t>
      </w:r>
      <w:r w:rsidRPr="00C52ADD">
        <w:rPr>
          <w:sz w:val="24"/>
          <w:szCs w:val="24"/>
        </w:rPr>
        <w:tab/>
        <w:t>Do issues in one proceeding go to the heart of an issue in the other proceeding?</w:t>
      </w:r>
    </w:p>
    <w:p w:rsidR="002148B5" w:rsidRPr="00C52ADD" w:rsidRDefault="002148B5" w:rsidP="002148B5">
      <w:pPr>
        <w:widowControl w:val="0"/>
        <w:rPr>
          <w:sz w:val="24"/>
          <w:szCs w:val="24"/>
        </w:rPr>
      </w:pPr>
    </w:p>
    <w:p w:rsidR="002148B5" w:rsidRPr="00C52ADD" w:rsidRDefault="002148B5" w:rsidP="002148B5">
      <w:pPr>
        <w:widowControl w:val="0"/>
        <w:ind w:left="2160" w:hanging="720"/>
        <w:rPr>
          <w:sz w:val="24"/>
          <w:szCs w:val="24"/>
        </w:rPr>
      </w:pPr>
      <w:r w:rsidRPr="00C52ADD">
        <w:rPr>
          <w:sz w:val="24"/>
          <w:szCs w:val="24"/>
        </w:rPr>
        <w:t>4.</w:t>
      </w:r>
      <w:r w:rsidRPr="00C52ADD">
        <w:rPr>
          <w:sz w:val="24"/>
          <w:szCs w:val="24"/>
        </w:rPr>
        <w:tab/>
        <w:t>Will consolidation unduly protract the hearing, or produce a disorderly and unwieldy record?</w:t>
      </w:r>
    </w:p>
    <w:p w:rsidR="002148B5" w:rsidRPr="00C52ADD" w:rsidRDefault="002148B5" w:rsidP="002148B5">
      <w:pPr>
        <w:widowControl w:val="0"/>
        <w:rPr>
          <w:sz w:val="24"/>
          <w:szCs w:val="24"/>
        </w:rPr>
      </w:pPr>
    </w:p>
    <w:p w:rsidR="002148B5" w:rsidRPr="00C52ADD" w:rsidRDefault="002148B5" w:rsidP="002148B5">
      <w:pPr>
        <w:widowControl w:val="0"/>
        <w:ind w:firstLine="1440"/>
        <w:rPr>
          <w:sz w:val="24"/>
          <w:szCs w:val="24"/>
        </w:rPr>
      </w:pPr>
      <w:r w:rsidRPr="00C52ADD">
        <w:rPr>
          <w:sz w:val="24"/>
          <w:szCs w:val="24"/>
        </w:rPr>
        <w:t>5.</w:t>
      </w:r>
      <w:r w:rsidRPr="00C52ADD">
        <w:rPr>
          <w:sz w:val="24"/>
          <w:szCs w:val="24"/>
        </w:rPr>
        <w:tab/>
        <w:t>Will different statutory and legal issues be involved?</w:t>
      </w:r>
    </w:p>
    <w:p w:rsidR="002148B5" w:rsidRPr="00C52ADD" w:rsidRDefault="002148B5" w:rsidP="002148B5">
      <w:pPr>
        <w:widowControl w:val="0"/>
        <w:rPr>
          <w:sz w:val="24"/>
          <w:szCs w:val="24"/>
        </w:rPr>
      </w:pPr>
    </w:p>
    <w:p w:rsidR="002148B5" w:rsidRPr="00C52ADD" w:rsidRDefault="002148B5" w:rsidP="002148B5">
      <w:pPr>
        <w:widowControl w:val="0"/>
        <w:ind w:firstLine="1440"/>
        <w:rPr>
          <w:sz w:val="24"/>
          <w:szCs w:val="24"/>
        </w:rPr>
      </w:pPr>
      <w:r w:rsidRPr="00C52ADD">
        <w:rPr>
          <w:sz w:val="24"/>
          <w:szCs w:val="24"/>
        </w:rPr>
        <w:t>6.</w:t>
      </w:r>
      <w:r w:rsidRPr="00C52ADD">
        <w:rPr>
          <w:sz w:val="24"/>
          <w:szCs w:val="24"/>
        </w:rPr>
        <w:tab/>
        <w:t>Does the party with the burden of proof differ in the proceedings?</w:t>
      </w:r>
    </w:p>
    <w:p w:rsidR="002148B5" w:rsidRPr="00C52ADD" w:rsidRDefault="002148B5" w:rsidP="002148B5">
      <w:pPr>
        <w:widowControl w:val="0"/>
        <w:rPr>
          <w:sz w:val="24"/>
          <w:szCs w:val="24"/>
        </w:rPr>
      </w:pPr>
    </w:p>
    <w:p w:rsidR="002148B5" w:rsidRPr="00C52ADD" w:rsidRDefault="002148B5" w:rsidP="002148B5">
      <w:pPr>
        <w:widowControl w:val="0"/>
        <w:ind w:firstLine="1440"/>
        <w:rPr>
          <w:sz w:val="24"/>
          <w:szCs w:val="24"/>
        </w:rPr>
      </w:pPr>
      <w:r w:rsidRPr="00C52ADD">
        <w:rPr>
          <w:sz w:val="24"/>
          <w:szCs w:val="24"/>
        </w:rPr>
        <w:t>7.</w:t>
      </w:r>
      <w:r w:rsidRPr="00C52ADD">
        <w:rPr>
          <w:sz w:val="24"/>
          <w:szCs w:val="24"/>
        </w:rPr>
        <w:tab/>
        <w:t>Will consolidation unduly delay the resolution of one of the proceedings?</w:t>
      </w:r>
    </w:p>
    <w:p w:rsidR="002148B5" w:rsidRPr="00C52ADD" w:rsidRDefault="002148B5" w:rsidP="002148B5">
      <w:pPr>
        <w:widowControl w:val="0"/>
        <w:rPr>
          <w:sz w:val="24"/>
          <w:szCs w:val="24"/>
        </w:rPr>
      </w:pPr>
    </w:p>
    <w:p w:rsidR="002148B5" w:rsidRPr="00C52ADD" w:rsidRDefault="002148B5" w:rsidP="002148B5">
      <w:pPr>
        <w:widowControl w:val="0"/>
        <w:tabs>
          <w:tab w:val="left" w:pos="1584"/>
          <w:tab w:val="left" w:pos="2160"/>
        </w:tabs>
        <w:ind w:firstLine="1440"/>
        <w:rPr>
          <w:sz w:val="24"/>
          <w:szCs w:val="24"/>
        </w:rPr>
      </w:pPr>
      <w:r>
        <w:rPr>
          <w:sz w:val="24"/>
          <w:szCs w:val="24"/>
        </w:rPr>
        <w:t>8.</w:t>
      </w:r>
      <w:r>
        <w:rPr>
          <w:sz w:val="24"/>
          <w:szCs w:val="24"/>
        </w:rPr>
        <w:tab/>
      </w:r>
      <w:r w:rsidRPr="00C52ADD">
        <w:rPr>
          <w:sz w:val="24"/>
          <w:szCs w:val="24"/>
        </w:rPr>
        <w:t>Will supporting data in both proceedings be repetitive?</w:t>
      </w:r>
    </w:p>
    <w:p w:rsidR="002148B5" w:rsidRPr="00C52ADD" w:rsidRDefault="002148B5" w:rsidP="002148B5">
      <w:pPr>
        <w:widowControl w:val="0"/>
        <w:tabs>
          <w:tab w:val="left" w:pos="1584"/>
          <w:tab w:val="left" w:pos="2304"/>
        </w:tabs>
        <w:spacing w:line="360" w:lineRule="auto"/>
        <w:rPr>
          <w:sz w:val="24"/>
          <w:szCs w:val="24"/>
        </w:rPr>
      </w:pPr>
    </w:p>
    <w:p w:rsidR="002148B5" w:rsidRPr="00C52ADD" w:rsidRDefault="002148B5" w:rsidP="002148B5">
      <w:pPr>
        <w:widowControl w:val="0"/>
        <w:spacing w:line="360" w:lineRule="auto"/>
        <w:ind w:firstLine="1440"/>
        <w:rPr>
          <w:sz w:val="24"/>
          <w:szCs w:val="24"/>
        </w:rPr>
      </w:pPr>
      <w:r w:rsidRPr="00C52ADD">
        <w:rPr>
          <w:sz w:val="24"/>
          <w:szCs w:val="24"/>
        </w:rPr>
        <w:t xml:space="preserve">No single consideration, nor group of these considerations, is dispositive of a consolidation, any more so than the presence of a common question of law or fact.  Rather, the </w:t>
      </w:r>
      <w:r w:rsidRPr="00C52ADD">
        <w:rPr>
          <w:sz w:val="24"/>
          <w:szCs w:val="24"/>
        </w:rPr>
        <w:lastRenderedPageBreak/>
        <w:t>evaluation of all of them and a balancing of those favoring and disfavoring consolidation is required.</w:t>
      </w:r>
    </w:p>
    <w:p w:rsidR="002148B5" w:rsidRPr="00C52ADD" w:rsidRDefault="002148B5" w:rsidP="002148B5">
      <w:pPr>
        <w:widowControl w:val="0"/>
        <w:spacing w:line="360" w:lineRule="auto"/>
        <w:rPr>
          <w:sz w:val="24"/>
          <w:szCs w:val="24"/>
        </w:rPr>
      </w:pPr>
    </w:p>
    <w:p w:rsidR="002148B5" w:rsidRPr="00C52ADD" w:rsidRDefault="002148B5" w:rsidP="002148B5">
      <w:pPr>
        <w:pStyle w:val="Style"/>
        <w:spacing w:line="360" w:lineRule="auto"/>
        <w:ind w:firstLine="1440"/>
      </w:pPr>
      <w:r w:rsidRPr="00C52ADD">
        <w:t>In the cases</w:t>
      </w:r>
      <w:r>
        <w:t xml:space="preserve"> now before us</w:t>
      </w:r>
      <w:r w:rsidRPr="00C52ADD">
        <w:t xml:space="preserve">, </w:t>
      </w:r>
      <w:r w:rsidRPr="00C52ADD">
        <w:rPr>
          <w:color w:val="000000"/>
        </w:rPr>
        <w:t xml:space="preserve">the above-captioned proceedings are interrelated and raise common issues of law and fact.  Because the disposition of each of these matters is interrelated, the consolidation of these proceedings will promote the efficient use of the time and resources of the </w:t>
      </w:r>
      <w:r>
        <w:rPr>
          <w:color w:val="000000"/>
        </w:rPr>
        <w:t>P</w:t>
      </w:r>
      <w:r w:rsidRPr="00C52ADD">
        <w:rPr>
          <w:color w:val="000000"/>
        </w:rPr>
        <w:t>arties and the Commission.</w:t>
      </w:r>
      <w:r>
        <w:rPr>
          <w:color w:val="000000"/>
        </w:rPr>
        <w:t xml:space="preserve">  </w:t>
      </w:r>
      <w:r w:rsidRPr="00C52ADD">
        <w:t xml:space="preserve">Consolidation of these cases will not unduly delay the resolution of </w:t>
      </w:r>
      <w:r>
        <w:t>any</w:t>
      </w:r>
      <w:r w:rsidRPr="00C52ADD">
        <w:t xml:space="preserve"> of them.  They </w:t>
      </w:r>
      <w:r w:rsidR="005A2608">
        <w:t>may</w:t>
      </w:r>
      <w:r w:rsidRPr="00C52ADD">
        <w:t xml:space="preserve"> be heard, briefed, and decided together.</w:t>
      </w:r>
    </w:p>
    <w:p w:rsidR="002148B5" w:rsidRPr="00C52ADD" w:rsidRDefault="002148B5" w:rsidP="002148B5">
      <w:pPr>
        <w:spacing w:line="360" w:lineRule="auto"/>
        <w:rPr>
          <w:sz w:val="24"/>
          <w:szCs w:val="24"/>
        </w:rPr>
      </w:pPr>
    </w:p>
    <w:p w:rsidR="002148B5" w:rsidRDefault="002148B5" w:rsidP="002148B5">
      <w:pPr>
        <w:widowControl w:val="0"/>
        <w:spacing w:line="360" w:lineRule="auto"/>
        <w:ind w:firstLine="1440"/>
        <w:rPr>
          <w:sz w:val="24"/>
          <w:szCs w:val="24"/>
        </w:rPr>
      </w:pPr>
      <w:r w:rsidRPr="00C52ADD">
        <w:rPr>
          <w:sz w:val="24"/>
          <w:szCs w:val="24"/>
        </w:rPr>
        <w:t>For all of the stated reasons, a consolidation for hearing, briefing, and adjudicati</w:t>
      </w:r>
      <w:r>
        <w:rPr>
          <w:sz w:val="24"/>
          <w:szCs w:val="24"/>
        </w:rPr>
        <w:t>o</w:t>
      </w:r>
      <w:r w:rsidRPr="00C52ADD">
        <w:rPr>
          <w:sz w:val="24"/>
          <w:szCs w:val="24"/>
        </w:rPr>
        <w:t xml:space="preserve">n is warranted and </w:t>
      </w:r>
      <w:r>
        <w:rPr>
          <w:sz w:val="24"/>
          <w:szCs w:val="24"/>
        </w:rPr>
        <w:t xml:space="preserve">is </w:t>
      </w:r>
      <w:r w:rsidRPr="00C52ADD">
        <w:rPr>
          <w:sz w:val="24"/>
          <w:szCs w:val="24"/>
        </w:rPr>
        <w:t xml:space="preserve">in the public interest, </w:t>
      </w:r>
      <w:r w:rsidR="00120D96">
        <w:rPr>
          <w:sz w:val="24"/>
          <w:szCs w:val="24"/>
        </w:rPr>
        <w:t xml:space="preserve">in </w:t>
      </w:r>
      <w:r w:rsidRPr="00C52ADD">
        <w:rPr>
          <w:sz w:val="24"/>
          <w:szCs w:val="24"/>
        </w:rPr>
        <w:t>the interest of the</w:t>
      </w:r>
      <w:r>
        <w:rPr>
          <w:sz w:val="24"/>
          <w:szCs w:val="24"/>
        </w:rPr>
        <w:t xml:space="preserve"> P</w:t>
      </w:r>
      <w:r w:rsidRPr="00C52ADD">
        <w:rPr>
          <w:sz w:val="24"/>
          <w:szCs w:val="24"/>
        </w:rPr>
        <w:t xml:space="preserve">arties and </w:t>
      </w:r>
      <w:r w:rsidR="00120D96">
        <w:rPr>
          <w:sz w:val="24"/>
          <w:szCs w:val="24"/>
        </w:rPr>
        <w:t xml:space="preserve">in </w:t>
      </w:r>
      <w:r w:rsidRPr="00C52ADD">
        <w:rPr>
          <w:sz w:val="24"/>
          <w:szCs w:val="24"/>
        </w:rPr>
        <w:t>the interest of the Commission</w:t>
      </w:r>
      <w:r w:rsidR="005A2608">
        <w:rPr>
          <w:sz w:val="24"/>
          <w:szCs w:val="24"/>
        </w:rPr>
        <w:t xml:space="preserve"> and will be ordered</w:t>
      </w:r>
      <w:r>
        <w:rPr>
          <w:sz w:val="24"/>
          <w:szCs w:val="24"/>
        </w:rPr>
        <w:t>.</w:t>
      </w:r>
    </w:p>
    <w:p w:rsidR="002148B5" w:rsidRDefault="002148B5" w:rsidP="00CB0365">
      <w:pPr>
        <w:spacing w:line="360" w:lineRule="auto"/>
        <w:rPr>
          <w:sz w:val="24"/>
          <w:szCs w:val="24"/>
        </w:rPr>
      </w:pPr>
    </w:p>
    <w:p w:rsidR="00CB0365" w:rsidRDefault="001153BE" w:rsidP="00CB0365">
      <w:pPr>
        <w:spacing w:line="360" w:lineRule="auto"/>
        <w:rPr>
          <w:sz w:val="24"/>
          <w:szCs w:val="24"/>
        </w:rPr>
      </w:pPr>
      <w:r>
        <w:rPr>
          <w:sz w:val="24"/>
          <w:szCs w:val="24"/>
        </w:rPr>
        <w:tab/>
      </w:r>
      <w:r>
        <w:rPr>
          <w:sz w:val="24"/>
          <w:szCs w:val="24"/>
        </w:rPr>
        <w:tab/>
        <w:t xml:space="preserve">With respect to Verizon’s </w:t>
      </w:r>
      <w:r w:rsidR="005A2608">
        <w:rPr>
          <w:sz w:val="24"/>
          <w:szCs w:val="24"/>
        </w:rPr>
        <w:t xml:space="preserve">informal </w:t>
      </w:r>
      <w:r>
        <w:rPr>
          <w:sz w:val="24"/>
          <w:szCs w:val="24"/>
        </w:rPr>
        <w:t>request for a stay of</w:t>
      </w:r>
      <w:r w:rsidR="00CB0365" w:rsidRPr="00CB0365">
        <w:rPr>
          <w:sz w:val="24"/>
          <w:szCs w:val="24"/>
        </w:rPr>
        <w:t xml:space="preserve"> </w:t>
      </w:r>
      <w:r>
        <w:rPr>
          <w:sz w:val="24"/>
          <w:szCs w:val="24"/>
        </w:rPr>
        <w:t xml:space="preserve">these proceedings, Verizon suggests in its prehearing memorandum that these proceedings should be stayed pending the outcome of a rulemaking proceeding initiated by the Federal Communications Commission (FCC) on February 9, 2011.  That rulemaking </w:t>
      </w:r>
      <w:r w:rsidR="002148B5">
        <w:rPr>
          <w:sz w:val="24"/>
          <w:szCs w:val="24"/>
        </w:rPr>
        <w:t>is to consider and perhaps to resolve</w:t>
      </w:r>
      <w:r>
        <w:rPr>
          <w:sz w:val="24"/>
          <w:szCs w:val="24"/>
        </w:rPr>
        <w:t xml:space="preserve"> the dispute over intercarrier compensation for Voice over Internet Protocol (VoIP) traffic.  Comments to the FCC are due April 1, 2011 and reply comments are due April</w:t>
      </w:r>
      <w:r w:rsidR="003620A2">
        <w:rPr>
          <w:sz w:val="24"/>
          <w:szCs w:val="24"/>
        </w:rPr>
        <w:t xml:space="preserve"> 18, 2011.  Verizon Prehearing M</w:t>
      </w:r>
      <w:r>
        <w:rPr>
          <w:sz w:val="24"/>
          <w:szCs w:val="24"/>
        </w:rPr>
        <w:t>emorandum at 2-3.  Verizon’s request for a stay was opposed at the prehearing conference by Armstrong.</w:t>
      </w:r>
    </w:p>
    <w:p w:rsidR="003620A2" w:rsidRDefault="003620A2" w:rsidP="00CB0365">
      <w:pPr>
        <w:spacing w:line="360" w:lineRule="auto"/>
        <w:rPr>
          <w:sz w:val="24"/>
          <w:szCs w:val="24"/>
        </w:rPr>
      </w:pPr>
    </w:p>
    <w:p w:rsidR="003620A2" w:rsidRDefault="003620A2" w:rsidP="00CB0365">
      <w:pPr>
        <w:spacing w:line="360" w:lineRule="auto"/>
        <w:rPr>
          <w:sz w:val="24"/>
          <w:szCs w:val="24"/>
        </w:rPr>
      </w:pPr>
      <w:r>
        <w:rPr>
          <w:sz w:val="24"/>
          <w:szCs w:val="24"/>
        </w:rPr>
        <w:tab/>
      </w:r>
      <w:r>
        <w:rPr>
          <w:sz w:val="24"/>
          <w:szCs w:val="24"/>
        </w:rPr>
        <w:tab/>
        <w:t xml:space="preserve">At the prehearing conference, I declined to rule on Verizon’s request for a stay and directed that Verizon file a Petition for Stay (52 Pa. Code § 5.41), affording Armstrong an opportunity to </w:t>
      </w:r>
      <w:r w:rsidR="002148B5">
        <w:rPr>
          <w:sz w:val="24"/>
          <w:szCs w:val="24"/>
        </w:rPr>
        <w:t>answer the P</w:t>
      </w:r>
      <w:r>
        <w:rPr>
          <w:sz w:val="24"/>
          <w:szCs w:val="24"/>
        </w:rPr>
        <w:t>etition (52 Pa. Code § 5.61).</w:t>
      </w:r>
      <w:r w:rsidR="002148B5">
        <w:rPr>
          <w:rStyle w:val="FootnoteReference"/>
          <w:sz w:val="24"/>
          <w:szCs w:val="24"/>
        </w:rPr>
        <w:footnoteReference w:id="1"/>
      </w:r>
    </w:p>
    <w:p w:rsidR="003620A2" w:rsidRDefault="003620A2" w:rsidP="00CB0365">
      <w:pPr>
        <w:spacing w:line="360" w:lineRule="auto"/>
        <w:rPr>
          <w:sz w:val="24"/>
          <w:szCs w:val="24"/>
        </w:rPr>
      </w:pPr>
    </w:p>
    <w:p w:rsidR="003620A2" w:rsidRDefault="003620A2" w:rsidP="00CB0365">
      <w:pPr>
        <w:spacing w:line="360" w:lineRule="auto"/>
        <w:rPr>
          <w:sz w:val="24"/>
          <w:szCs w:val="24"/>
        </w:rPr>
      </w:pPr>
      <w:r>
        <w:rPr>
          <w:sz w:val="24"/>
          <w:szCs w:val="24"/>
        </w:rPr>
        <w:tab/>
      </w:r>
      <w:r>
        <w:rPr>
          <w:sz w:val="24"/>
          <w:szCs w:val="24"/>
        </w:rPr>
        <w:tab/>
        <w:t>For its part, Armstrong repeated its intention</w:t>
      </w:r>
      <w:r w:rsidR="002148B5">
        <w:rPr>
          <w:sz w:val="24"/>
          <w:szCs w:val="24"/>
        </w:rPr>
        <w:t>,</w:t>
      </w:r>
      <w:r>
        <w:rPr>
          <w:sz w:val="24"/>
          <w:szCs w:val="24"/>
        </w:rPr>
        <w:t xml:space="preserve"> as set forth in its prehearing memorandum, to file a Motion for Summary Judgment with respect to the issue of whether the </w:t>
      </w:r>
      <w:r>
        <w:rPr>
          <w:sz w:val="24"/>
          <w:szCs w:val="24"/>
        </w:rPr>
        <w:lastRenderedPageBreak/>
        <w:t xml:space="preserve">traffic referenced in this proceeding is subject to Armstrong’s state access tariff for intrastate switched access services when it is Internet Protocol (IP) originated and/or terminated traffic.   </w:t>
      </w:r>
      <w:proofErr w:type="gramStart"/>
      <w:r>
        <w:rPr>
          <w:sz w:val="24"/>
          <w:szCs w:val="24"/>
        </w:rPr>
        <w:t>Armstrong Prehearing Memorandum at 14.</w:t>
      </w:r>
      <w:proofErr w:type="gramEnd"/>
    </w:p>
    <w:p w:rsidR="003620A2" w:rsidRDefault="003620A2" w:rsidP="00CB0365">
      <w:pPr>
        <w:spacing w:line="360" w:lineRule="auto"/>
        <w:rPr>
          <w:sz w:val="24"/>
          <w:szCs w:val="24"/>
        </w:rPr>
      </w:pPr>
    </w:p>
    <w:p w:rsidR="003620A2" w:rsidRDefault="003620A2" w:rsidP="00CB0365">
      <w:pPr>
        <w:spacing w:line="360" w:lineRule="auto"/>
        <w:rPr>
          <w:sz w:val="24"/>
          <w:szCs w:val="24"/>
        </w:rPr>
      </w:pPr>
      <w:r>
        <w:rPr>
          <w:sz w:val="24"/>
          <w:szCs w:val="24"/>
        </w:rPr>
        <w:tab/>
      </w:r>
      <w:r>
        <w:rPr>
          <w:sz w:val="24"/>
          <w:szCs w:val="24"/>
        </w:rPr>
        <w:tab/>
        <w:t>After an off the record discussion, the Parties agreed that on April 18, 2011, Verizon will file a Petition for Stay of this proceeding and that Armstrong with simultaneously file a Motion for Summary Judgment.  The Parties also agreed that on May 19, 2011, Verizon will file its Answer to Armstrong’s Motion, and Armstrong will file its Answer to Verizon’s Petition.</w:t>
      </w:r>
      <w:r w:rsidR="0051398C">
        <w:rPr>
          <w:sz w:val="24"/>
          <w:szCs w:val="24"/>
        </w:rPr>
        <w:t xml:space="preserve">  This is an appropriate and workable schedule, and by this Order, it is adopted.</w:t>
      </w:r>
    </w:p>
    <w:p w:rsidR="003620A2" w:rsidRDefault="003620A2" w:rsidP="00CB0365">
      <w:pPr>
        <w:spacing w:line="360" w:lineRule="auto"/>
        <w:rPr>
          <w:sz w:val="24"/>
          <w:szCs w:val="24"/>
        </w:rPr>
      </w:pPr>
    </w:p>
    <w:p w:rsidR="003620A2" w:rsidRDefault="003620A2" w:rsidP="00CB0365">
      <w:pPr>
        <w:spacing w:line="360" w:lineRule="auto"/>
        <w:rPr>
          <w:sz w:val="24"/>
          <w:szCs w:val="24"/>
        </w:rPr>
      </w:pPr>
      <w:r>
        <w:rPr>
          <w:sz w:val="24"/>
          <w:szCs w:val="24"/>
        </w:rPr>
        <w:tab/>
      </w:r>
      <w:r>
        <w:rPr>
          <w:sz w:val="24"/>
          <w:szCs w:val="24"/>
        </w:rPr>
        <w:tab/>
        <w:t xml:space="preserve">At the prehearing conference, the Parties also jointly </w:t>
      </w:r>
      <w:r w:rsidR="005A2608">
        <w:rPr>
          <w:sz w:val="24"/>
          <w:szCs w:val="24"/>
        </w:rPr>
        <w:t>submitted</w:t>
      </w:r>
      <w:r>
        <w:rPr>
          <w:sz w:val="24"/>
          <w:szCs w:val="24"/>
        </w:rPr>
        <w:t xml:space="preserve"> a </w:t>
      </w:r>
      <w:r w:rsidR="005A2608">
        <w:rPr>
          <w:sz w:val="24"/>
          <w:szCs w:val="24"/>
        </w:rPr>
        <w:t xml:space="preserve">draft </w:t>
      </w:r>
      <w:r>
        <w:rPr>
          <w:sz w:val="24"/>
          <w:szCs w:val="24"/>
        </w:rPr>
        <w:t>Protective Order dealing with “Proprietary Information,” and “Highly Confidential Information.”</w:t>
      </w:r>
      <w:r w:rsidR="0051398C">
        <w:rPr>
          <w:sz w:val="24"/>
          <w:szCs w:val="24"/>
        </w:rPr>
        <w:t xml:space="preserve">  </w:t>
      </w:r>
      <w:r w:rsidR="002148B5">
        <w:rPr>
          <w:sz w:val="24"/>
          <w:szCs w:val="24"/>
        </w:rPr>
        <w:t>T</w:t>
      </w:r>
      <w:r w:rsidR="0051398C">
        <w:rPr>
          <w:sz w:val="24"/>
          <w:szCs w:val="24"/>
        </w:rPr>
        <w:t xml:space="preserve">he Protective Order </w:t>
      </w:r>
      <w:r w:rsidR="002148B5">
        <w:rPr>
          <w:sz w:val="24"/>
          <w:szCs w:val="24"/>
        </w:rPr>
        <w:t xml:space="preserve">is appropriate and properly drawn, and it was approved </w:t>
      </w:r>
      <w:r w:rsidR="005A2608">
        <w:rPr>
          <w:sz w:val="24"/>
          <w:szCs w:val="24"/>
        </w:rPr>
        <w:t xml:space="preserve">without modification </w:t>
      </w:r>
      <w:r w:rsidR="002148B5">
        <w:rPr>
          <w:sz w:val="24"/>
          <w:szCs w:val="24"/>
        </w:rPr>
        <w:t xml:space="preserve">and signed </w:t>
      </w:r>
      <w:r w:rsidR="0051398C">
        <w:rPr>
          <w:sz w:val="24"/>
          <w:szCs w:val="24"/>
        </w:rPr>
        <w:t>at the prehearing conference.</w:t>
      </w:r>
    </w:p>
    <w:p w:rsidR="00CB0365" w:rsidRDefault="00CB0365" w:rsidP="00CB0365">
      <w:pPr>
        <w:spacing w:line="360" w:lineRule="auto"/>
        <w:rPr>
          <w:sz w:val="24"/>
          <w:szCs w:val="24"/>
        </w:rPr>
      </w:pPr>
    </w:p>
    <w:p w:rsidR="00CB0365" w:rsidRDefault="00CB0365" w:rsidP="00CB0365">
      <w:pPr>
        <w:spacing w:line="360" w:lineRule="auto"/>
        <w:rPr>
          <w:sz w:val="24"/>
          <w:szCs w:val="24"/>
        </w:rPr>
      </w:pPr>
      <w:r>
        <w:rPr>
          <w:sz w:val="24"/>
          <w:szCs w:val="24"/>
        </w:rPr>
        <w:tab/>
      </w:r>
      <w:r>
        <w:rPr>
          <w:sz w:val="24"/>
          <w:szCs w:val="24"/>
        </w:rPr>
        <w:tab/>
      </w:r>
      <w:r w:rsidR="003620A2">
        <w:rPr>
          <w:sz w:val="24"/>
          <w:szCs w:val="24"/>
        </w:rPr>
        <w:t>The Parties also agreed that a</w:t>
      </w:r>
      <w:r>
        <w:rPr>
          <w:sz w:val="24"/>
          <w:szCs w:val="24"/>
        </w:rPr>
        <w:t xml:space="preserve">ll documents in this proceeding will be e-served upon </w:t>
      </w:r>
      <w:r w:rsidR="00120D96">
        <w:rPr>
          <w:sz w:val="24"/>
          <w:szCs w:val="24"/>
        </w:rPr>
        <w:t xml:space="preserve">the Administrative Law </w:t>
      </w:r>
      <w:proofErr w:type="gramStart"/>
      <w:r w:rsidR="00120D96">
        <w:rPr>
          <w:sz w:val="24"/>
          <w:szCs w:val="24"/>
        </w:rPr>
        <w:t xml:space="preserve">Judge </w:t>
      </w:r>
      <w:r>
        <w:rPr>
          <w:sz w:val="24"/>
          <w:szCs w:val="24"/>
        </w:rPr>
        <w:t xml:space="preserve"> and</w:t>
      </w:r>
      <w:proofErr w:type="gramEnd"/>
      <w:r>
        <w:rPr>
          <w:sz w:val="24"/>
          <w:szCs w:val="24"/>
        </w:rPr>
        <w:t xml:space="preserve"> the other parties with paper copies to follow as soon as practicable by United States mail.  Documents are to be e-served by 4:</w:t>
      </w:r>
      <w:r w:rsidR="003620A2">
        <w:rPr>
          <w:sz w:val="24"/>
          <w:szCs w:val="24"/>
        </w:rPr>
        <w:t>3</w:t>
      </w:r>
      <w:r>
        <w:rPr>
          <w:sz w:val="24"/>
          <w:szCs w:val="24"/>
        </w:rPr>
        <w:t xml:space="preserve">0 p.m. on the date that they are due.  If a filing is due on a weekend or holiday, then it will be due the next business day.  </w:t>
      </w:r>
    </w:p>
    <w:p w:rsidR="00CB0365" w:rsidRDefault="00CB0365" w:rsidP="00CB0365">
      <w:pPr>
        <w:spacing w:line="360" w:lineRule="auto"/>
        <w:rPr>
          <w:sz w:val="24"/>
          <w:szCs w:val="24"/>
        </w:rPr>
      </w:pPr>
    </w:p>
    <w:p w:rsidR="00CB0365" w:rsidRPr="00CB0365" w:rsidRDefault="00CB0365" w:rsidP="00CB0365">
      <w:pPr>
        <w:spacing w:line="360" w:lineRule="auto"/>
        <w:rPr>
          <w:sz w:val="24"/>
          <w:szCs w:val="24"/>
        </w:rPr>
      </w:pPr>
      <w:r>
        <w:rPr>
          <w:sz w:val="24"/>
          <w:szCs w:val="24"/>
        </w:rPr>
        <w:tab/>
      </w:r>
      <w:r>
        <w:rPr>
          <w:sz w:val="24"/>
          <w:szCs w:val="24"/>
        </w:rPr>
        <w:tab/>
      </w:r>
      <w:r w:rsidRPr="00CB0365">
        <w:rPr>
          <w:sz w:val="24"/>
          <w:szCs w:val="24"/>
        </w:rPr>
        <w:t>The following attorneys have been designated to receive service of documents for their respective clients:</w:t>
      </w:r>
    </w:p>
    <w:p w:rsidR="00CB0365" w:rsidRDefault="00CB0365" w:rsidP="00CB0365">
      <w:pPr>
        <w:spacing w:line="360" w:lineRule="auto"/>
        <w:rPr>
          <w:sz w:val="24"/>
          <w:szCs w:val="24"/>
        </w:rPr>
      </w:pPr>
    </w:p>
    <w:p w:rsidR="00195D15" w:rsidRDefault="00195D15" w:rsidP="00195D15">
      <w:pPr>
        <w:rPr>
          <w:sz w:val="24"/>
          <w:szCs w:val="24"/>
        </w:rPr>
      </w:pPr>
      <w:r>
        <w:rPr>
          <w:sz w:val="24"/>
          <w:szCs w:val="24"/>
        </w:rPr>
        <w:tab/>
        <w:t>Norman J. Kennard, Esquire</w:t>
      </w:r>
      <w:r>
        <w:rPr>
          <w:sz w:val="24"/>
          <w:szCs w:val="24"/>
        </w:rPr>
        <w:tab/>
      </w:r>
      <w:r>
        <w:rPr>
          <w:sz w:val="24"/>
          <w:szCs w:val="24"/>
        </w:rPr>
        <w:tab/>
      </w:r>
      <w:r>
        <w:rPr>
          <w:sz w:val="24"/>
          <w:szCs w:val="24"/>
        </w:rPr>
        <w:tab/>
      </w:r>
      <w:r>
        <w:rPr>
          <w:sz w:val="24"/>
          <w:szCs w:val="24"/>
        </w:rPr>
        <w:tab/>
        <w:t>for the Complainant</w:t>
      </w:r>
    </w:p>
    <w:p w:rsidR="00195D15" w:rsidRDefault="00195D15" w:rsidP="00195D15">
      <w:pPr>
        <w:rPr>
          <w:sz w:val="24"/>
          <w:szCs w:val="24"/>
        </w:rPr>
      </w:pPr>
      <w:r>
        <w:rPr>
          <w:sz w:val="24"/>
          <w:szCs w:val="24"/>
        </w:rPr>
        <w:tab/>
        <w:t>212 Locust Street</w:t>
      </w:r>
    </w:p>
    <w:p w:rsidR="00195D15" w:rsidRDefault="00195D15" w:rsidP="00195D15">
      <w:pPr>
        <w:rPr>
          <w:sz w:val="24"/>
          <w:szCs w:val="24"/>
        </w:rPr>
      </w:pPr>
      <w:r>
        <w:rPr>
          <w:sz w:val="24"/>
          <w:szCs w:val="24"/>
        </w:rPr>
        <w:tab/>
        <w:t>Harrisburg, PA 17101</w:t>
      </w:r>
    </w:p>
    <w:p w:rsidR="00195D15" w:rsidRDefault="00195D15" w:rsidP="00195D15">
      <w:pPr>
        <w:rPr>
          <w:sz w:val="24"/>
          <w:szCs w:val="24"/>
        </w:rPr>
      </w:pPr>
      <w:r>
        <w:rPr>
          <w:sz w:val="24"/>
          <w:szCs w:val="24"/>
        </w:rPr>
        <w:tab/>
      </w:r>
      <w:hyperlink r:id="rId8" w:history="1">
        <w:r w:rsidRPr="00C86EA7">
          <w:rPr>
            <w:rStyle w:val="Hyperlink"/>
            <w:sz w:val="24"/>
            <w:szCs w:val="24"/>
          </w:rPr>
          <w:t>nkennard@thomaslonglaw.com</w:t>
        </w:r>
      </w:hyperlink>
    </w:p>
    <w:p w:rsidR="00195D15" w:rsidRDefault="00195D15" w:rsidP="00195D15">
      <w:pPr>
        <w:rPr>
          <w:sz w:val="24"/>
          <w:szCs w:val="24"/>
        </w:rPr>
      </w:pPr>
    </w:p>
    <w:p w:rsidR="00195D15" w:rsidRDefault="00195D15" w:rsidP="00195D15">
      <w:pPr>
        <w:rPr>
          <w:sz w:val="24"/>
          <w:szCs w:val="24"/>
        </w:rPr>
      </w:pPr>
      <w:r>
        <w:rPr>
          <w:sz w:val="24"/>
          <w:szCs w:val="24"/>
        </w:rPr>
        <w:tab/>
        <w:t>Su</w:t>
      </w:r>
      <w:r w:rsidR="003B4979">
        <w:rPr>
          <w:sz w:val="24"/>
          <w:szCs w:val="24"/>
        </w:rPr>
        <w:t>z</w:t>
      </w:r>
      <w:r>
        <w:rPr>
          <w:sz w:val="24"/>
          <w:szCs w:val="24"/>
        </w:rPr>
        <w:t>an D. Paiva, Esquire</w:t>
      </w:r>
      <w:r>
        <w:rPr>
          <w:sz w:val="24"/>
          <w:szCs w:val="24"/>
        </w:rPr>
        <w:tab/>
      </w:r>
      <w:r>
        <w:rPr>
          <w:sz w:val="24"/>
          <w:szCs w:val="24"/>
        </w:rPr>
        <w:tab/>
      </w:r>
      <w:r>
        <w:rPr>
          <w:sz w:val="24"/>
          <w:szCs w:val="24"/>
        </w:rPr>
        <w:tab/>
      </w:r>
      <w:r>
        <w:rPr>
          <w:sz w:val="24"/>
          <w:szCs w:val="24"/>
        </w:rPr>
        <w:tab/>
        <w:t>for the Respondents</w:t>
      </w:r>
    </w:p>
    <w:p w:rsidR="00195D15" w:rsidRDefault="00195D15" w:rsidP="00195D15">
      <w:pPr>
        <w:rPr>
          <w:sz w:val="24"/>
          <w:szCs w:val="24"/>
        </w:rPr>
      </w:pPr>
      <w:r>
        <w:rPr>
          <w:sz w:val="24"/>
          <w:szCs w:val="24"/>
        </w:rPr>
        <w:tab/>
        <w:t>1717 Arch Street</w:t>
      </w:r>
    </w:p>
    <w:p w:rsidR="00195D15" w:rsidRDefault="00195D15" w:rsidP="00195D15">
      <w:pPr>
        <w:rPr>
          <w:sz w:val="24"/>
          <w:szCs w:val="24"/>
        </w:rPr>
      </w:pPr>
      <w:r>
        <w:rPr>
          <w:sz w:val="24"/>
          <w:szCs w:val="24"/>
        </w:rPr>
        <w:tab/>
        <w:t>3</w:t>
      </w:r>
      <w:r w:rsidRPr="00195D15">
        <w:rPr>
          <w:sz w:val="24"/>
          <w:szCs w:val="24"/>
          <w:vertAlign w:val="superscript"/>
        </w:rPr>
        <w:t>rd</w:t>
      </w:r>
      <w:r>
        <w:rPr>
          <w:sz w:val="24"/>
          <w:szCs w:val="24"/>
        </w:rPr>
        <w:t xml:space="preserve"> Floor</w:t>
      </w:r>
    </w:p>
    <w:p w:rsidR="00195D15" w:rsidRDefault="00195D15" w:rsidP="00195D15">
      <w:pPr>
        <w:rPr>
          <w:sz w:val="24"/>
          <w:szCs w:val="24"/>
        </w:rPr>
      </w:pPr>
      <w:r>
        <w:rPr>
          <w:sz w:val="24"/>
          <w:szCs w:val="24"/>
        </w:rPr>
        <w:tab/>
        <w:t>Philadelphia, PA 19103</w:t>
      </w:r>
    </w:p>
    <w:p w:rsidR="00195D15" w:rsidRDefault="00195D15" w:rsidP="00195D15">
      <w:pPr>
        <w:rPr>
          <w:sz w:val="24"/>
          <w:szCs w:val="24"/>
        </w:rPr>
      </w:pPr>
      <w:r>
        <w:rPr>
          <w:sz w:val="24"/>
          <w:szCs w:val="24"/>
        </w:rPr>
        <w:tab/>
      </w:r>
      <w:hyperlink r:id="rId9" w:history="1">
        <w:r w:rsidR="003B4979" w:rsidRPr="00C86EA7">
          <w:rPr>
            <w:rStyle w:val="Hyperlink"/>
            <w:sz w:val="24"/>
            <w:szCs w:val="24"/>
          </w:rPr>
          <w:t>suzan.d.paiva@verizon.com</w:t>
        </w:r>
      </w:hyperlink>
    </w:p>
    <w:p w:rsidR="00195D15" w:rsidRPr="00CB0365" w:rsidRDefault="00195D15" w:rsidP="00195D15">
      <w:pPr>
        <w:rPr>
          <w:sz w:val="24"/>
          <w:szCs w:val="24"/>
        </w:rPr>
      </w:pPr>
    </w:p>
    <w:p w:rsidR="00D3213E" w:rsidRDefault="00D3213E" w:rsidP="00CB0365">
      <w:pPr>
        <w:spacing w:line="360" w:lineRule="auto"/>
        <w:rPr>
          <w:bCs/>
          <w:sz w:val="24"/>
          <w:szCs w:val="24"/>
        </w:rPr>
      </w:pPr>
    </w:p>
    <w:p w:rsidR="00D3213E" w:rsidRPr="00C81100" w:rsidRDefault="00D3213E" w:rsidP="00D3213E">
      <w:pPr>
        <w:pStyle w:val="BodyTextIndent"/>
        <w:rPr>
          <w:bCs/>
          <w:sz w:val="24"/>
          <w:szCs w:val="24"/>
        </w:rPr>
      </w:pPr>
      <w:r w:rsidRPr="00C81100">
        <w:rPr>
          <w:bCs/>
          <w:sz w:val="24"/>
          <w:szCs w:val="24"/>
        </w:rPr>
        <w:lastRenderedPageBreak/>
        <w:t>THEREFORE,</w:t>
      </w:r>
    </w:p>
    <w:p w:rsidR="00D3213E" w:rsidRPr="00C81100" w:rsidRDefault="00D3213E" w:rsidP="00D3213E">
      <w:pPr>
        <w:widowControl w:val="0"/>
        <w:spacing w:line="360" w:lineRule="auto"/>
        <w:rPr>
          <w:sz w:val="24"/>
          <w:szCs w:val="24"/>
        </w:rPr>
      </w:pPr>
    </w:p>
    <w:p w:rsidR="00D3213E" w:rsidRPr="00C81100" w:rsidRDefault="00D3213E" w:rsidP="00D3213E">
      <w:pPr>
        <w:widowControl w:val="0"/>
        <w:spacing w:line="360" w:lineRule="auto"/>
        <w:ind w:firstLine="1440"/>
        <w:rPr>
          <w:bCs/>
          <w:sz w:val="24"/>
          <w:szCs w:val="24"/>
        </w:rPr>
      </w:pPr>
      <w:r w:rsidRPr="00C81100">
        <w:rPr>
          <w:bCs/>
          <w:sz w:val="24"/>
          <w:szCs w:val="24"/>
        </w:rPr>
        <w:t>IT IS ORDERED:</w:t>
      </w:r>
    </w:p>
    <w:p w:rsidR="00D3213E" w:rsidRPr="00C81100" w:rsidRDefault="00D3213E" w:rsidP="00D3213E">
      <w:pPr>
        <w:widowControl w:val="0"/>
        <w:spacing w:line="360" w:lineRule="auto"/>
        <w:rPr>
          <w:sz w:val="24"/>
          <w:szCs w:val="24"/>
        </w:rPr>
      </w:pPr>
    </w:p>
    <w:p w:rsidR="002148B5" w:rsidRDefault="00D3213E" w:rsidP="00CB0365">
      <w:pPr>
        <w:widowControl w:val="0"/>
        <w:spacing w:line="360" w:lineRule="auto"/>
        <w:ind w:firstLine="1440"/>
        <w:rPr>
          <w:sz w:val="24"/>
          <w:szCs w:val="24"/>
        </w:rPr>
      </w:pPr>
      <w:r w:rsidRPr="00C81100">
        <w:rPr>
          <w:sz w:val="24"/>
          <w:szCs w:val="24"/>
        </w:rPr>
        <w:t>1.</w:t>
      </w:r>
      <w:r w:rsidRPr="00C81100">
        <w:rPr>
          <w:sz w:val="24"/>
          <w:szCs w:val="24"/>
        </w:rPr>
        <w:tab/>
      </w:r>
      <w:r w:rsidR="002148B5" w:rsidRPr="00C52ADD">
        <w:rPr>
          <w:sz w:val="24"/>
          <w:szCs w:val="24"/>
        </w:rPr>
        <w:t>That the above-captioned cases, bearing Docket Numbers</w:t>
      </w:r>
      <w:r w:rsidR="002148B5" w:rsidRPr="00C52ADD">
        <w:rPr>
          <w:spacing w:val="-3"/>
          <w:sz w:val="24"/>
          <w:szCs w:val="24"/>
        </w:rPr>
        <w:t xml:space="preserve"> </w:t>
      </w:r>
      <w:r w:rsidR="002148B5">
        <w:rPr>
          <w:sz w:val="24"/>
          <w:szCs w:val="24"/>
        </w:rPr>
        <w:t>C</w:t>
      </w:r>
      <w:r w:rsidR="002148B5" w:rsidRPr="00C52ADD">
        <w:rPr>
          <w:sz w:val="24"/>
          <w:szCs w:val="24"/>
        </w:rPr>
        <w:t>-2010-</w:t>
      </w:r>
      <w:r w:rsidR="00195D15">
        <w:rPr>
          <w:sz w:val="24"/>
          <w:szCs w:val="24"/>
        </w:rPr>
        <w:t>2216205, C-2010-2216311, C-2010-2216325</w:t>
      </w:r>
      <w:r w:rsidR="002148B5">
        <w:rPr>
          <w:sz w:val="24"/>
          <w:szCs w:val="24"/>
        </w:rPr>
        <w:t xml:space="preserve"> and </w:t>
      </w:r>
      <w:r w:rsidR="00195D15">
        <w:rPr>
          <w:sz w:val="24"/>
          <w:szCs w:val="24"/>
        </w:rPr>
        <w:t>C</w:t>
      </w:r>
      <w:r w:rsidR="002148B5">
        <w:rPr>
          <w:sz w:val="24"/>
          <w:szCs w:val="24"/>
        </w:rPr>
        <w:t>-2010-22</w:t>
      </w:r>
      <w:r w:rsidR="00195D15">
        <w:rPr>
          <w:sz w:val="24"/>
          <w:szCs w:val="24"/>
        </w:rPr>
        <w:t>16293</w:t>
      </w:r>
      <w:r w:rsidR="002148B5" w:rsidRPr="00C52ADD">
        <w:rPr>
          <w:spacing w:val="-3"/>
          <w:sz w:val="24"/>
          <w:szCs w:val="24"/>
        </w:rPr>
        <w:t xml:space="preserve"> are consolidated</w:t>
      </w:r>
      <w:r w:rsidR="002148B5" w:rsidRPr="00C52ADD">
        <w:rPr>
          <w:sz w:val="24"/>
          <w:szCs w:val="24"/>
        </w:rPr>
        <w:t xml:space="preserve"> for hearing, briefing, and adjudicati</w:t>
      </w:r>
      <w:r w:rsidR="002148B5">
        <w:rPr>
          <w:sz w:val="24"/>
          <w:szCs w:val="24"/>
        </w:rPr>
        <w:t>o</w:t>
      </w:r>
      <w:r w:rsidR="002148B5" w:rsidRPr="00C52ADD">
        <w:rPr>
          <w:sz w:val="24"/>
          <w:szCs w:val="24"/>
        </w:rPr>
        <w:t>n</w:t>
      </w:r>
      <w:r w:rsidR="002148B5" w:rsidRPr="00C52ADD">
        <w:rPr>
          <w:spacing w:val="-3"/>
          <w:sz w:val="24"/>
          <w:szCs w:val="24"/>
        </w:rPr>
        <w:t>.</w:t>
      </w:r>
    </w:p>
    <w:p w:rsidR="002148B5" w:rsidRDefault="002148B5" w:rsidP="00CB0365">
      <w:pPr>
        <w:widowControl w:val="0"/>
        <w:spacing w:line="360" w:lineRule="auto"/>
        <w:ind w:firstLine="1440"/>
        <w:rPr>
          <w:sz w:val="24"/>
          <w:szCs w:val="24"/>
        </w:rPr>
      </w:pPr>
    </w:p>
    <w:p w:rsidR="00CB0365" w:rsidRDefault="002148B5" w:rsidP="00CB0365">
      <w:pPr>
        <w:widowControl w:val="0"/>
        <w:spacing w:line="360" w:lineRule="auto"/>
        <w:ind w:firstLine="1440"/>
        <w:rPr>
          <w:sz w:val="24"/>
          <w:szCs w:val="24"/>
        </w:rPr>
      </w:pPr>
      <w:r>
        <w:rPr>
          <w:sz w:val="24"/>
          <w:szCs w:val="24"/>
        </w:rPr>
        <w:t>2.</w:t>
      </w:r>
      <w:r>
        <w:rPr>
          <w:sz w:val="24"/>
          <w:szCs w:val="24"/>
        </w:rPr>
        <w:tab/>
      </w:r>
      <w:r w:rsidR="00CB0365" w:rsidRPr="00CB0365">
        <w:rPr>
          <w:sz w:val="24"/>
          <w:szCs w:val="24"/>
        </w:rPr>
        <w:t>That following individuals are designated to receive service of documents for their respective clients:</w:t>
      </w:r>
    </w:p>
    <w:p w:rsidR="00195D15" w:rsidRDefault="00195D15" w:rsidP="00CB0365">
      <w:pPr>
        <w:widowControl w:val="0"/>
        <w:spacing w:line="360" w:lineRule="auto"/>
        <w:ind w:firstLine="1440"/>
        <w:rPr>
          <w:sz w:val="24"/>
          <w:szCs w:val="24"/>
        </w:rPr>
      </w:pPr>
    </w:p>
    <w:p w:rsidR="00195D15" w:rsidRDefault="00195D15" w:rsidP="00195D15">
      <w:pPr>
        <w:rPr>
          <w:sz w:val="24"/>
          <w:szCs w:val="24"/>
        </w:rPr>
      </w:pPr>
      <w:r>
        <w:rPr>
          <w:sz w:val="24"/>
          <w:szCs w:val="24"/>
        </w:rPr>
        <w:tab/>
        <w:t>Norman J. Kennard, Esquire</w:t>
      </w:r>
      <w:r>
        <w:rPr>
          <w:sz w:val="24"/>
          <w:szCs w:val="24"/>
        </w:rPr>
        <w:tab/>
      </w:r>
      <w:r>
        <w:rPr>
          <w:sz w:val="24"/>
          <w:szCs w:val="24"/>
        </w:rPr>
        <w:tab/>
      </w:r>
      <w:r>
        <w:rPr>
          <w:sz w:val="24"/>
          <w:szCs w:val="24"/>
        </w:rPr>
        <w:tab/>
      </w:r>
      <w:r>
        <w:rPr>
          <w:sz w:val="24"/>
          <w:szCs w:val="24"/>
        </w:rPr>
        <w:tab/>
        <w:t>for the Complainant</w:t>
      </w:r>
    </w:p>
    <w:p w:rsidR="00195D15" w:rsidRDefault="00195D15" w:rsidP="00195D15">
      <w:pPr>
        <w:rPr>
          <w:sz w:val="24"/>
          <w:szCs w:val="24"/>
        </w:rPr>
      </w:pPr>
      <w:r>
        <w:rPr>
          <w:sz w:val="24"/>
          <w:szCs w:val="24"/>
        </w:rPr>
        <w:tab/>
        <w:t>212 Locust Street</w:t>
      </w:r>
    </w:p>
    <w:p w:rsidR="00195D15" w:rsidRDefault="00195D15" w:rsidP="00195D15">
      <w:pPr>
        <w:rPr>
          <w:sz w:val="24"/>
          <w:szCs w:val="24"/>
        </w:rPr>
      </w:pPr>
      <w:r>
        <w:rPr>
          <w:sz w:val="24"/>
          <w:szCs w:val="24"/>
        </w:rPr>
        <w:tab/>
        <w:t>Harrisburg, PA 17101</w:t>
      </w:r>
    </w:p>
    <w:p w:rsidR="00195D15" w:rsidRDefault="00195D15" w:rsidP="00195D15">
      <w:pPr>
        <w:rPr>
          <w:sz w:val="24"/>
          <w:szCs w:val="24"/>
        </w:rPr>
      </w:pPr>
      <w:r>
        <w:rPr>
          <w:sz w:val="24"/>
          <w:szCs w:val="24"/>
        </w:rPr>
        <w:tab/>
      </w:r>
      <w:hyperlink r:id="rId10" w:history="1">
        <w:r w:rsidRPr="00C86EA7">
          <w:rPr>
            <w:rStyle w:val="Hyperlink"/>
            <w:sz w:val="24"/>
            <w:szCs w:val="24"/>
          </w:rPr>
          <w:t>nkennard@thomaslonglaw.com</w:t>
        </w:r>
      </w:hyperlink>
    </w:p>
    <w:p w:rsidR="00195D15" w:rsidRDefault="00195D15" w:rsidP="00195D15">
      <w:pPr>
        <w:rPr>
          <w:sz w:val="24"/>
          <w:szCs w:val="24"/>
        </w:rPr>
      </w:pPr>
    </w:p>
    <w:p w:rsidR="00195D15" w:rsidRDefault="003B4979" w:rsidP="00195D15">
      <w:pPr>
        <w:rPr>
          <w:sz w:val="24"/>
          <w:szCs w:val="24"/>
        </w:rPr>
      </w:pPr>
      <w:r>
        <w:rPr>
          <w:sz w:val="24"/>
          <w:szCs w:val="24"/>
        </w:rPr>
        <w:tab/>
        <w:t>Suz</w:t>
      </w:r>
      <w:r w:rsidR="00195D15">
        <w:rPr>
          <w:sz w:val="24"/>
          <w:szCs w:val="24"/>
        </w:rPr>
        <w:t>an D. Paiva, Esquire</w:t>
      </w:r>
      <w:r w:rsidR="00195D15">
        <w:rPr>
          <w:sz w:val="24"/>
          <w:szCs w:val="24"/>
        </w:rPr>
        <w:tab/>
      </w:r>
      <w:r w:rsidR="00195D15">
        <w:rPr>
          <w:sz w:val="24"/>
          <w:szCs w:val="24"/>
        </w:rPr>
        <w:tab/>
      </w:r>
      <w:r w:rsidR="00195D15">
        <w:rPr>
          <w:sz w:val="24"/>
          <w:szCs w:val="24"/>
        </w:rPr>
        <w:tab/>
      </w:r>
      <w:r w:rsidR="00195D15">
        <w:rPr>
          <w:sz w:val="24"/>
          <w:szCs w:val="24"/>
        </w:rPr>
        <w:tab/>
        <w:t>for the Respondents</w:t>
      </w:r>
    </w:p>
    <w:p w:rsidR="00195D15" w:rsidRDefault="00195D15" w:rsidP="00195D15">
      <w:pPr>
        <w:rPr>
          <w:sz w:val="24"/>
          <w:szCs w:val="24"/>
        </w:rPr>
      </w:pPr>
      <w:r>
        <w:rPr>
          <w:sz w:val="24"/>
          <w:szCs w:val="24"/>
        </w:rPr>
        <w:tab/>
        <w:t>1717 Arch Street</w:t>
      </w:r>
    </w:p>
    <w:p w:rsidR="00195D15" w:rsidRDefault="00195D15" w:rsidP="00195D15">
      <w:pPr>
        <w:rPr>
          <w:sz w:val="24"/>
          <w:szCs w:val="24"/>
        </w:rPr>
      </w:pPr>
      <w:r>
        <w:rPr>
          <w:sz w:val="24"/>
          <w:szCs w:val="24"/>
        </w:rPr>
        <w:tab/>
        <w:t>3</w:t>
      </w:r>
      <w:r w:rsidRPr="00195D15">
        <w:rPr>
          <w:sz w:val="24"/>
          <w:szCs w:val="24"/>
          <w:vertAlign w:val="superscript"/>
        </w:rPr>
        <w:t>rd</w:t>
      </w:r>
      <w:r>
        <w:rPr>
          <w:sz w:val="24"/>
          <w:szCs w:val="24"/>
        </w:rPr>
        <w:t xml:space="preserve"> Floor</w:t>
      </w:r>
    </w:p>
    <w:p w:rsidR="00195D15" w:rsidRDefault="00195D15" w:rsidP="00195D15">
      <w:pPr>
        <w:rPr>
          <w:sz w:val="24"/>
          <w:szCs w:val="24"/>
        </w:rPr>
      </w:pPr>
      <w:r>
        <w:rPr>
          <w:sz w:val="24"/>
          <w:szCs w:val="24"/>
        </w:rPr>
        <w:tab/>
        <w:t>Philadelphia, PA 19103</w:t>
      </w:r>
    </w:p>
    <w:p w:rsidR="00195D15" w:rsidRDefault="00195D15" w:rsidP="00195D15">
      <w:pPr>
        <w:rPr>
          <w:sz w:val="24"/>
          <w:szCs w:val="24"/>
        </w:rPr>
      </w:pPr>
      <w:r>
        <w:rPr>
          <w:sz w:val="24"/>
          <w:szCs w:val="24"/>
        </w:rPr>
        <w:tab/>
      </w:r>
      <w:hyperlink r:id="rId11" w:history="1">
        <w:r w:rsidR="00A06D66" w:rsidRPr="00C86EA7">
          <w:rPr>
            <w:rStyle w:val="Hyperlink"/>
            <w:sz w:val="24"/>
            <w:szCs w:val="24"/>
          </w:rPr>
          <w:t>suzan.d.paiva@verizon.com</w:t>
        </w:r>
      </w:hyperlink>
    </w:p>
    <w:p w:rsidR="00195D15" w:rsidRPr="00CB0365" w:rsidRDefault="00195D15" w:rsidP="00CB0365">
      <w:pPr>
        <w:widowControl w:val="0"/>
        <w:spacing w:line="360" w:lineRule="auto"/>
        <w:ind w:firstLine="1440"/>
        <w:rPr>
          <w:sz w:val="24"/>
          <w:szCs w:val="24"/>
        </w:rPr>
      </w:pPr>
    </w:p>
    <w:p w:rsidR="00CB0365" w:rsidRDefault="002148B5" w:rsidP="00D3213E">
      <w:pPr>
        <w:tabs>
          <w:tab w:val="left" w:pos="1440"/>
        </w:tabs>
        <w:spacing w:line="360" w:lineRule="auto"/>
        <w:ind w:firstLine="1440"/>
        <w:rPr>
          <w:sz w:val="24"/>
          <w:szCs w:val="24"/>
        </w:rPr>
      </w:pPr>
      <w:r>
        <w:rPr>
          <w:sz w:val="24"/>
          <w:szCs w:val="24"/>
        </w:rPr>
        <w:t>3</w:t>
      </w:r>
      <w:r w:rsidR="00D3213E" w:rsidRPr="00C81100">
        <w:rPr>
          <w:sz w:val="24"/>
          <w:szCs w:val="24"/>
        </w:rPr>
        <w:t>.</w:t>
      </w:r>
      <w:r w:rsidR="00D3213E" w:rsidRPr="00C81100">
        <w:rPr>
          <w:sz w:val="24"/>
          <w:szCs w:val="24"/>
        </w:rPr>
        <w:tab/>
      </w:r>
      <w:r w:rsidR="00CB0365" w:rsidRPr="00CB0365">
        <w:rPr>
          <w:sz w:val="24"/>
          <w:szCs w:val="24"/>
        </w:rPr>
        <w:t xml:space="preserve">That all documents in this proceeding will be e-served upon </w:t>
      </w:r>
      <w:r w:rsidR="00120D96">
        <w:rPr>
          <w:sz w:val="24"/>
          <w:szCs w:val="24"/>
        </w:rPr>
        <w:t>the Administrative L</w:t>
      </w:r>
      <w:r w:rsidR="005A2608">
        <w:rPr>
          <w:sz w:val="24"/>
          <w:szCs w:val="24"/>
        </w:rPr>
        <w:t xml:space="preserve">aw Judge </w:t>
      </w:r>
      <w:r w:rsidR="00CB0365" w:rsidRPr="00CB0365">
        <w:rPr>
          <w:sz w:val="24"/>
          <w:szCs w:val="24"/>
        </w:rPr>
        <w:t>and the other parties with paper copies to follow.  Documents are to be e-served by 4:</w:t>
      </w:r>
      <w:r w:rsidR="005A2608">
        <w:rPr>
          <w:sz w:val="24"/>
          <w:szCs w:val="24"/>
        </w:rPr>
        <w:t>3</w:t>
      </w:r>
      <w:r w:rsidR="00CB0365" w:rsidRPr="00CB0365">
        <w:rPr>
          <w:sz w:val="24"/>
          <w:szCs w:val="24"/>
        </w:rPr>
        <w:t>0 p.m. on the date they are due.  If a filing is due on a weekend or holiday, then it will be due the next business day.</w:t>
      </w:r>
    </w:p>
    <w:p w:rsidR="00CB0365" w:rsidRDefault="00CB0365" w:rsidP="00D3213E">
      <w:pPr>
        <w:tabs>
          <w:tab w:val="left" w:pos="1440"/>
        </w:tabs>
        <w:spacing w:line="360" w:lineRule="auto"/>
        <w:ind w:firstLine="1440"/>
        <w:rPr>
          <w:sz w:val="24"/>
          <w:szCs w:val="24"/>
        </w:rPr>
      </w:pPr>
    </w:p>
    <w:p w:rsidR="00CB0365" w:rsidRPr="00CB0365" w:rsidRDefault="002148B5" w:rsidP="00CB0365">
      <w:pPr>
        <w:tabs>
          <w:tab w:val="left" w:pos="1440"/>
        </w:tabs>
        <w:spacing w:line="360" w:lineRule="auto"/>
        <w:ind w:firstLine="1440"/>
        <w:rPr>
          <w:sz w:val="24"/>
          <w:szCs w:val="24"/>
        </w:rPr>
      </w:pPr>
      <w:r>
        <w:rPr>
          <w:sz w:val="24"/>
          <w:szCs w:val="24"/>
        </w:rPr>
        <w:t>4</w:t>
      </w:r>
      <w:r w:rsidR="00CB0365">
        <w:rPr>
          <w:sz w:val="24"/>
          <w:szCs w:val="24"/>
        </w:rPr>
        <w:t>.</w:t>
      </w:r>
      <w:r w:rsidR="00CB0365">
        <w:rPr>
          <w:sz w:val="24"/>
          <w:szCs w:val="24"/>
        </w:rPr>
        <w:tab/>
      </w:r>
      <w:r w:rsidR="00CB0365" w:rsidRPr="00CB0365">
        <w:rPr>
          <w:sz w:val="24"/>
          <w:szCs w:val="24"/>
        </w:rPr>
        <w:t xml:space="preserve">That the Commission’s regulations regarding discovery at 52 Pa. Code </w:t>
      </w:r>
    </w:p>
    <w:p w:rsidR="00CB0365" w:rsidRPr="00CB0365" w:rsidRDefault="00CB0365" w:rsidP="00CB0365">
      <w:pPr>
        <w:tabs>
          <w:tab w:val="left" w:pos="1440"/>
        </w:tabs>
        <w:spacing w:line="360" w:lineRule="auto"/>
        <w:rPr>
          <w:sz w:val="24"/>
          <w:szCs w:val="24"/>
        </w:rPr>
      </w:pPr>
      <w:r w:rsidRPr="00CB0365">
        <w:rPr>
          <w:sz w:val="24"/>
          <w:szCs w:val="24"/>
        </w:rPr>
        <w:t xml:space="preserve">§ 5.342(d) are modified for the purposes of this proceeding to provide that objections to discovery are in lieu of answers, and not in addition to answers.  </w:t>
      </w:r>
    </w:p>
    <w:p w:rsidR="00CB0365" w:rsidRDefault="00CB0365" w:rsidP="00D3213E">
      <w:pPr>
        <w:tabs>
          <w:tab w:val="left" w:pos="1440"/>
        </w:tabs>
        <w:spacing w:line="360" w:lineRule="auto"/>
        <w:ind w:firstLine="1440"/>
        <w:rPr>
          <w:sz w:val="24"/>
          <w:szCs w:val="24"/>
        </w:rPr>
      </w:pPr>
    </w:p>
    <w:p w:rsidR="00CB0365" w:rsidRDefault="00195D15" w:rsidP="00D3213E">
      <w:pPr>
        <w:tabs>
          <w:tab w:val="left" w:pos="1440"/>
        </w:tabs>
        <w:spacing w:line="360" w:lineRule="auto"/>
        <w:ind w:firstLine="1440"/>
        <w:rPr>
          <w:sz w:val="24"/>
          <w:szCs w:val="24"/>
        </w:rPr>
      </w:pPr>
      <w:r>
        <w:rPr>
          <w:sz w:val="24"/>
          <w:szCs w:val="24"/>
        </w:rPr>
        <w:t>5.</w:t>
      </w:r>
      <w:r>
        <w:rPr>
          <w:sz w:val="24"/>
          <w:szCs w:val="24"/>
        </w:rPr>
        <w:tab/>
        <w:t xml:space="preserve">That on April 18, 2011, </w:t>
      </w:r>
      <w:r w:rsidR="00CA3D30" w:rsidRPr="00B96D75">
        <w:rPr>
          <w:sz w:val="24"/>
          <w:szCs w:val="24"/>
        </w:rPr>
        <w:t>Verizon Pennsylvania Inc.</w:t>
      </w:r>
      <w:r w:rsidR="00CA3D30">
        <w:rPr>
          <w:sz w:val="24"/>
          <w:szCs w:val="24"/>
        </w:rPr>
        <w:t xml:space="preserve">, </w:t>
      </w:r>
      <w:r w:rsidR="00CA3D30" w:rsidRPr="00CA3D30">
        <w:rPr>
          <w:i/>
          <w:sz w:val="24"/>
          <w:szCs w:val="24"/>
        </w:rPr>
        <w:t>et al</w:t>
      </w:r>
      <w:r w:rsidR="00CA3D30">
        <w:rPr>
          <w:sz w:val="24"/>
          <w:szCs w:val="24"/>
        </w:rPr>
        <w:t xml:space="preserve">., shall file its Petition for Stay; also on April 18, 2011, </w:t>
      </w:r>
      <w:r w:rsidR="00CA3D30" w:rsidRPr="00B96D75">
        <w:rPr>
          <w:sz w:val="24"/>
          <w:szCs w:val="24"/>
        </w:rPr>
        <w:t>Arm</w:t>
      </w:r>
      <w:r w:rsidR="00CA3D30">
        <w:rPr>
          <w:sz w:val="24"/>
          <w:szCs w:val="24"/>
        </w:rPr>
        <w:t>strong Telecommunications, Inc. shall file its Motion for Summary Judgment.</w:t>
      </w:r>
    </w:p>
    <w:p w:rsidR="00CA3D30" w:rsidRDefault="00CA3D30" w:rsidP="00D3213E">
      <w:pPr>
        <w:tabs>
          <w:tab w:val="left" w:pos="1440"/>
        </w:tabs>
        <w:spacing w:line="360" w:lineRule="auto"/>
        <w:ind w:firstLine="1440"/>
        <w:rPr>
          <w:sz w:val="24"/>
          <w:szCs w:val="24"/>
        </w:rPr>
      </w:pPr>
    </w:p>
    <w:p w:rsidR="00CA3D30" w:rsidRDefault="00CA3D30" w:rsidP="00D3213E">
      <w:pPr>
        <w:tabs>
          <w:tab w:val="left" w:pos="1440"/>
        </w:tabs>
        <w:spacing w:line="360" w:lineRule="auto"/>
        <w:ind w:firstLine="1440"/>
        <w:rPr>
          <w:sz w:val="24"/>
          <w:szCs w:val="24"/>
        </w:rPr>
      </w:pPr>
      <w:r>
        <w:rPr>
          <w:sz w:val="24"/>
          <w:szCs w:val="24"/>
        </w:rPr>
        <w:t>6.</w:t>
      </w:r>
      <w:r>
        <w:rPr>
          <w:sz w:val="24"/>
          <w:szCs w:val="24"/>
        </w:rPr>
        <w:tab/>
        <w:t xml:space="preserve">That on May 19, 2011, </w:t>
      </w:r>
      <w:r w:rsidRPr="00B96D75">
        <w:rPr>
          <w:sz w:val="24"/>
          <w:szCs w:val="24"/>
        </w:rPr>
        <w:t>Verizon Pennsylvania Inc.</w:t>
      </w:r>
      <w:r>
        <w:rPr>
          <w:sz w:val="24"/>
          <w:szCs w:val="24"/>
        </w:rPr>
        <w:t xml:space="preserve">, </w:t>
      </w:r>
      <w:r w:rsidRPr="00CA3D30">
        <w:rPr>
          <w:i/>
          <w:sz w:val="24"/>
          <w:szCs w:val="24"/>
        </w:rPr>
        <w:t>et al</w:t>
      </w:r>
      <w:r>
        <w:rPr>
          <w:sz w:val="24"/>
          <w:szCs w:val="24"/>
        </w:rPr>
        <w:t xml:space="preserve">., shall file its Answer to </w:t>
      </w:r>
      <w:r w:rsidR="005A2608">
        <w:rPr>
          <w:sz w:val="24"/>
          <w:szCs w:val="24"/>
        </w:rPr>
        <w:t>the</w:t>
      </w:r>
      <w:r>
        <w:rPr>
          <w:sz w:val="24"/>
          <w:szCs w:val="24"/>
        </w:rPr>
        <w:t xml:space="preserve"> Motion for Summary Judgment, and </w:t>
      </w:r>
      <w:r w:rsidRPr="00B96D75">
        <w:rPr>
          <w:sz w:val="24"/>
          <w:szCs w:val="24"/>
        </w:rPr>
        <w:t>Arm</w:t>
      </w:r>
      <w:r>
        <w:rPr>
          <w:sz w:val="24"/>
          <w:szCs w:val="24"/>
        </w:rPr>
        <w:t xml:space="preserve">strong Telecommunications, Inc. shall file its Answer to the </w:t>
      </w:r>
      <w:r w:rsidR="005A2608">
        <w:rPr>
          <w:sz w:val="24"/>
          <w:szCs w:val="24"/>
        </w:rPr>
        <w:t>P</w:t>
      </w:r>
      <w:r>
        <w:rPr>
          <w:sz w:val="24"/>
          <w:szCs w:val="24"/>
        </w:rPr>
        <w:t>etition for Stay.</w:t>
      </w:r>
    </w:p>
    <w:p w:rsidR="005A2608" w:rsidRDefault="005A2608" w:rsidP="00D3213E">
      <w:pPr>
        <w:tabs>
          <w:tab w:val="left" w:pos="1440"/>
        </w:tabs>
        <w:spacing w:line="360" w:lineRule="auto"/>
        <w:ind w:firstLine="1440"/>
        <w:rPr>
          <w:sz w:val="24"/>
          <w:szCs w:val="24"/>
        </w:rPr>
      </w:pPr>
    </w:p>
    <w:p w:rsidR="005A2608" w:rsidRDefault="005A2608" w:rsidP="00D3213E">
      <w:pPr>
        <w:tabs>
          <w:tab w:val="left" w:pos="1440"/>
        </w:tabs>
        <w:spacing w:line="360" w:lineRule="auto"/>
        <w:ind w:firstLine="1440"/>
        <w:rPr>
          <w:sz w:val="24"/>
          <w:szCs w:val="24"/>
        </w:rPr>
      </w:pPr>
      <w:r>
        <w:rPr>
          <w:sz w:val="24"/>
          <w:szCs w:val="24"/>
        </w:rPr>
        <w:t>7.</w:t>
      </w:r>
      <w:r>
        <w:rPr>
          <w:sz w:val="24"/>
          <w:szCs w:val="24"/>
        </w:rPr>
        <w:tab/>
        <w:t xml:space="preserve">That the Protective Order jointly submitted by </w:t>
      </w:r>
      <w:r w:rsidRPr="00B96D75">
        <w:rPr>
          <w:sz w:val="24"/>
          <w:szCs w:val="24"/>
        </w:rPr>
        <w:t>Verizon Pennsylvania Inc.</w:t>
      </w:r>
      <w:r>
        <w:rPr>
          <w:sz w:val="24"/>
          <w:szCs w:val="24"/>
        </w:rPr>
        <w:t xml:space="preserve">, </w:t>
      </w:r>
      <w:r w:rsidRPr="00CA3D30">
        <w:rPr>
          <w:i/>
          <w:sz w:val="24"/>
          <w:szCs w:val="24"/>
        </w:rPr>
        <w:t>et al</w:t>
      </w:r>
      <w:r>
        <w:rPr>
          <w:sz w:val="24"/>
          <w:szCs w:val="24"/>
        </w:rPr>
        <w:t xml:space="preserve">., and </w:t>
      </w:r>
      <w:r w:rsidRPr="00B96D75">
        <w:rPr>
          <w:sz w:val="24"/>
          <w:szCs w:val="24"/>
        </w:rPr>
        <w:t>Arm</w:t>
      </w:r>
      <w:r>
        <w:rPr>
          <w:sz w:val="24"/>
          <w:szCs w:val="24"/>
        </w:rPr>
        <w:t>strong Telecommunications, Inc. is approved.</w:t>
      </w:r>
    </w:p>
    <w:p w:rsidR="00CB0365" w:rsidRDefault="00CB0365" w:rsidP="00D3213E">
      <w:pPr>
        <w:tabs>
          <w:tab w:val="left" w:pos="1440"/>
        </w:tabs>
        <w:spacing w:line="360" w:lineRule="auto"/>
        <w:ind w:firstLine="1440"/>
        <w:rPr>
          <w:sz w:val="24"/>
          <w:szCs w:val="24"/>
        </w:rPr>
      </w:pPr>
    </w:p>
    <w:p w:rsidR="00D3213E" w:rsidRPr="00C81100" w:rsidRDefault="00D3213E" w:rsidP="00D3213E">
      <w:pPr>
        <w:pStyle w:val="BodyTextIndent"/>
        <w:ind w:firstLine="0"/>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E76253">
        <w:rPr>
          <w:sz w:val="24"/>
          <w:szCs w:val="24"/>
          <w:u w:val="single"/>
        </w:rPr>
        <w:t xml:space="preserve">March </w:t>
      </w:r>
      <w:r w:rsidR="001153BE">
        <w:rPr>
          <w:sz w:val="24"/>
          <w:szCs w:val="24"/>
          <w:u w:val="single"/>
        </w:rPr>
        <w:t>21</w:t>
      </w:r>
      <w:r w:rsidR="005001B4">
        <w:rPr>
          <w:sz w:val="24"/>
          <w:szCs w:val="24"/>
          <w:u w:val="single"/>
        </w:rPr>
        <w:t>,</w:t>
      </w:r>
      <w:r w:rsidR="005031B5" w:rsidRPr="00C81100">
        <w:rPr>
          <w:sz w:val="24"/>
          <w:szCs w:val="24"/>
          <w:u w:val="single"/>
        </w:rPr>
        <w:t xml:space="preserve"> 201</w:t>
      </w:r>
      <w:r w:rsidR="00A32CC5">
        <w:rPr>
          <w:sz w:val="24"/>
          <w:szCs w:val="24"/>
          <w:u w:val="single"/>
        </w:rPr>
        <w:t>1</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977F09" w:rsidRDefault="00777417" w:rsidP="00115DAF">
      <w:pPr>
        <w:widowControl w:val="0"/>
        <w:rPr>
          <w:sz w:val="24"/>
          <w:szCs w:val="24"/>
        </w:rPr>
        <w:sectPr w:rsidR="00977F09" w:rsidSect="006B08C2">
          <w:footerReference w:type="even" r:id="rId12"/>
          <w:footerReference w:type="default" r:id="rId13"/>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977F09" w:rsidRDefault="00977F09" w:rsidP="00977F09">
      <w:r>
        <w:rPr>
          <w:rFonts w:ascii="Microsoft Sans Serif"/>
          <w:b/>
          <w:sz w:val="24"/>
          <w:u w:val="single"/>
        </w:rPr>
        <w:lastRenderedPageBreak/>
        <w:t>C-2010-2216205 - ARMSTRONG TELECOMMUNICATIONS INC v. VERIZON PENNSYLVANIA</w:t>
      </w:r>
      <w:r>
        <w:rPr>
          <w:rFonts w:ascii="Microsoft Sans Serif"/>
          <w:b/>
          <w:sz w:val="24"/>
          <w:u w:val="single"/>
        </w:rPr>
        <w:cr/>
      </w:r>
      <w:r>
        <w:rPr>
          <w:rFonts w:ascii="Microsoft Sans Serif"/>
          <w:b/>
          <w:sz w:val="24"/>
          <w:u w:val="single"/>
        </w:rPr>
        <w:cr/>
      </w:r>
      <w:r>
        <w:rPr>
          <w:rFonts w:ascii="Microsoft Sans Serif"/>
          <w:sz w:val="24"/>
        </w:rPr>
        <w:t>JENNIFER M. (SULTZABERGER) CARON, LEGAL COUNSEL</w:t>
      </w:r>
      <w:r>
        <w:rPr>
          <w:rFonts w:ascii="Microsoft Sans Serif"/>
          <w:sz w:val="24"/>
        </w:rPr>
        <w:cr/>
        <w:t>THOMAS LONG NIESEN &amp; KENNARD</w:t>
      </w:r>
      <w:r>
        <w:rPr>
          <w:rFonts w:ascii="Microsoft Sans Serif"/>
          <w:sz w:val="24"/>
        </w:rPr>
        <w:cr/>
        <w:t>212 LOCUST STREET</w:t>
      </w:r>
      <w:r>
        <w:rPr>
          <w:rFonts w:ascii="Microsoft Sans Serif"/>
          <w:sz w:val="24"/>
        </w:rPr>
        <w:cr/>
        <w:t>SUITE 500</w:t>
      </w:r>
      <w:r>
        <w:rPr>
          <w:rFonts w:ascii="Microsoft Sans Serif"/>
          <w:sz w:val="24"/>
        </w:rPr>
        <w:cr/>
        <w:t>HARRISBURG, PA 17108</w:t>
      </w:r>
      <w:r>
        <w:rPr>
          <w:rFonts w:ascii="Microsoft Sans Serif"/>
          <w:sz w:val="24"/>
        </w:rPr>
        <w:cr/>
        <w:t>717-255-7236</w:t>
      </w:r>
      <w:r>
        <w:rPr>
          <w:rFonts w:ascii="Microsoft Sans Serif"/>
          <w:sz w:val="24"/>
        </w:rPr>
        <w:cr/>
      </w:r>
      <w:r>
        <w:rPr>
          <w:rFonts w:ascii="Microsoft Sans Serif"/>
          <w:sz w:val="24"/>
        </w:rPr>
        <w:cr/>
        <w:t>NORMAN J KENNARD, ESQUIRE</w:t>
      </w:r>
      <w:r>
        <w:rPr>
          <w:rFonts w:ascii="Microsoft Sans Serif"/>
          <w:sz w:val="24"/>
        </w:rPr>
        <w:cr/>
        <w:t>THOMAS LONG NIESEN &amp; KENNARD</w:t>
      </w:r>
      <w:r>
        <w:rPr>
          <w:rFonts w:ascii="Microsoft Sans Serif"/>
          <w:sz w:val="24"/>
        </w:rPr>
        <w:cr/>
        <w:t>212 LOCUST STREET</w:t>
      </w:r>
      <w:r>
        <w:rPr>
          <w:rFonts w:ascii="Microsoft Sans Serif"/>
          <w:sz w:val="24"/>
        </w:rPr>
        <w:cr/>
        <w:t>SUITE 500</w:t>
      </w:r>
      <w:r>
        <w:rPr>
          <w:rFonts w:ascii="Microsoft Sans Serif"/>
          <w:sz w:val="24"/>
        </w:rPr>
        <w:cr/>
        <w:t>HARRISBURG, PA 17108</w:t>
      </w:r>
      <w:r>
        <w:rPr>
          <w:rFonts w:ascii="Microsoft Sans Serif"/>
          <w:sz w:val="24"/>
        </w:rPr>
        <w:cr/>
        <w:t>717-255-7600</w:t>
      </w:r>
      <w:r>
        <w:rPr>
          <w:rFonts w:ascii="Microsoft Sans Serif"/>
          <w:sz w:val="24"/>
        </w:rPr>
        <w:cr/>
      </w:r>
      <w:r>
        <w:rPr>
          <w:rFonts w:ascii="Microsoft Sans Serif"/>
          <w:sz w:val="24"/>
        </w:rPr>
        <w:cr/>
        <w:t>DAVID JAMIESON, GENERAL COUNSEL</w:t>
      </w:r>
      <w:r>
        <w:rPr>
          <w:rFonts w:ascii="Microsoft Sans Serif"/>
          <w:sz w:val="24"/>
        </w:rPr>
        <w:cr/>
        <w:t>ARMSTRONG TELECOMMUNCIAITONS, INC.</w:t>
      </w:r>
      <w:r>
        <w:rPr>
          <w:rFonts w:ascii="Microsoft Sans Serif"/>
          <w:sz w:val="24"/>
        </w:rPr>
        <w:cr/>
        <w:t>ONE ARMSTRONG PLACE</w:t>
      </w:r>
      <w:r>
        <w:rPr>
          <w:rFonts w:ascii="Microsoft Sans Serif"/>
          <w:sz w:val="24"/>
        </w:rPr>
        <w:cr/>
        <w:t>BUTLER, PA 16001</w:t>
      </w:r>
      <w:r>
        <w:rPr>
          <w:rFonts w:ascii="Microsoft Sans Serif"/>
          <w:sz w:val="24"/>
        </w:rPr>
        <w:cr/>
      </w:r>
      <w:r>
        <w:rPr>
          <w:rFonts w:ascii="Microsoft Sans Serif"/>
          <w:sz w:val="24"/>
        </w:rPr>
        <w:cr/>
        <w:t>SUZAN D PAIVA</w:t>
      </w:r>
      <w:r>
        <w:rPr>
          <w:rFonts w:ascii="Microsoft Sans Serif"/>
          <w:sz w:val="24"/>
        </w:rPr>
        <w:cr/>
        <w:t>VERIZON</w:t>
      </w:r>
      <w:r>
        <w:rPr>
          <w:rFonts w:ascii="Microsoft Sans Serif"/>
          <w:sz w:val="24"/>
        </w:rPr>
        <w:cr/>
        <w:t>1717 ARCH STREET, 3SE</w:t>
      </w:r>
      <w:r>
        <w:rPr>
          <w:rFonts w:ascii="Microsoft Sans Serif"/>
          <w:sz w:val="24"/>
        </w:rPr>
        <w:cr/>
        <w:t>PHILADELPHIA, PA 19103</w:t>
      </w:r>
      <w:r>
        <w:rPr>
          <w:rFonts w:ascii="Microsoft Sans Serif"/>
          <w:sz w:val="24"/>
        </w:rPr>
        <w:cr/>
        <w:t>215-466-4755</w:t>
      </w:r>
      <w:r>
        <w:rPr>
          <w:rFonts w:ascii="Microsoft Sans Serif"/>
          <w:sz w:val="24"/>
        </w:rPr>
        <w:cr/>
      </w:r>
    </w:p>
    <w:p w:rsidR="00977F09" w:rsidRDefault="00977F09" w:rsidP="00977F09"/>
    <w:p w:rsidR="001600B8" w:rsidRPr="00C81100" w:rsidRDefault="001600B8" w:rsidP="00115DAF">
      <w:pPr>
        <w:widowControl w:val="0"/>
        <w:rPr>
          <w:sz w:val="24"/>
          <w:szCs w:val="24"/>
        </w:rPr>
      </w:pPr>
    </w:p>
    <w:sectPr w:rsidR="001600B8" w:rsidRPr="00C81100" w:rsidSect="00EA41A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037" w:rsidRDefault="000D4037">
      <w:r>
        <w:separator/>
      </w:r>
    </w:p>
  </w:endnote>
  <w:endnote w:type="continuationSeparator" w:id="0">
    <w:p w:rsidR="000D4037" w:rsidRDefault="000D40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E61BD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E61BD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977F09">
      <w:rPr>
        <w:rStyle w:val="PageNumber"/>
        <w:noProof/>
      </w:rPr>
      <w:t>2</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037" w:rsidRDefault="000D4037">
      <w:r>
        <w:separator/>
      </w:r>
    </w:p>
  </w:footnote>
  <w:footnote w:type="continuationSeparator" w:id="0">
    <w:p w:rsidR="000D4037" w:rsidRDefault="000D4037">
      <w:r>
        <w:continuationSeparator/>
      </w:r>
    </w:p>
  </w:footnote>
  <w:footnote w:id="1">
    <w:p w:rsidR="002148B5" w:rsidRDefault="002148B5">
      <w:pPr>
        <w:pStyle w:val="FootnoteText"/>
      </w:pPr>
      <w:r>
        <w:rPr>
          <w:rStyle w:val="FootnoteReference"/>
        </w:rPr>
        <w:footnoteRef/>
      </w:r>
      <w:r>
        <w:t xml:space="preserve"> </w:t>
      </w:r>
      <w:r>
        <w:tab/>
        <w:t xml:space="preserve">The Petition for Stay will be considered and decided under the criteria set forth in </w:t>
      </w:r>
      <w:r w:rsidRPr="002148B5">
        <w:rPr>
          <w:i/>
        </w:rPr>
        <w:t>Pennsylvania Public Utility Commission v. Process Gas Consumers Group</w:t>
      </w:r>
      <w:r w:rsidRPr="002148B5">
        <w:t>, 502 Pa. 545, 467 A.2d 805, 808-809,</w:t>
      </w:r>
      <w:r>
        <w:t xml:space="preserve"> (1983) which itself applies the standards set forth in </w:t>
      </w:r>
      <w:r w:rsidRPr="002148B5">
        <w:rPr>
          <w:i/>
        </w:rPr>
        <w:t>Virginia Petroleum Jobbers Association v. Federal Power Commission</w:t>
      </w:r>
      <w:r w:rsidRPr="002148B5">
        <w:t>, 259 F.2d 921 (D.C. Cir. 1958).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35E9B"/>
    <w:rsid w:val="000801B3"/>
    <w:rsid w:val="00082745"/>
    <w:rsid w:val="00087A1C"/>
    <w:rsid w:val="000B2E47"/>
    <w:rsid w:val="000B40DB"/>
    <w:rsid w:val="000C29CA"/>
    <w:rsid w:val="000D39CD"/>
    <w:rsid w:val="000D4037"/>
    <w:rsid w:val="000D466B"/>
    <w:rsid w:val="000E64D7"/>
    <w:rsid w:val="000E66A2"/>
    <w:rsid w:val="001109E2"/>
    <w:rsid w:val="001153BE"/>
    <w:rsid w:val="00115DAF"/>
    <w:rsid w:val="00120D96"/>
    <w:rsid w:val="00122DFB"/>
    <w:rsid w:val="00150EB1"/>
    <w:rsid w:val="00154D4D"/>
    <w:rsid w:val="001600B8"/>
    <w:rsid w:val="0016688B"/>
    <w:rsid w:val="00166B0E"/>
    <w:rsid w:val="001765C3"/>
    <w:rsid w:val="00195D15"/>
    <w:rsid w:val="001C5B6F"/>
    <w:rsid w:val="001E1C95"/>
    <w:rsid w:val="001F7F8A"/>
    <w:rsid w:val="00212490"/>
    <w:rsid w:val="002148B5"/>
    <w:rsid w:val="0025045D"/>
    <w:rsid w:val="00251B56"/>
    <w:rsid w:val="002B0937"/>
    <w:rsid w:val="002B42B2"/>
    <w:rsid w:val="003112BF"/>
    <w:rsid w:val="003212B2"/>
    <w:rsid w:val="00337F8B"/>
    <w:rsid w:val="00355692"/>
    <w:rsid w:val="00361125"/>
    <w:rsid w:val="003620A2"/>
    <w:rsid w:val="003A6970"/>
    <w:rsid w:val="003B1503"/>
    <w:rsid w:val="003B4979"/>
    <w:rsid w:val="003C1F8F"/>
    <w:rsid w:val="003F2366"/>
    <w:rsid w:val="003F6F58"/>
    <w:rsid w:val="004032CE"/>
    <w:rsid w:val="00405714"/>
    <w:rsid w:val="00407A27"/>
    <w:rsid w:val="00415A1D"/>
    <w:rsid w:val="00466F8B"/>
    <w:rsid w:val="00496408"/>
    <w:rsid w:val="00496B51"/>
    <w:rsid w:val="004B5B76"/>
    <w:rsid w:val="004C0371"/>
    <w:rsid w:val="005001B4"/>
    <w:rsid w:val="005031B5"/>
    <w:rsid w:val="0050701F"/>
    <w:rsid w:val="0051398C"/>
    <w:rsid w:val="0051502A"/>
    <w:rsid w:val="00524411"/>
    <w:rsid w:val="005560D2"/>
    <w:rsid w:val="005655C8"/>
    <w:rsid w:val="00571EDD"/>
    <w:rsid w:val="005A2608"/>
    <w:rsid w:val="005A7648"/>
    <w:rsid w:val="005B1756"/>
    <w:rsid w:val="00650F97"/>
    <w:rsid w:val="006619C6"/>
    <w:rsid w:val="0067197F"/>
    <w:rsid w:val="00673F5D"/>
    <w:rsid w:val="00685397"/>
    <w:rsid w:val="006905F4"/>
    <w:rsid w:val="006A416B"/>
    <w:rsid w:val="006A75B3"/>
    <w:rsid w:val="006B08C2"/>
    <w:rsid w:val="006B789F"/>
    <w:rsid w:val="006E0F54"/>
    <w:rsid w:val="00700589"/>
    <w:rsid w:val="00701ABD"/>
    <w:rsid w:val="00712615"/>
    <w:rsid w:val="007255D0"/>
    <w:rsid w:val="00736CC4"/>
    <w:rsid w:val="0076071C"/>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E01E3"/>
    <w:rsid w:val="008F2448"/>
    <w:rsid w:val="009119CA"/>
    <w:rsid w:val="009152CE"/>
    <w:rsid w:val="009157C0"/>
    <w:rsid w:val="00932381"/>
    <w:rsid w:val="0093282A"/>
    <w:rsid w:val="00933192"/>
    <w:rsid w:val="00940F50"/>
    <w:rsid w:val="0094378D"/>
    <w:rsid w:val="00977F09"/>
    <w:rsid w:val="009A0E55"/>
    <w:rsid w:val="009D205E"/>
    <w:rsid w:val="009D67F1"/>
    <w:rsid w:val="009E468A"/>
    <w:rsid w:val="009E7BFB"/>
    <w:rsid w:val="009F1C01"/>
    <w:rsid w:val="00A01330"/>
    <w:rsid w:val="00A06D66"/>
    <w:rsid w:val="00A07660"/>
    <w:rsid w:val="00A26946"/>
    <w:rsid w:val="00A32CC5"/>
    <w:rsid w:val="00A36360"/>
    <w:rsid w:val="00A4149A"/>
    <w:rsid w:val="00A66698"/>
    <w:rsid w:val="00AB2A2D"/>
    <w:rsid w:val="00AC1591"/>
    <w:rsid w:val="00AE6262"/>
    <w:rsid w:val="00AF288A"/>
    <w:rsid w:val="00B145BF"/>
    <w:rsid w:val="00B218EC"/>
    <w:rsid w:val="00B2277E"/>
    <w:rsid w:val="00B23652"/>
    <w:rsid w:val="00B40227"/>
    <w:rsid w:val="00B4086D"/>
    <w:rsid w:val="00B557AC"/>
    <w:rsid w:val="00B66AD6"/>
    <w:rsid w:val="00B67319"/>
    <w:rsid w:val="00B70599"/>
    <w:rsid w:val="00B86061"/>
    <w:rsid w:val="00B96D75"/>
    <w:rsid w:val="00BA573C"/>
    <w:rsid w:val="00BB63B5"/>
    <w:rsid w:val="00BD2D47"/>
    <w:rsid w:val="00BE5464"/>
    <w:rsid w:val="00BF0ABC"/>
    <w:rsid w:val="00C07D26"/>
    <w:rsid w:val="00C170D9"/>
    <w:rsid w:val="00C31749"/>
    <w:rsid w:val="00C362C1"/>
    <w:rsid w:val="00C743BB"/>
    <w:rsid w:val="00C751CE"/>
    <w:rsid w:val="00C81100"/>
    <w:rsid w:val="00C851DD"/>
    <w:rsid w:val="00C85CA5"/>
    <w:rsid w:val="00CA3D30"/>
    <w:rsid w:val="00CB0365"/>
    <w:rsid w:val="00CC2590"/>
    <w:rsid w:val="00CD3735"/>
    <w:rsid w:val="00CF2C2D"/>
    <w:rsid w:val="00D3213E"/>
    <w:rsid w:val="00D52DAE"/>
    <w:rsid w:val="00D55527"/>
    <w:rsid w:val="00DB036A"/>
    <w:rsid w:val="00DB273F"/>
    <w:rsid w:val="00DD1D22"/>
    <w:rsid w:val="00DE5168"/>
    <w:rsid w:val="00DE7522"/>
    <w:rsid w:val="00DF0230"/>
    <w:rsid w:val="00E01DD4"/>
    <w:rsid w:val="00E04142"/>
    <w:rsid w:val="00E05016"/>
    <w:rsid w:val="00E30193"/>
    <w:rsid w:val="00E5495C"/>
    <w:rsid w:val="00E61BDD"/>
    <w:rsid w:val="00E76253"/>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2148B5"/>
    <w:rPr>
      <w:rFonts w:asciiTheme="minorHAnsi" w:eastAsiaTheme="minorHAnsi" w:hAnsiTheme="minorHAnsi" w:cstheme="minorBidi"/>
      <w:sz w:val="22"/>
      <w:szCs w:val="22"/>
    </w:rPr>
  </w:style>
  <w:style w:type="paragraph" w:customStyle="1" w:styleId="Style">
    <w:name w:val="Style"/>
    <w:rsid w:val="002148B5"/>
    <w:pPr>
      <w:widowControl w:val="0"/>
      <w:autoSpaceDE w:val="0"/>
      <w:autoSpaceDN w:val="0"/>
      <w:adjustRightInd w:val="0"/>
    </w:pPr>
    <w:rPr>
      <w:sz w:val="24"/>
      <w:szCs w:val="24"/>
    </w:rPr>
  </w:style>
  <w:style w:type="paragraph" w:styleId="FootnoteText">
    <w:name w:val="footnote text"/>
    <w:basedOn w:val="Normal"/>
    <w:link w:val="FootnoteTextChar"/>
    <w:rsid w:val="002148B5"/>
  </w:style>
  <w:style w:type="character" w:customStyle="1" w:styleId="FootnoteTextChar">
    <w:name w:val="Footnote Text Char"/>
    <w:basedOn w:val="DefaultParagraphFont"/>
    <w:link w:val="FootnoteText"/>
    <w:rsid w:val="002148B5"/>
  </w:style>
  <w:style w:type="character" w:styleId="FootnoteReference">
    <w:name w:val="footnote reference"/>
    <w:basedOn w:val="DefaultParagraphFont"/>
    <w:rsid w:val="002148B5"/>
    <w:rPr>
      <w:vertAlign w:val="superscript"/>
    </w:rPr>
  </w:style>
</w:styles>
</file>

<file path=word/webSettings.xml><?xml version="1.0" encoding="utf-8"?>
<w:webSettings xmlns:r="http://schemas.openxmlformats.org/officeDocument/2006/relationships" xmlns:w="http://schemas.openxmlformats.org/wordprocessingml/2006/main">
  <w:divs>
    <w:div w:id="176315292">
      <w:bodyDiv w:val="1"/>
      <w:marLeft w:val="0"/>
      <w:marRight w:val="0"/>
      <w:marTop w:val="0"/>
      <w:marBottom w:val="0"/>
      <w:divBdr>
        <w:top w:val="none" w:sz="0" w:space="0" w:color="auto"/>
        <w:left w:val="none" w:sz="0" w:space="0" w:color="auto"/>
        <w:bottom w:val="none" w:sz="0" w:space="0" w:color="auto"/>
        <w:right w:val="none" w:sz="0" w:space="0" w:color="auto"/>
      </w:divBdr>
    </w:div>
    <w:div w:id="1147547404">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kennard@thomaslonglaw.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d.paiva@verizo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kennard@thomaslonglaw.com" TargetMode="External"/><Relationship Id="rId4" Type="http://schemas.openxmlformats.org/officeDocument/2006/relationships/settings" Target="settings.xml"/><Relationship Id="rId9" Type="http://schemas.openxmlformats.org/officeDocument/2006/relationships/hyperlink" Target="mailto:suzan.d.paiva@veriz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09DD-672A-45C2-8D9B-31B27A31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10784</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2011-03-21T13:43:00Z</cp:lastPrinted>
  <dcterms:created xsi:type="dcterms:W3CDTF">2011-03-23T13:31:00Z</dcterms:created>
  <dcterms:modified xsi:type="dcterms:W3CDTF">2011-03-23T13:31:00Z</dcterms:modified>
</cp:coreProperties>
</file>