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27E"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BEFORE THE</w:t>
      </w:r>
    </w:p>
    <w:p w:rsidR="00145D7C"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PENNSYLVANIA PUBLIC UTILITY COMMISSION</w:t>
      </w:r>
    </w:p>
    <w:p w:rsidR="00145D7C" w:rsidRDefault="00145D7C" w:rsidP="00FB3415">
      <w:pPr>
        <w:pStyle w:val="NoSpacing"/>
        <w:jc w:val="center"/>
        <w:rPr>
          <w:rFonts w:ascii="Times New Roman" w:hAnsi="Times New Roman" w:cs="Times New Roman"/>
          <w:b/>
          <w:sz w:val="24"/>
          <w:szCs w:val="24"/>
        </w:rPr>
      </w:pPr>
    </w:p>
    <w:p w:rsidR="00FB3415" w:rsidRDefault="00FB3415" w:rsidP="00FB3415">
      <w:pPr>
        <w:pStyle w:val="NoSpacing"/>
        <w:jc w:val="center"/>
        <w:rPr>
          <w:rFonts w:ascii="Times New Roman" w:hAnsi="Times New Roman" w:cs="Times New Roman"/>
          <w:b/>
          <w:sz w:val="24"/>
          <w:szCs w:val="24"/>
        </w:rPr>
      </w:pPr>
    </w:p>
    <w:p w:rsidR="00FB3415" w:rsidRPr="00C52ADD" w:rsidRDefault="00FB3415" w:rsidP="00FB3415">
      <w:pPr>
        <w:pStyle w:val="NoSpacing"/>
        <w:jc w:val="center"/>
        <w:rPr>
          <w:rFonts w:ascii="Times New Roman" w:hAnsi="Times New Roman" w:cs="Times New Roman"/>
          <w:b/>
          <w:sz w:val="24"/>
          <w:szCs w:val="24"/>
        </w:rPr>
      </w:pPr>
    </w:p>
    <w:p w:rsidR="00D1225B" w:rsidRDefault="00FD6471" w:rsidP="00D1225B">
      <w:pPr>
        <w:pStyle w:val="NoSpacing"/>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A Realty</w:t>
      </w:r>
      <w:proofErr w:type="gramEnd"/>
      <w:r>
        <w:rPr>
          <w:rFonts w:ascii="Times New Roman" w:hAnsi="Times New Roman" w:cs="Times New Roman"/>
          <w:sz w:val="24"/>
          <w:szCs w:val="24"/>
        </w:rPr>
        <w:tab/>
      </w:r>
      <w:r w:rsidR="006E48ED">
        <w:rPr>
          <w:rFonts w:ascii="Times New Roman" w:hAnsi="Times New Roman" w:cs="Times New Roman"/>
          <w:sz w:val="24"/>
          <w:szCs w:val="24"/>
        </w:rPr>
        <w:tab/>
      </w:r>
      <w:r w:rsidR="006E48ED">
        <w:rPr>
          <w:rFonts w:ascii="Times New Roman" w:hAnsi="Times New Roman" w:cs="Times New Roman"/>
          <w:sz w:val="24"/>
          <w:szCs w:val="24"/>
        </w:rPr>
        <w:tab/>
      </w:r>
      <w:r w:rsidR="006E48ED">
        <w:rPr>
          <w:rFonts w:ascii="Times New Roman" w:hAnsi="Times New Roman" w:cs="Times New Roman"/>
          <w:sz w:val="24"/>
          <w:szCs w:val="24"/>
        </w:rPr>
        <w:tab/>
      </w:r>
      <w:r w:rsidR="00D1225B" w:rsidRPr="00C52ADD">
        <w:rPr>
          <w:rFonts w:ascii="Times New Roman" w:hAnsi="Times New Roman" w:cs="Times New Roman"/>
          <w:sz w:val="24"/>
          <w:szCs w:val="24"/>
        </w:rPr>
        <w:tab/>
      </w:r>
      <w:r w:rsidR="00D1225B" w:rsidRPr="00C52ADD">
        <w:rPr>
          <w:rFonts w:ascii="Times New Roman" w:hAnsi="Times New Roman" w:cs="Times New Roman"/>
          <w:sz w:val="24"/>
          <w:szCs w:val="24"/>
        </w:rPr>
        <w:tab/>
      </w:r>
      <w:r w:rsidR="00D1225B">
        <w:rPr>
          <w:rFonts w:ascii="Times New Roman" w:hAnsi="Times New Roman" w:cs="Times New Roman"/>
          <w:sz w:val="24"/>
          <w:szCs w:val="24"/>
        </w:rPr>
        <w:t>:</w:t>
      </w:r>
    </w:p>
    <w:p w:rsidR="006E48ED" w:rsidRPr="00C52ADD" w:rsidRDefault="006E48ED"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1225B" w:rsidRPr="00C52ADD" w:rsidRDefault="00D1225B" w:rsidP="00D1225B">
      <w:pPr>
        <w:pStyle w:val="NoSpacing"/>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t>v.</w:t>
      </w: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r>
      <w:r>
        <w:rPr>
          <w:rFonts w:ascii="Times New Roman" w:hAnsi="Times New Roman" w:cs="Times New Roman"/>
          <w:sz w:val="24"/>
          <w:szCs w:val="24"/>
        </w:rPr>
        <w:t>:</w:t>
      </w:r>
      <w:r w:rsidRPr="00C52ADD">
        <w:rPr>
          <w:rFonts w:ascii="Times New Roman" w:hAnsi="Times New Roman" w:cs="Times New Roman"/>
          <w:sz w:val="24"/>
          <w:szCs w:val="24"/>
        </w:rPr>
        <w:tab/>
        <w:t xml:space="preserve">Docket No. </w:t>
      </w:r>
      <w:r w:rsidR="00FD6471">
        <w:rPr>
          <w:rFonts w:ascii="Times New Roman" w:hAnsi="Times New Roman" w:cs="Times New Roman"/>
          <w:sz w:val="24"/>
          <w:szCs w:val="24"/>
        </w:rPr>
        <w:t>F</w:t>
      </w:r>
      <w:r w:rsidRPr="00C52ADD">
        <w:rPr>
          <w:rFonts w:ascii="Times New Roman" w:hAnsi="Times New Roman" w:cs="Times New Roman"/>
          <w:sz w:val="24"/>
          <w:szCs w:val="24"/>
        </w:rPr>
        <w:t>-2010-21</w:t>
      </w:r>
      <w:r w:rsidR="006E48ED">
        <w:rPr>
          <w:rFonts w:ascii="Times New Roman" w:hAnsi="Times New Roman" w:cs="Times New Roman"/>
          <w:sz w:val="24"/>
          <w:szCs w:val="24"/>
        </w:rPr>
        <w:t>6</w:t>
      </w:r>
      <w:r w:rsidR="00FD6471">
        <w:rPr>
          <w:rFonts w:ascii="Times New Roman" w:hAnsi="Times New Roman" w:cs="Times New Roman"/>
          <w:sz w:val="24"/>
          <w:szCs w:val="24"/>
        </w:rPr>
        <w:t>6554</w:t>
      </w:r>
    </w:p>
    <w:p w:rsidR="00D1225B" w:rsidRPr="00C52ADD" w:rsidRDefault="00D1225B"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1225B" w:rsidRPr="00C52ADD" w:rsidRDefault="006E48ED" w:rsidP="00D1225B">
      <w:pPr>
        <w:pStyle w:val="NoSpacing"/>
        <w:rPr>
          <w:rFonts w:ascii="Times New Roman" w:hAnsi="Times New Roman" w:cs="Times New Roman"/>
          <w:sz w:val="24"/>
          <w:szCs w:val="24"/>
        </w:rPr>
      </w:pPr>
      <w:r>
        <w:rPr>
          <w:rFonts w:ascii="Times New Roman" w:hAnsi="Times New Roman" w:cs="Times New Roman"/>
          <w:sz w:val="24"/>
          <w:szCs w:val="24"/>
        </w:rPr>
        <w:t>P</w:t>
      </w:r>
      <w:r w:rsidR="00FD6471">
        <w:rPr>
          <w:rFonts w:ascii="Times New Roman" w:hAnsi="Times New Roman" w:cs="Times New Roman"/>
          <w:sz w:val="24"/>
          <w:szCs w:val="24"/>
        </w:rPr>
        <w:t>PL Electric Utilities Corporation</w:t>
      </w:r>
      <w:r w:rsidR="00D1225B">
        <w:rPr>
          <w:rFonts w:ascii="Times New Roman" w:hAnsi="Times New Roman" w:cs="Times New Roman"/>
          <w:sz w:val="24"/>
          <w:szCs w:val="24"/>
        </w:rPr>
        <w:tab/>
      </w:r>
      <w:r w:rsidR="00D1225B">
        <w:rPr>
          <w:rFonts w:ascii="Times New Roman" w:hAnsi="Times New Roman" w:cs="Times New Roman"/>
          <w:sz w:val="24"/>
          <w:szCs w:val="24"/>
        </w:rPr>
        <w:tab/>
      </w:r>
      <w:r w:rsidR="00D1225B">
        <w:rPr>
          <w:rFonts w:ascii="Times New Roman" w:hAnsi="Times New Roman" w:cs="Times New Roman"/>
          <w:sz w:val="24"/>
          <w:szCs w:val="24"/>
        </w:rPr>
        <w:tab/>
        <w:t>:</w:t>
      </w:r>
    </w:p>
    <w:p w:rsidR="00D1225B" w:rsidRDefault="00D1225B"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C0782" w:rsidRPr="00C52ADD" w:rsidRDefault="008C0782"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1225B" w:rsidRPr="00C52ADD" w:rsidRDefault="00D1225B"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EF60EC" w:rsidRPr="00C52ADD" w:rsidRDefault="00FD6471" w:rsidP="00FB3415">
      <w:pPr>
        <w:pStyle w:val="NoSpacing"/>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A Realty</w:t>
      </w:r>
      <w:proofErr w:type="gramEnd"/>
      <w:r>
        <w:rPr>
          <w:rFonts w:ascii="Times New Roman" w:hAnsi="Times New Roman" w:cs="Times New Roman"/>
          <w:sz w:val="24"/>
          <w:szCs w:val="24"/>
        </w:rPr>
        <w:tab/>
      </w:r>
      <w:r>
        <w:rPr>
          <w:rFonts w:ascii="Times New Roman" w:hAnsi="Times New Roman" w:cs="Times New Roman"/>
          <w:sz w:val="24"/>
          <w:szCs w:val="24"/>
        </w:rPr>
        <w:tab/>
      </w:r>
      <w:r w:rsidR="006E48ED">
        <w:rPr>
          <w:rFonts w:ascii="Times New Roman" w:hAnsi="Times New Roman" w:cs="Times New Roman"/>
          <w:sz w:val="24"/>
          <w:szCs w:val="24"/>
        </w:rPr>
        <w:tab/>
      </w:r>
      <w:r w:rsidR="006E48ED">
        <w:rPr>
          <w:rFonts w:ascii="Times New Roman" w:hAnsi="Times New Roman" w:cs="Times New Roman"/>
          <w:sz w:val="24"/>
          <w:szCs w:val="24"/>
        </w:rPr>
        <w:tab/>
      </w:r>
      <w:r w:rsidR="00EF60EC" w:rsidRPr="00C52ADD">
        <w:rPr>
          <w:rFonts w:ascii="Times New Roman" w:hAnsi="Times New Roman" w:cs="Times New Roman"/>
          <w:sz w:val="24"/>
          <w:szCs w:val="24"/>
        </w:rPr>
        <w:tab/>
      </w:r>
      <w:r w:rsidR="00EF60EC" w:rsidRPr="00C52ADD">
        <w:rPr>
          <w:rFonts w:ascii="Times New Roman" w:hAnsi="Times New Roman" w:cs="Times New Roman"/>
          <w:sz w:val="24"/>
          <w:szCs w:val="24"/>
        </w:rPr>
        <w:tab/>
      </w:r>
      <w:r w:rsidR="00077CBB">
        <w:rPr>
          <w:rFonts w:ascii="Times New Roman" w:hAnsi="Times New Roman" w:cs="Times New Roman"/>
          <w:sz w:val="24"/>
          <w:szCs w:val="24"/>
        </w:rPr>
        <w:t>:</w:t>
      </w:r>
    </w:p>
    <w:p w:rsidR="00EF60EC" w:rsidRPr="00C52ADD" w:rsidRDefault="00077CBB" w:rsidP="00FB341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EF60EC" w:rsidRPr="00C52ADD" w:rsidRDefault="00EF60EC" w:rsidP="00FB3415">
      <w:pPr>
        <w:pStyle w:val="NoSpacing"/>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t>v.</w:t>
      </w:r>
      <w:r w:rsidR="00241F98" w:rsidRPr="00C52ADD">
        <w:rPr>
          <w:rFonts w:ascii="Times New Roman" w:hAnsi="Times New Roman" w:cs="Times New Roman"/>
          <w:sz w:val="24"/>
          <w:szCs w:val="24"/>
        </w:rPr>
        <w:tab/>
      </w:r>
      <w:r w:rsidR="00241F98" w:rsidRPr="00C52ADD">
        <w:rPr>
          <w:rFonts w:ascii="Times New Roman" w:hAnsi="Times New Roman" w:cs="Times New Roman"/>
          <w:sz w:val="24"/>
          <w:szCs w:val="24"/>
        </w:rPr>
        <w:tab/>
      </w:r>
      <w:r w:rsidR="00241F98" w:rsidRPr="00C52ADD">
        <w:rPr>
          <w:rFonts w:ascii="Times New Roman" w:hAnsi="Times New Roman" w:cs="Times New Roman"/>
          <w:sz w:val="24"/>
          <w:szCs w:val="24"/>
        </w:rPr>
        <w:tab/>
      </w:r>
      <w:r w:rsidR="00241F98" w:rsidRPr="00C52ADD">
        <w:rPr>
          <w:rFonts w:ascii="Times New Roman" w:hAnsi="Times New Roman" w:cs="Times New Roman"/>
          <w:sz w:val="24"/>
          <w:szCs w:val="24"/>
        </w:rPr>
        <w:tab/>
      </w:r>
      <w:r w:rsidR="00077CBB">
        <w:rPr>
          <w:rFonts w:ascii="Times New Roman" w:hAnsi="Times New Roman" w:cs="Times New Roman"/>
          <w:sz w:val="24"/>
          <w:szCs w:val="24"/>
        </w:rPr>
        <w:t>:</w:t>
      </w:r>
      <w:r w:rsidR="00241F98" w:rsidRPr="00C52ADD">
        <w:rPr>
          <w:rFonts w:ascii="Times New Roman" w:hAnsi="Times New Roman" w:cs="Times New Roman"/>
          <w:sz w:val="24"/>
          <w:szCs w:val="24"/>
        </w:rPr>
        <w:tab/>
        <w:t xml:space="preserve">Docket No. </w:t>
      </w:r>
      <w:r w:rsidR="00F56F9A">
        <w:rPr>
          <w:rFonts w:ascii="Times New Roman" w:hAnsi="Times New Roman" w:cs="Times New Roman"/>
          <w:sz w:val="24"/>
          <w:szCs w:val="24"/>
        </w:rPr>
        <w:t>F</w:t>
      </w:r>
      <w:r w:rsidR="00241F98" w:rsidRPr="00C52ADD">
        <w:rPr>
          <w:rFonts w:ascii="Times New Roman" w:hAnsi="Times New Roman" w:cs="Times New Roman"/>
          <w:sz w:val="24"/>
          <w:szCs w:val="24"/>
        </w:rPr>
        <w:t>-2010-2</w:t>
      </w:r>
      <w:r w:rsidR="00FD6471">
        <w:rPr>
          <w:rFonts w:ascii="Times New Roman" w:hAnsi="Times New Roman" w:cs="Times New Roman"/>
          <w:sz w:val="24"/>
          <w:szCs w:val="24"/>
        </w:rPr>
        <w:t>166976</w:t>
      </w:r>
    </w:p>
    <w:p w:rsidR="00EF60EC" w:rsidRPr="00C52ADD" w:rsidRDefault="00077CBB" w:rsidP="00FB341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EF60EC" w:rsidRPr="00C52ADD" w:rsidRDefault="00FD6471" w:rsidP="00FB3415">
      <w:pPr>
        <w:pStyle w:val="NoSpacing"/>
        <w:rPr>
          <w:rFonts w:ascii="Times New Roman" w:hAnsi="Times New Roman" w:cs="Times New Roman"/>
          <w:sz w:val="24"/>
          <w:szCs w:val="24"/>
        </w:rPr>
      </w:pPr>
      <w:r>
        <w:rPr>
          <w:rFonts w:ascii="Times New Roman" w:hAnsi="Times New Roman" w:cs="Times New Roman"/>
          <w:sz w:val="24"/>
          <w:szCs w:val="24"/>
        </w:rPr>
        <w:t>PPL Electric Utilities Corporation</w:t>
      </w:r>
      <w:r w:rsidR="00F56F9A">
        <w:rPr>
          <w:rFonts w:ascii="Times New Roman" w:hAnsi="Times New Roman" w:cs="Times New Roman"/>
          <w:sz w:val="24"/>
          <w:szCs w:val="24"/>
        </w:rPr>
        <w:tab/>
      </w:r>
      <w:r w:rsidR="00F56F9A">
        <w:rPr>
          <w:rFonts w:ascii="Times New Roman" w:hAnsi="Times New Roman" w:cs="Times New Roman"/>
          <w:sz w:val="24"/>
          <w:szCs w:val="24"/>
        </w:rPr>
        <w:tab/>
      </w:r>
      <w:r w:rsidR="00077CBB">
        <w:rPr>
          <w:rFonts w:ascii="Times New Roman" w:hAnsi="Times New Roman" w:cs="Times New Roman"/>
          <w:sz w:val="24"/>
          <w:szCs w:val="24"/>
        </w:rPr>
        <w:tab/>
        <w:t>:</w:t>
      </w:r>
    </w:p>
    <w:p w:rsidR="00EF60EC" w:rsidRDefault="00EF60EC" w:rsidP="00FB3415">
      <w:pPr>
        <w:pStyle w:val="NoSpacing"/>
        <w:rPr>
          <w:rFonts w:ascii="Times New Roman" w:hAnsi="Times New Roman" w:cs="Times New Roman"/>
          <w:sz w:val="24"/>
          <w:szCs w:val="24"/>
        </w:rPr>
      </w:pPr>
    </w:p>
    <w:p w:rsidR="002509CA" w:rsidRPr="00C52ADD" w:rsidRDefault="002509CA" w:rsidP="00FB3415">
      <w:pPr>
        <w:pStyle w:val="NoSpacing"/>
        <w:rPr>
          <w:rFonts w:ascii="Times New Roman" w:hAnsi="Times New Roman" w:cs="Times New Roman"/>
          <w:sz w:val="24"/>
          <w:szCs w:val="24"/>
        </w:rPr>
      </w:pPr>
    </w:p>
    <w:p w:rsidR="00241F98" w:rsidRPr="00C52ADD" w:rsidRDefault="00241F98" w:rsidP="00FB3415">
      <w:pPr>
        <w:pStyle w:val="NoSpacing"/>
        <w:rPr>
          <w:rFonts w:ascii="Times New Roman" w:hAnsi="Times New Roman" w:cs="Times New Roman"/>
          <w:sz w:val="24"/>
          <w:szCs w:val="24"/>
        </w:rPr>
      </w:pPr>
    </w:p>
    <w:p w:rsidR="00EF60EC" w:rsidRPr="00C52ADD" w:rsidRDefault="00EF60EC" w:rsidP="00FB3415">
      <w:pPr>
        <w:pStyle w:val="NoSpacing"/>
        <w:jc w:val="center"/>
        <w:rPr>
          <w:rFonts w:ascii="Times New Roman" w:hAnsi="Times New Roman" w:cs="Times New Roman"/>
          <w:sz w:val="24"/>
          <w:szCs w:val="24"/>
        </w:rPr>
      </w:pPr>
      <w:r w:rsidRPr="00C52ADD">
        <w:rPr>
          <w:rFonts w:ascii="Times New Roman" w:hAnsi="Times New Roman" w:cs="Times New Roman"/>
          <w:b/>
          <w:sz w:val="24"/>
          <w:szCs w:val="24"/>
          <w:u w:val="single"/>
        </w:rPr>
        <w:t>ORDER CONSOLIDATING PROCEEDINGS</w:t>
      </w:r>
    </w:p>
    <w:p w:rsidR="00EF60EC" w:rsidRDefault="00EF60EC" w:rsidP="00FB3415">
      <w:pPr>
        <w:pStyle w:val="NoSpacing"/>
        <w:jc w:val="center"/>
        <w:rPr>
          <w:rFonts w:ascii="Times New Roman" w:hAnsi="Times New Roman" w:cs="Times New Roman"/>
          <w:sz w:val="24"/>
          <w:szCs w:val="24"/>
        </w:rPr>
      </w:pPr>
    </w:p>
    <w:p w:rsidR="00F16E63" w:rsidRPr="00C52ADD" w:rsidRDefault="00F16E63" w:rsidP="00FB3415">
      <w:pPr>
        <w:pStyle w:val="NoSpacing"/>
        <w:spacing w:line="360" w:lineRule="auto"/>
        <w:jc w:val="center"/>
        <w:rPr>
          <w:rFonts w:ascii="Times New Roman" w:hAnsi="Times New Roman" w:cs="Times New Roman"/>
          <w:sz w:val="24"/>
          <w:szCs w:val="24"/>
        </w:rPr>
      </w:pPr>
    </w:p>
    <w:p w:rsidR="006B6B2F" w:rsidRDefault="00F16E63" w:rsidP="00FB3415">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t xml:space="preserve">On </w:t>
      </w:r>
      <w:r w:rsidR="006B6B2F">
        <w:rPr>
          <w:rFonts w:ascii="Times New Roman" w:hAnsi="Times New Roman" w:cs="Times New Roman"/>
          <w:sz w:val="24"/>
          <w:szCs w:val="24"/>
        </w:rPr>
        <w:t>March 24, 2010</w:t>
      </w:r>
      <w:r w:rsidR="00F56F9A">
        <w:rPr>
          <w:rFonts w:ascii="Times New Roman" w:hAnsi="Times New Roman" w:cs="Times New Roman"/>
          <w:sz w:val="24"/>
          <w:szCs w:val="24"/>
        </w:rPr>
        <w:t xml:space="preserve">, </w:t>
      </w:r>
      <w:r w:rsidR="006B6B2F">
        <w:rPr>
          <w:rFonts w:ascii="Times New Roman" w:hAnsi="Times New Roman" w:cs="Times New Roman"/>
          <w:sz w:val="24"/>
          <w:szCs w:val="24"/>
        </w:rPr>
        <w:t>1-A Realty (Complainant</w:t>
      </w:r>
      <w:r w:rsidR="00F314D3">
        <w:rPr>
          <w:rFonts w:ascii="Times New Roman" w:hAnsi="Times New Roman" w:cs="Times New Roman"/>
          <w:sz w:val="24"/>
          <w:szCs w:val="24"/>
        </w:rPr>
        <w:t>)</w:t>
      </w:r>
      <w:r w:rsidR="00F56F9A">
        <w:rPr>
          <w:rFonts w:ascii="Times New Roman" w:hAnsi="Times New Roman" w:cs="Times New Roman"/>
          <w:sz w:val="24"/>
          <w:szCs w:val="24"/>
        </w:rPr>
        <w:t xml:space="preserve">, </w:t>
      </w:r>
      <w:r w:rsidR="00DA4ACE" w:rsidRPr="00C52ADD">
        <w:rPr>
          <w:rFonts w:ascii="Times New Roman" w:hAnsi="Times New Roman" w:cs="Times New Roman"/>
          <w:sz w:val="24"/>
          <w:szCs w:val="24"/>
        </w:rPr>
        <w:t xml:space="preserve">filed </w:t>
      </w:r>
      <w:r w:rsidR="00F56F9A">
        <w:rPr>
          <w:rFonts w:ascii="Times New Roman" w:hAnsi="Times New Roman" w:cs="Times New Roman"/>
          <w:sz w:val="24"/>
          <w:szCs w:val="24"/>
        </w:rPr>
        <w:t xml:space="preserve">a Complaint </w:t>
      </w:r>
      <w:r w:rsidR="00DF163B">
        <w:rPr>
          <w:rFonts w:ascii="Times New Roman" w:hAnsi="Times New Roman" w:cs="Times New Roman"/>
          <w:sz w:val="24"/>
          <w:szCs w:val="24"/>
        </w:rPr>
        <w:t xml:space="preserve">at </w:t>
      </w:r>
      <w:r w:rsidR="00DF163B" w:rsidRPr="00C52ADD">
        <w:rPr>
          <w:rFonts w:ascii="Times New Roman" w:hAnsi="Times New Roman" w:cs="Times New Roman"/>
          <w:sz w:val="24"/>
          <w:szCs w:val="24"/>
        </w:rPr>
        <w:t xml:space="preserve">Docket No. </w:t>
      </w:r>
      <w:proofErr w:type="gramStart"/>
      <w:r w:rsidR="006B6B2F">
        <w:rPr>
          <w:rFonts w:ascii="Times New Roman" w:hAnsi="Times New Roman" w:cs="Times New Roman"/>
          <w:sz w:val="24"/>
          <w:szCs w:val="24"/>
        </w:rPr>
        <w:t>F</w:t>
      </w:r>
      <w:r w:rsidR="00DF163B" w:rsidRPr="00C52ADD">
        <w:rPr>
          <w:rFonts w:ascii="Times New Roman" w:hAnsi="Times New Roman" w:cs="Times New Roman"/>
          <w:sz w:val="24"/>
          <w:szCs w:val="24"/>
        </w:rPr>
        <w:t>-2010-21</w:t>
      </w:r>
      <w:r w:rsidR="006B6B2F">
        <w:rPr>
          <w:rFonts w:ascii="Times New Roman" w:hAnsi="Times New Roman" w:cs="Times New Roman"/>
          <w:sz w:val="24"/>
          <w:szCs w:val="24"/>
        </w:rPr>
        <w:t>66554</w:t>
      </w:r>
      <w:r w:rsidR="002B780B">
        <w:rPr>
          <w:rFonts w:ascii="Times New Roman" w:hAnsi="Times New Roman" w:cs="Times New Roman"/>
          <w:sz w:val="24"/>
          <w:szCs w:val="24"/>
        </w:rPr>
        <w:t>,</w:t>
      </w:r>
      <w:proofErr w:type="gramEnd"/>
      <w:r w:rsidR="006B6B2F">
        <w:rPr>
          <w:rFonts w:ascii="Times New Roman" w:hAnsi="Times New Roman" w:cs="Times New Roman"/>
          <w:sz w:val="24"/>
          <w:szCs w:val="24"/>
        </w:rPr>
        <w:t xml:space="preserve"> and a Complaint at Docket No. F-2010-2166976</w:t>
      </w:r>
      <w:r w:rsidR="005E4D00">
        <w:rPr>
          <w:rFonts w:ascii="Times New Roman" w:hAnsi="Times New Roman" w:cs="Times New Roman"/>
          <w:sz w:val="24"/>
          <w:szCs w:val="24"/>
        </w:rPr>
        <w:t>,</w:t>
      </w:r>
      <w:r w:rsidR="00DF163B">
        <w:rPr>
          <w:rFonts w:ascii="Times New Roman" w:hAnsi="Times New Roman" w:cs="Times New Roman"/>
          <w:sz w:val="24"/>
          <w:szCs w:val="24"/>
        </w:rPr>
        <w:t xml:space="preserve"> </w:t>
      </w:r>
      <w:r w:rsidR="006B6B2F">
        <w:rPr>
          <w:rFonts w:ascii="Times New Roman" w:hAnsi="Times New Roman" w:cs="Times New Roman"/>
          <w:sz w:val="24"/>
          <w:szCs w:val="24"/>
        </w:rPr>
        <w:t xml:space="preserve">against PPL Electric Utilities Corporation (Respondent or PPL) </w:t>
      </w:r>
      <w:r w:rsidR="00DA4ACE" w:rsidRPr="00C52ADD">
        <w:rPr>
          <w:rFonts w:ascii="Times New Roman" w:hAnsi="Times New Roman" w:cs="Times New Roman"/>
          <w:sz w:val="24"/>
          <w:szCs w:val="24"/>
        </w:rPr>
        <w:t>with the Pennsylvania Public Utility Commission</w:t>
      </w:r>
      <w:r w:rsidR="005E4D00">
        <w:rPr>
          <w:rFonts w:ascii="Times New Roman" w:hAnsi="Times New Roman" w:cs="Times New Roman"/>
          <w:sz w:val="24"/>
          <w:szCs w:val="24"/>
        </w:rPr>
        <w:t xml:space="preserve"> </w:t>
      </w:r>
      <w:r w:rsidR="00DA4ACE" w:rsidRPr="00C52ADD">
        <w:rPr>
          <w:rFonts w:ascii="Times New Roman" w:hAnsi="Times New Roman" w:cs="Times New Roman"/>
          <w:sz w:val="24"/>
          <w:szCs w:val="24"/>
        </w:rPr>
        <w:t>(Commission)</w:t>
      </w:r>
      <w:r w:rsidR="004B4CB7">
        <w:rPr>
          <w:rFonts w:ascii="Times New Roman" w:hAnsi="Times New Roman" w:cs="Times New Roman"/>
          <w:sz w:val="24"/>
          <w:szCs w:val="24"/>
        </w:rPr>
        <w:t xml:space="preserve"> </w:t>
      </w:r>
      <w:r w:rsidR="006B6B2F">
        <w:rPr>
          <w:rFonts w:ascii="Times New Roman" w:hAnsi="Times New Roman" w:cs="Times New Roman"/>
          <w:sz w:val="24"/>
          <w:szCs w:val="24"/>
        </w:rPr>
        <w:t>appealing decisions by the Commission’s Bureau of Consumer Services (BCS) with respect to a</w:t>
      </w:r>
      <w:r w:rsidR="005E4D00">
        <w:rPr>
          <w:rFonts w:ascii="Times New Roman" w:hAnsi="Times New Roman" w:cs="Times New Roman"/>
          <w:sz w:val="24"/>
          <w:szCs w:val="24"/>
        </w:rPr>
        <w:t>n alleged</w:t>
      </w:r>
      <w:r w:rsidR="006B6B2F">
        <w:rPr>
          <w:rFonts w:ascii="Times New Roman" w:hAnsi="Times New Roman" w:cs="Times New Roman"/>
          <w:sz w:val="24"/>
          <w:szCs w:val="24"/>
        </w:rPr>
        <w:t xml:space="preserve"> foreign load issue</w:t>
      </w:r>
      <w:r w:rsidR="005E4D00">
        <w:rPr>
          <w:rFonts w:ascii="Times New Roman" w:hAnsi="Times New Roman" w:cs="Times New Roman"/>
          <w:sz w:val="24"/>
          <w:szCs w:val="24"/>
        </w:rPr>
        <w:t xml:space="preserve"> at Complainant’s mobile home park</w:t>
      </w:r>
      <w:r w:rsidR="002B780B">
        <w:rPr>
          <w:rFonts w:ascii="Times New Roman" w:hAnsi="Times New Roman" w:cs="Times New Roman"/>
          <w:sz w:val="24"/>
          <w:szCs w:val="24"/>
        </w:rPr>
        <w:t xml:space="preserve"> (the Red Maple Acres Mobile Home Park)</w:t>
      </w:r>
      <w:r w:rsidR="006B6B2F">
        <w:rPr>
          <w:rFonts w:ascii="Times New Roman" w:hAnsi="Times New Roman" w:cs="Times New Roman"/>
          <w:sz w:val="24"/>
          <w:szCs w:val="24"/>
        </w:rPr>
        <w:t>.</w:t>
      </w:r>
      <w:r w:rsidR="006B6B2F">
        <w:rPr>
          <w:rStyle w:val="FootnoteReference"/>
          <w:rFonts w:ascii="Times New Roman" w:hAnsi="Times New Roman" w:cs="Times New Roman"/>
          <w:sz w:val="24"/>
          <w:szCs w:val="24"/>
        </w:rPr>
        <w:footnoteReference w:id="1"/>
      </w:r>
    </w:p>
    <w:p w:rsidR="006B6B2F" w:rsidRDefault="006B6B2F" w:rsidP="00FB3415">
      <w:pPr>
        <w:pStyle w:val="NoSpacing"/>
        <w:spacing w:line="360" w:lineRule="auto"/>
        <w:rPr>
          <w:rFonts w:ascii="Times New Roman" w:hAnsi="Times New Roman" w:cs="Times New Roman"/>
          <w:sz w:val="24"/>
          <w:szCs w:val="24"/>
        </w:rPr>
      </w:pPr>
    </w:p>
    <w:p w:rsidR="006B6B2F" w:rsidRDefault="00DF163B" w:rsidP="00FB34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F2898">
        <w:rPr>
          <w:rFonts w:ascii="Times New Roman" w:hAnsi="Times New Roman" w:cs="Times New Roman"/>
          <w:sz w:val="24"/>
          <w:szCs w:val="24"/>
        </w:rPr>
        <w:t xml:space="preserve">On </w:t>
      </w:r>
      <w:r w:rsidR="006B6B2F">
        <w:rPr>
          <w:rFonts w:ascii="Times New Roman" w:hAnsi="Times New Roman" w:cs="Times New Roman"/>
          <w:sz w:val="24"/>
          <w:szCs w:val="24"/>
        </w:rPr>
        <w:t>April 19, 2010</w:t>
      </w:r>
      <w:r w:rsidR="00CF2898">
        <w:rPr>
          <w:rFonts w:ascii="Times New Roman" w:hAnsi="Times New Roman" w:cs="Times New Roman"/>
          <w:sz w:val="24"/>
          <w:szCs w:val="24"/>
        </w:rPr>
        <w:t>, P</w:t>
      </w:r>
      <w:r w:rsidR="006B6B2F">
        <w:rPr>
          <w:rFonts w:ascii="Times New Roman" w:hAnsi="Times New Roman" w:cs="Times New Roman"/>
          <w:sz w:val="24"/>
          <w:szCs w:val="24"/>
        </w:rPr>
        <w:t xml:space="preserve">PL </w:t>
      </w:r>
      <w:r w:rsidR="00CF2898">
        <w:rPr>
          <w:rFonts w:ascii="Times New Roman" w:hAnsi="Times New Roman" w:cs="Times New Roman"/>
          <w:sz w:val="24"/>
          <w:szCs w:val="24"/>
        </w:rPr>
        <w:t xml:space="preserve">filed an Answer </w:t>
      </w:r>
      <w:r w:rsidR="006B6B2F">
        <w:rPr>
          <w:rFonts w:ascii="Times New Roman" w:hAnsi="Times New Roman" w:cs="Times New Roman"/>
          <w:sz w:val="24"/>
          <w:szCs w:val="24"/>
        </w:rPr>
        <w:t xml:space="preserve">and New Matter </w:t>
      </w:r>
      <w:r w:rsidR="00CF2898">
        <w:rPr>
          <w:rFonts w:ascii="Times New Roman" w:hAnsi="Times New Roman" w:cs="Times New Roman"/>
          <w:sz w:val="24"/>
          <w:szCs w:val="24"/>
        </w:rPr>
        <w:t>to the Complaint</w:t>
      </w:r>
      <w:r w:rsidR="006B6B2F">
        <w:rPr>
          <w:rFonts w:ascii="Times New Roman" w:hAnsi="Times New Roman" w:cs="Times New Roman"/>
          <w:sz w:val="24"/>
          <w:szCs w:val="24"/>
        </w:rPr>
        <w:t>s</w:t>
      </w:r>
      <w:r w:rsidR="00CF2898">
        <w:rPr>
          <w:rFonts w:ascii="Times New Roman" w:hAnsi="Times New Roman" w:cs="Times New Roman"/>
          <w:sz w:val="24"/>
          <w:szCs w:val="24"/>
        </w:rPr>
        <w:t xml:space="preserve"> </w:t>
      </w:r>
      <w:r w:rsidR="006B6B2F">
        <w:rPr>
          <w:rFonts w:ascii="Times New Roman" w:hAnsi="Times New Roman" w:cs="Times New Roman"/>
          <w:sz w:val="24"/>
          <w:szCs w:val="24"/>
        </w:rPr>
        <w:t xml:space="preserve">and </w:t>
      </w:r>
      <w:r w:rsidR="00E90795">
        <w:rPr>
          <w:rFonts w:ascii="Times New Roman" w:hAnsi="Times New Roman" w:cs="Times New Roman"/>
          <w:sz w:val="24"/>
          <w:szCs w:val="24"/>
        </w:rPr>
        <w:t>assert</w:t>
      </w:r>
      <w:r w:rsidR="006B6B2F">
        <w:rPr>
          <w:rFonts w:ascii="Times New Roman" w:hAnsi="Times New Roman" w:cs="Times New Roman"/>
          <w:sz w:val="24"/>
          <w:szCs w:val="24"/>
        </w:rPr>
        <w:t>ed</w:t>
      </w:r>
      <w:r w:rsidR="00E90795">
        <w:rPr>
          <w:rFonts w:ascii="Times New Roman" w:hAnsi="Times New Roman" w:cs="Times New Roman"/>
          <w:sz w:val="24"/>
          <w:szCs w:val="24"/>
        </w:rPr>
        <w:t xml:space="preserve"> that </w:t>
      </w:r>
      <w:r w:rsidR="006B6B2F">
        <w:rPr>
          <w:rFonts w:ascii="Times New Roman" w:hAnsi="Times New Roman" w:cs="Times New Roman"/>
          <w:sz w:val="24"/>
          <w:szCs w:val="24"/>
        </w:rPr>
        <w:t>the condition on Complainant’s property, in which street lights had been connected to the meters of individual tenants in Complainant’s mobile home park, constituted foreign wiring which is not permitted under the Pennsylvania Public Utility Code (Code).</w:t>
      </w:r>
    </w:p>
    <w:p w:rsidR="006B6B2F" w:rsidRDefault="006B6B2F" w:rsidP="00FB3415">
      <w:pPr>
        <w:pStyle w:val="NoSpacing"/>
        <w:spacing w:line="360" w:lineRule="auto"/>
        <w:rPr>
          <w:rFonts w:ascii="Times New Roman" w:hAnsi="Times New Roman" w:cs="Times New Roman"/>
          <w:sz w:val="24"/>
          <w:szCs w:val="24"/>
        </w:rPr>
      </w:pPr>
    </w:p>
    <w:p w:rsidR="006B6B2F" w:rsidRDefault="006B6B2F" w:rsidP="00F2056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sidR="00F20565">
        <w:rPr>
          <w:rFonts w:ascii="Times New Roman" w:hAnsi="Times New Roman" w:cs="Times New Roman"/>
          <w:sz w:val="24"/>
          <w:szCs w:val="24"/>
        </w:rPr>
        <w:tab/>
        <w:t xml:space="preserve">On </w:t>
      </w:r>
      <w:r>
        <w:rPr>
          <w:rFonts w:ascii="Times New Roman" w:hAnsi="Times New Roman" w:cs="Times New Roman"/>
          <w:sz w:val="24"/>
          <w:szCs w:val="24"/>
        </w:rPr>
        <w:t>April 30, 2010</w:t>
      </w:r>
      <w:r w:rsidR="00F20565">
        <w:rPr>
          <w:rFonts w:ascii="Times New Roman" w:hAnsi="Times New Roman" w:cs="Times New Roman"/>
          <w:sz w:val="24"/>
          <w:szCs w:val="24"/>
        </w:rPr>
        <w:t xml:space="preserve">, </w:t>
      </w:r>
      <w:r>
        <w:rPr>
          <w:rFonts w:ascii="Times New Roman" w:hAnsi="Times New Roman" w:cs="Times New Roman"/>
          <w:sz w:val="24"/>
          <w:szCs w:val="24"/>
        </w:rPr>
        <w:t xml:space="preserve">Complainant </w:t>
      </w:r>
      <w:r w:rsidR="005E4D00">
        <w:rPr>
          <w:rFonts w:ascii="Times New Roman" w:hAnsi="Times New Roman" w:cs="Times New Roman"/>
          <w:sz w:val="24"/>
          <w:szCs w:val="24"/>
        </w:rPr>
        <w:t xml:space="preserve">filed </w:t>
      </w:r>
      <w:r w:rsidR="00F20565">
        <w:rPr>
          <w:rFonts w:ascii="Times New Roman" w:hAnsi="Times New Roman" w:cs="Times New Roman"/>
          <w:sz w:val="24"/>
          <w:szCs w:val="24"/>
        </w:rPr>
        <w:t xml:space="preserve">an Answer to the </w:t>
      </w:r>
      <w:r>
        <w:rPr>
          <w:rFonts w:ascii="Times New Roman" w:hAnsi="Times New Roman" w:cs="Times New Roman"/>
          <w:sz w:val="24"/>
          <w:szCs w:val="24"/>
        </w:rPr>
        <w:t>Respondent’s New Matter, and stated that the wiring at the mobile home park is consistent with the Code and with the policies and regulations of the Commission.</w:t>
      </w:r>
    </w:p>
    <w:p w:rsidR="00DA4ACE" w:rsidRPr="00C52ADD" w:rsidRDefault="00DC7849" w:rsidP="00FB34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AE0270" w:rsidRPr="00C52ADD">
        <w:rPr>
          <w:rFonts w:ascii="Times New Roman" w:hAnsi="Times New Roman" w:cs="Times New Roman"/>
          <w:sz w:val="24"/>
          <w:szCs w:val="24"/>
        </w:rPr>
        <w:t xml:space="preserve">  </w:t>
      </w:r>
    </w:p>
    <w:p w:rsidR="002A38DB" w:rsidRDefault="00F07896" w:rsidP="00FB3415">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r>
      <w:r w:rsidR="006B6B2F">
        <w:rPr>
          <w:rFonts w:ascii="Times New Roman" w:hAnsi="Times New Roman" w:cs="Times New Roman"/>
          <w:sz w:val="24"/>
          <w:szCs w:val="24"/>
        </w:rPr>
        <w:t>On May 10</w:t>
      </w:r>
      <w:r w:rsidR="009B2CC6">
        <w:rPr>
          <w:rFonts w:ascii="Times New Roman" w:hAnsi="Times New Roman" w:cs="Times New Roman"/>
          <w:sz w:val="24"/>
          <w:szCs w:val="24"/>
        </w:rPr>
        <w:t xml:space="preserve">, 2010, </w:t>
      </w:r>
      <w:r w:rsidR="006B6B2F">
        <w:rPr>
          <w:rFonts w:ascii="Times New Roman" w:hAnsi="Times New Roman" w:cs="Times New Roman"/>
          <w:sz w:val="24"/>
          <w:szCs w:val="24"/>
        </w:rPr>
        <w:t xml:space="preserve">the Complainant </w:t>
      </w:r>
      <w:r w:rsidR="009B2CC6">
        <w:rPr>
          <w:rFonts w:ascii="Times New Roman" w:hAnsi="Times New Roman" w:cs="Times New Roman"/>
          <w:sz w:val="24"/>
          <w:szCs w:val="24"/>
        </w:rPr>
        <w:t>filed a M</w:t>
      </w:r>
      <w:r w:rsidR="00F16E63" w:rsidRPr="00C52ADD">
        <w:rPr>
          <w:rFonts w:ascii="Times New Roman" w:hAnsi="Times New Roman" w:cs="Times New Roman"/>
          <w:sz w:val="24"/>
          <w:szCs w:val="24"/>
        </w:rPr>
        <w:t xml:space="preserve">otion to </w:t>
      </w:r>
      <w:proofErr w:type="gramStart"/>
      <w:r w:rsidR="00F16E63" w:rsidRPr="00C52ADD">
        <w:rPr>
          <w:rFonts w:ascii="Times New Roman" w:hAnsi="Times New Roman" w:cs="Times New Roman"/>
          <w:sz w:val="24"/>
          <w:szCs w:val="24"/>
        </w:rPr>
        <w:t>Consolidate</w:t>
      </w:r>
      <w:proofErr w:type="gramEnd"/>
      <w:r w:rsidR="00F16E63" w:rsidRPr="00C52ADD">
        <w:rPr>
          <w:rFonts w:ascii="Times New Roman" w:hAnsi="Times New Roman" w:cs="Times New Roman"/>
          <w:sz w:val="24"/>
          <w:szCs w:val="24"/>
        </w:rPr>
        <w:t xml:space="preserve"> the</w:t>
      </w:r>
      <w:r w:rsidR="009B2CC6">
        <w:rPr>
          <w:rFonts w:ascii="Times New Roman" w:hAnsi="Times New Roman" w:cs="Times New Roman"/>
          <w:sz w:val="24"/>
          <w:szCs w:val="24"/>
        </w:rPr>
        <w:t>se cases</w:t>
      </w:r>
      <w:r w:rsidR="00BA284C">
        <w:rPr>
          <w:rFonts w:ascii="Times New Roman" w:hAnsi="Times New Roman" w:cs="Times New Roman"/>
          <w:sz w:val="24"/>
          <w:szCs w:val="24"/>
        </w:rPr>
        <w:t>.</w:t>
      </w:r>
      <w:r w:rsidR="003C341D" w:rsidRPr="00C52ADD">
        <w:rPr>
          <w:rFonts w:ascii="Times New Roman" w:hAnsi="Times New Roman" w:cs="Times New Roman"/>
          <w:sz w:val="24"/>
          <w:szCs w:val="24"/>
        </w:rPr>
        <w:t xml:space="preserve"> </w:t>
      </w:r>
      <w:r w:rsidR="00BA284C">
        <w:rPr>
          <w:rFonts w:ascii="Times New Roman" w:hAnsi="Times New Roman" w:cs="Times New Roman"/>
          <w:sz w:val="24"/>
          <w:szCs w:val="24"/>
        </w:rPr>
        <w:t xml:space="preserve"> </w:t>
      </w:r>
      <w:r w:rsidR="003C341D" w:rsidRPr="00C52ADD">
        <w:rPr>
          <w:rFonts w:ascii="Times New Roman" w:hAnsi="Times New Roman" w:cs="Times New Roman"/>
          <w:sz w:val="24"/>
          <w:szCs w:val="24"/>
        </w:rPr>
        <w:t xml:space="preserve">No answer or objection to the Joint Motion has been filed as </w:t>
      </w:r>
      <w:r w:rsidR="002B780B">
        <w:rPr>
          <w:rFonts w:ascii="Times New Roman" w:hAnsi="Times New Roman" w:cs="Times New Roman"/>
          <w:sz w:val="24"/>
          <w:szCs w:val="24"/>
        </w:rPr>
        <w:t xml:space="preserve">is </w:t>
      </w:r>
      <w:r w:rsidR="00FC4664" w:rsidRPr="00C52ADD">
        <w:rPr>
          <w:rFonts w:ascii="Times New Roman" w:hAnsi="Times New Roman" w:cs="Times New Roman"/>
          <w:sz w:val="24"/>
          <w:szCs w:val="24"/>
        </w:rPr>
        <w:t>permitted</w:t>
      </w:r>
      <w:r w:rsidR="003C341D" w:rsidRPr="00C52ADD">
        <w:rPr>
          <w:rFonts w:ascii="Times New Roman" w:hAnsi="Times New Roman" w:cs="Times New Roman"/>
          <w:sz w:val="24"/>
          <w:szCs w:val="24"/>
        </w:rPr>
        <w:t xml:space="preserve"> by the Commissio</w:t>
      </w:r>
      <w:r w:rsidR="00FB3415">
        <w:rPr>
          <w:rFonts w:ascii="Times New Roman" w:hAnsi="Times New Roman" w:cs="Times New Roman"/>
          <w:sz w:val="24"/>
          <w:szCs w:val="24"/>
        </w:rPr>
        <w:t>n’s regulation at 52 Pa. Code § </w:t>
      </w:r>
      <w:r w:rsidR="003C341D" w:rsidRPr="00C52ADD">
        <w:rPr>
          <w:rFonts w:ascii="Times New Roman" w:hAnsi="Times New Roman" w:cs="Times New Roman"/>
          <w:sz w:val="24"/>
          <w:szCs w:val="24"/>
        </w:rPr>
        <w:t>5.103</w:t>
      </w:r>
      <w:r w:rsidR="001D3624" w:rsidRPr="00C52ADD">
        <w:rPr>
          <w:rFonts w:ascii="Times New Roman" w:hAnsi="Times New Roman" w:cs="Times New Roman"/>
          <w:sz w:val="24"/>
          <w:szCs w:val="24"/>
        </w:rPr>
        <w:t>(c).</w:t>
      </w:r>
    </w:p>
    <w:p w:rsidR="00BA284C" w:rsidRPr="00C52ADD" w:rsidRDefault="00BA284C" w:rsidP="00FB3415">
      <w:pPr>
        <w:pStyle w:val="NoSpacing"/>
        <w:spacing w:line="360" w:lineRule="auto"/>
        <w:rPr>
          <w:rFonts w:ascii="Times New Roman" w:hAnsi="Times New Roman" w:cs="Times New Roman"/>
          <w:sz w:val="24"/>
          <w:szCs w:val="24"/>
        </w:rPr>
      </w:pPr>
    </w:p>
    <w:p w:rsidR="00BA284C" w:rsidRDefault="00826EAF" w:rsidP="00FB3415">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t xml:space="preserve">In </w:t>
      </w:r>
      <w:r w:rsidR="00BA284C">
        <w:rPr>
          <w:rFonts w:ascii="Times New Roman" w:hAnsi="Times New Roman" w:cs="Times New Roman"/>
          <w:sz w:val="24"/>
          <w:szCs w:val="24"/>
        </w:rPr>
        <w:t xml:space="preserve">its </w:t>
      </w:r>
      <w:r w:rsidR="009D3354" w:rsidRPr="00C52ADD">
        <w:rPr>
          <w:rFonts w:ascii="Times New Roman" w:hAnsi="Times New Roman" w:cs="Times New Roman"/>
          <w:sz w:val="24"/>
          <w:szCs w:val="24"/>
        </w:rPr>
        <w:t>M</w:t>
      </w:r>
      <w:r w:rsidRPr="00C52ADD">
        <w:rPr>
          <w:rFonts w:ascii="Times New Roman" w:hAnsi="Times New Roman" w:cs="Times New Roman"/>
          <w:sz w:val="24"/>
          <w:szCs w:val="24"/>
        </w:rPr>
        <w:t>otion</w:t>
      </w:r>
      <w:r w:rsidR="002B780B">
        <w:rPr>
          <w:rFonts w:ascii="Times New Roman" w:hAnsi="Times New Roman" w:cs="Times New Roman"/>
          <w:sz w:val="24"/>
          <w:szCs w:val="24"/>
        </w:rPr>
        <w:t xml:space="preserve"> to Consolidate</w:t>
      </w:r>
      <w:r w:rsidRPr="00C52ADD">
        <w:rPr>
          <w:rFonts w:ascii="Times New Roman" w:hAnsi="Times New Roman" w:cs="Times New Roman"/>
          <w:sz w:val="24"/>
          <w:szCs w:val="24"/>
        </w:rPr>
        <w:t xml:space="preserve">, </w:t>
      </w:r>
      <w:r w:rsidR="006B6B2F">
        <w:rPr>
          <w:rFonts w:ascii="Times New Roman" w:hAnsi="Times New Roman" w:cs="Times New Roman"/>
          <w:sz w:val="24"/>
          <w:szCs w:val="24"/>
        </w:rPr>
        <w:t>the Complainant s</w:t>
      </w:r>
      <w:r w:rsidR="00BA284C">
        <w:rPr>
          <w:rFonts w:ascii="Times New Roman" w:hAnsi="Times New Roman" w:cs="Times New Roman"/>
          <w:sz w:val="24"/>
          <w:szCs w:val="24"/>
        </w:rPr>
        <w:t>tates that both matters</w:t>
      </w:r>
      <w:r w:rsidR="0002390F">
        <w:rPr>
          <w:rFonts w:ascii="Times New Roman" w:hAnsi="Times New Roman" w:cs="Times New Roman"/>
          <w:sz w:val="24"/>
          <w:szCs w:val="24"/>
        </w:rPr>
        <w:t xml:space="preserve"> involve </w:t>
      </w:r>
      <w:r w:rsidR="006B6B2F">
        <w:rPr>
          <w:rFonts w:ascii="Times New Roman" w:hAnsi="Times New Roman" w:cs="Times New Roman"/>
          <w:sz w:val="24"/>
          <w:szCs w:val="24"/>
        </w:rPr>
        <w:t>similar</w:t>
      </w:r>
      <w:r w:rsidR="0002390F">
        <w:rPr>
          <w:rFonts w:ascii="Times New Roman" w:hAnsi="Times New Roman" w:cs="Times New Roman"/>
          <w:sz w:val="24"/>
          <w:szCs w:val="24"/>
        </w:rPr>
        <w:t xml:space="preserve"> issues of</w:t>
      </w:r>
      <w:r w:rsidR="006B6B2F">
        <w:rPr>
          <w:rFonts w:ascii="Times New Roman" w:hAnsi="Times New Roman" w:cs="Times New Roman"/>
          <w:sz w:val="24"/>
          <w:szCs w:val="24"/>
        </w:rPr>
        <w:t xml:space="preserve"> law and </w:t>
      </w:r>
      <w:r w:rsidR="0002390F">
        <w:rPr>
          <w:rFonts w:ascii="Times New Roman" w:hAnsi="Times New Roman" w:cs="Times New Roman"/>
          <w:sz w:val="24"/>
          <w:szCs w:val="24"/>
        </w:rPr>
        <w:t xml:space="preserve">fact.  </w:t>
      </w:r>
      <w:r w:rsidR="006B6B2F">
        <w:rPr>
          <w:rFonts w:ascii="Times New Roman" w:hAnsi="Times New Roman" w:cs="Times New Roman"/>
          <w:sz w:val="24"/>
          <w:szCs w:val="24"/>
        </w:rPr>
        <w:t xml:space="preserve">The Complainant avers that counsel for both Parties agree that these cases should be consolidated for the convenience of the Parties and the Court.  </w:t>
      </w:r>
      <w:proofErr w:type="gramStart"/>
      <w:r w:rsidR="0002390F">
        <w:rPr>
          <w:rFonts w:ascii="Times New Roman" w:hAnsi="Times New Roman" w:cs="Times New Roman"/>
          <w:sz w:val="24"/>
          <w:szCs w:val="24"/>
        </w:rPr>
        <w:t xml:space="preserve">Motion to Consolidate at </w:t>
      </w:r>
      <w:r w:rsidR="006B6B2F">
        <w:rPr>
          <w:rFonts w:ascii="Times New Roman" w:hAnsi="Times New Roman" w:cs="Times New Roman"/>
          <w:sz w:val="24"/>
          <w:szCs w:val="24"/>
        </w:rPr>
        <w:t>1-</w:t>
      </w:r>
      <w:r w:rsidR="0002390F">
        <w:rPr>
          <w:rFonts w:ascii="Times New Roman" w:hAnsi="Times New Roman" w:cs="Times New Roman"/>
          <w:sz w:val="24"/>
          <w:szCs w:val="24"/>
        </w:rPr>
        <w:t xml:space="preserve">2, ¶¶ </w:t>
      </w:r>
      <w:r w:rsidR="006B6B2F">
        <w:rPr>
          <w:rFonts w:ascii="Times New Roman" w:hAnsi="Times New Roman" w:cs="Times New Roman"/>
          <w:sz w:val="24"/>
          <w:szCs w:val="24"/>
        </w:rPr>
        <w:t>4</w:t>
      </w:r>
      <w:r w:rsidR="0002390F">
        <w:rPr>
          <w:rFonts w:ascii="Times New Roman" w:hAnsi="Times New Roman" w:cs="Times New Roman"/>
          <w:sz w:val="24"/>
          <w:szCs w:val="24"/>
        </w:rPr>
        <w:t>-</w:t>
      </w:r>
      <w:r w:rsidR="006B6B2F">
        <w:rPr>
          <w:rFonts w:ascii="Times New Roman" w:hAnsi="Times New Roman" w:cs="Times New Roman"/>
          <w:sz w:val="24"/>
          <w:szCs w:val="24"/>
        </w:rPr>
        <w:t>5</w:t>
      </w:r>
      <w:r w:rsidR="0002390F">
        <w:rPr>
          <w:rFonts w:ascii="Times New Roman" w:hAnsi="Times New Roman" w:cs="Times New Roman"/>
          <w:sz w:val="24"/>
          <w:szCs w:val="24"/>
        </w:rPr>
        <w:t>.</w:t>
      </w:r>
      <w:proofErr w:type="gramEnd"/>
    </w:p>
    <w:p w:rsidR="005E4D00" w:rsidRDefault="005E4D00" w:rsidP="00FB3415">
      <w:pPr>
        <w:pStyle w:val="NoSpacing"/>
        <w:spacing w:line="360" w:lineRule="auto"/>
        <w:rPr>
          <w:rFonts w:ascii="Times New Roman" w:hAnsi="Times New Roman" w:cs="Times New Roman"/>
          <w:sz w:val="24"/>
          <w:szCs w:val="24"/>
        </w:rPr>
      </w:pPr>
    </w:p>
    <w:p w:rsidR="005E4D00" w:rsidRDefault="005E4D00" w:rsidP="00FB34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March 15, 2011, these cases were assigned to </w:t>
      </w:r>
      <w:r w:rsidR="002B780B">
        <w:rPr>
          <w:rFonts w:ascii="Times New Roman" w:hAnsi="Times New Roman" w:cs="Times New Roman"/>
          <w:sz w:val="24"/>
          <w:szCs w:val="24"/>
        </w:rPr>
        <w:t>me as Presiding Officer</w:t>
      </w:r>
      <w:r>
        <w:rPr>
          <w:rFonts w:ascii="Times New Roman" w:hAnsi="Times New Roman" w:cs="Times New Roman"/>
          <w:sz w:val="24"/>
          <w:szCs w:val="24"/>
        </w:rPr>
        <w:t xml:space="preserve"> and set for hearing at 10:00 a.m. on April 26, 2011, in Hearing Room 3 of the Commission’s offices in Harrisburg, Pennsylvania. </w:t>
      </w:r>
    </w:p>
    <w:p w:rsidR="00BA284C" w:rsidRDefault="00BA284C" w:rsidP="00FB3415">
      <w:pPr>
        <w:pStyle w:val="NoSpacing"/>
        <w:spacing w:line="360" w:lineRule="auto"/>
        <w:rPr>
          <w:rFonts w:ascii="Times New Roman" w:hAnsi="Times New Roman" w:cs="Times New Roman"/>
          <w:sz w:val="24"/>
          <w:szCs w:val="24"/>
        </w:rPr>
      </w:pPr>
    </w:p>
    <w:p w:rsidR="001D3624" w:rsidRDefault="001D3624" w:rsidP="00FB3415">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t>The Commission’s regulation pertaining to Consolidation appears at 52 Pa. Code § 5.81, and states</w:t>
      </w:r>
      <w:r w:rsidR="00595440" w:rsidRPr="00C52ADD">
        <w:rPr>
          <w:rFonts w:ascii="Times New Roman" w:hAnsi="Times New Roman" w:cs="Times New Roman"/>
          <w:sz w:val="24"/>
          <w:szCs w:val="24"/>
        </w:rPr>
        <w:t xml:space="preserve"> in relevant part</w:t>
      </w:r>
      <w:r w:rsidRPr="00C52ADD">
        <w:rPr>
          <w:rFonts w:ascii="Times New Roman" w:hAnsi="Times New Roman" w:cs="Times New Roman"/>
          <w:sz w:val="24"/>
          <w:szCs w:val="24"/>
        </w:rPr>
        <w:t>:</w:t>
      </w:r>
    </w:p>
    <w:p w:rsidR="008C0782" w:rsidRDefault="008C0782" w:rsidP="00FB3415">
      <w:pPr>
        <w:pStyle w:val="NoSpacing"/>
        <w:spacing w:line="360" w:lineRule="auto"/>
        <w:rPr>
          <w:rFonts w:ascii="Times New Roman" w:hAnsi="Times New Roman" w:cs="Times New Roman"/>
          <w:sz w:val="24"/>
          <w:szCs w:val="24"/>
        </w:rPr>
      </w:pPr>
    </w:p>
    <w:p w:rsidR="00595440" w:rsidRDefault="00595440" w:rsidP="00A427AC">
      <w:pPr>
        <w:pStyle w:val="NoSpacing"/>
        <w:ind w:left="1440"/>
        <w:rPr>
          <w:rFonts w:ascii="Times New Roman" w:hAnsi="Times New Roman" w:cs="Times New Roman"/>
          <w:b/>
          <w:bCs/>
          <w:sz w:val="24"/>
          <w:szCs w:val="24"/>
        </w:rPr>
      </w:pPr>
      <w:r w:rsidRPr="00C52ADD">
        <w:rPr>
          <w:rFonts w:ascii="Times New Roman" w:eastAsia="Calibri" w:hAnsi="Times New Roman" w:cs="Times New Roman"/>
          <w:b/>
          <w:bCs/>
          <w:sz w:val="24"/>
          <w:szCs w:val="24"/>
        </w:rPr>
        <w:t>§ 5.81. Consolidation</w:t>
      </w:r>
    </w:p>
    <w:p w:rsidR="00A427AC" w:rsidRPr="00C52ADD" w:rsidRDefault="00A427AC" w:rsidP="00A427AC">
      <w:pPr>
        <w:pStyle w:val="NoSpacing"/>
        <w:ind w:left="1440"/>
        <w:rPr>
          <w:rFonts w:ascii="Times New Roman" w:hAnsi="Times New Roman" w:cs="Times New Roman"/>
          <w:sz w:val="24"/>
          <w:szCs w:val="24"/>
        </w:rPr>
      </w:pPr>
    </w:p>
    <w:p w:rsidR="001D3624" w:rsidRPr="00C52ADD" w:rsidRDefault="00A427AC" w:rsidP="00A427AC">
      <w:pPr>
        <w:pStyle w:val="NoSpacing"/>
        <w:ind w:left="1440" w:right="14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1D3624" w:rsidRPr="00C52ADD">
        <w:rPr>
          <w:rFonts w:ascii="Times New Roman" w:hAnsi="Times New Roman" w:cs="Times New Roman"/>
          <w:sz w:val="24"/>
          <w:szCs w:val="24"/>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595440" w:rsidRPr="00C52ADD" w:rsidRDefault="00595440" w:rsidP="00A427AC">
      <w:pPr>
        <w:pStyle w:val="NoSpacing"/>
        <w:ind w:left="1440" w:right="1440"/>
        <w:rPr>
          <w:rFonts w:ascii="Times New Roman" w:hAnsi="Times New Roman" w:cs="Times New Roman"/>
          <w:sz w:val="24"/>
          <w:szCs w:val="24"/>
        </w:rPr>
      </w:pPr>
    </w:p>
    <w:p w:rsidR="00595440" w:rsidRPr="00C52ADD" w:rsidRDefault="00595440" w:rsidP="00A427AC">
      <w:pPr>
        <w:ind w:left="1440" w:right="1440"/>
        <w:rPr>
          <w:sz w:val="24"/>
          <w:szCs w:val="24"/>
        </w:rPr>
      </w:pPr>
      <w:proofErr w:type="gramStart"/>
      <w:r w:rsidRPr="00C52ADD">
        <w:rPr>
          <w:sz w:val="24"/>
          <w:szCs w:val="24"/>
        </w:rPr>
        <w:t xml:space="preserve">52 </w:t>
      </w:r>
      <w:r w:rsidR="00B73D2C" w:rsidRPr="00C52ADD">
        <w:rPr>
          <w:sz w:val="24"/>
          <w:szCs w:val="24"/>
        </w:rPr>
        <w:t>Pa.</w:t>
      </w:r>
      <w:r w:rsidR="00B73D2C">
        <w:rPr>
          <w:sz w:val="24"/>
          <w:szCs w:val="24"/>
        </w:rPr>
        <w:t xml:space="preserve"> </w:t>
      </w:r>
      <w:r w:rsidR="00B73D2C" w:rsidRPr="00C52ADD">
        <w:rPr>
          <w:sz w:val="24"/>
          <w:szCs w:val="24"/>
        </w:rPr>
        <w:t>Code</w:t>
      </w:r>
      <w:r w:rsidRPr="00C52ADD">
        <w:rPr>
          <w:sz w:val="24"/>
          <w:szCs w:val="24"/>
        </w:rPr>
        <w:t xml:space="preserve"> § 5.81(a).</w:t>
      </w:r>
      <w:proofErr w:type="gramEnd"/>
    </w:p>
    <w:p w:rsidR="00595440" w:rsidRPr="00C52ADD" w:rsidRDefault="00595440" w:rsidP="00A427AC">
      <w:pPr>
        <w:pStyle w:val="NoSpacing"/>
        <w:spacing w:line="360" w:lineRule="auto"/>
        <w:rPr>
          <w:rFonts w:ascii="Times New Roman" w:hAnsi="Times New Roman" w:cs="Times New Roman"/>
          <w:sz w:val="24"/>
          <w:szCs w:val="24"/>
        </w:rPr>
      </w:pPr>
    </w:p>
    <w:p w:rsidR="00EF60EC" w:rsidRPr="00C52ADD" w:rsidRDefault="00B94237" w:rsidP="00FB3415">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t>The question of consolidation is clearly left to the sound discretion of the Commission or presiding officer.</w:t>
      </w:r>
    </w:p>
    <w:p w:rsidR="00674502" w:rsidRDefault="00674502" w:rsidP="00FB3415">
      <w:pPr>
        <w:pStyle w:val="NoSpacing"/>
        <w:spacing w:line="360" w:lineRule="auto"/>
        <w:rPr>
          <w:rFonts w:ascii="Times New Roman" w:hAnsi="Times New Roman" w:cs="Times New Roman"/>
          <w:sz w:val="24"/>
          <w:szCs w:val="24"/>
        </w:rPr>
      </w:pPr>
    </w:p>
    <w:p w:rsidR="00D1374D" w:rsidRPr="00C52ADD" w:rsidRDefault="00D1374D" w:rsidP="00FB3415">
      <w:pPr>
        <w:pStyle w:val="NoSpacing"/>
        <w:spacing w:line="360" w:lineRule="auto"/>
        <w:rPr>
          <w:rFonts w:ascii="Times New Roman" w:hAnsi="Times New Roman" w:cs="Times New Roman"/>
          <w:sz w:val="24"/>
          <w:szCs w:val="24"/>
        </w:rPr>
      </w:pPr>
    </w:p>
    <w:p w:rsidR="00674502" w:rsidRPr="00C52ADD" w:rsidRDefault="00674502" w:rsidP="00FB3415">
      <w:pPr>
        <w:widowControl w:val="0"/>
        <w:spacing w:line="360" w:lineRule="auto"/>
        <w:ind w:firstLine="1440"/>
        <w:rPr>
          <w:sz w:val="24"/>
          <w:szCs w:val="24"/>
        </w:rPr>
      </w:pPr>
      <w:r w:rsidRPr="00C52ADD">
        <w:rPr>
          <w:sz w:val="24"/>
          <w:szCs w:val="24"/>
        </w:rPr>
        <w:lastRenderedPageBreak/>
        <w:t xml:space="preserve">Cases have been consolidated for adjudication; </w:t>
      </w:r>
      <w:r w:rsidRPr="00C52ADD">
        <w:rPr>
          <w:i/>
          <w:sz w:val="24"/>
          <w:szCs w:val="24"/>
        </w:rPr>
        <w:t>Re Middletown Taxi Co.</w:t>
      </w:r>
      <w:r w:rsidRPr="00C52ADD">
        <w:rPr>
          <w:sz w:val="24"/>
          <w:szCs w:val="24"/>
        </w:rPr>
        <w:t xml:space="preserve">, 50 Pa. PUC 263 (1976), for hearing; </w:t>
      </w:r>
      <w:r w:rsidRPr="00C52ADD">
        <w:rPr>
          <w:i/>
          <w:sz w:val="24"/>
          <w:szCs w:val="24"/>
        </w:rPr>
        <w:t>City of York v. York Telephone and Telegraph Co.</w:t>
      </w:r>
      <w:r w:rsidRPr="00C52ADD">
        <w:rPr>
          <w:sz w:val="24"/>
          <w:szCs w:val="24"/>
        </w:rPr>
        <w:t xml:space="preserve">, 43 Pa. PUC 240 (1967), for briefing; </w:t>
      </w:r>
      <w:r w:rsidRPr="00C52ADD">
        <w:rPr>
          <w:i/>
          <w:sz w:val="24"/>
          <w:szCs w:val="24"/>
        </w:rPr>
        <w:t>Clepper Farms, Inc. v. Grantham Water Co.</w:t>
      </w:r>
      <w:r w:rsidRPr="00C52ADD">
        <w:rPr>
          <w:sz w:val="24"/>
          <w:szCs w:val="24"/>
        </w:rPr>
        <w:t xml:space="preserve">, 41 Pa. PUC 749 (1965), and have been refused consolidation for any purpose; </w:t>
      </w:r>
      <w:r w:rsidRPr="00C52ADD">
        <w:rPr>
          <w:i/>
          <w:sz w:val="24"/>
          <w:szCs w:val="24"/>
        </w:rPr>
        <w:t>Dopp v. Williamsburg Borough Dep’t of Water and Sewer</w:t>
      </w:r>
      <w:r w:rsidRPr="00C52ADD">
        <w:rPr>
          <w:sz w:val="24"/>
          <w:szCs w:val="24"/>
        </w:rPr>
        <w:t>, 59 Pa. PUC 25 (1984).</w:t>
      </w:r>
    </w:p>
    <w:p w:rsidR="00674502" w:rsidRPr="00C52ADD" w:rsidRDefault="00674502" w:rsidP="00A427AC">
      <w:pPr>
        <w:widowControl w:val="0"/>
        <w:spacing w:line="360" w:lineRule="auto"/>
        <w:rPr>
          <w:sz w:val="24"/>
          <w:szCs w:val="24"/>
        </w:rPr>
      </w:pPr>
    </w:p>
    <w:p w:rsidR="00674502" w:rsidRPr="00C52ADD" w:rsidRDefault="00674502" w:rsidP="00FB3415">
      <w:pPr>
        <w:widowControl w:val="0"/>
        <w:spacing w:line="360" w:lineRule="auto"/>
        <w:ind w:firstLine="1440"/>
        <w:rPr>
          <w:sz w:val="24"/>
          <w:szCs w:val="24"/>
        </w:rPr>
      </w:pPr>
      <w:r w:rsidRPr="00C52ADD">
        <w:rPr>
          <w:sz w:val="24"/>
          <w:szCs w:val="24"/>
        </w:rPr>
        <w:t xml:space="preserve">In considering the consolidation of cases, the first criteria (set forth in the Commission’s regulations) is that the proceedings must involve “a common question of law or fact”.  An examination of Commission precedent in such cases as </w:t>
      </w:r>
      <w:r w:rsidRPr="00C52ADD">
        <w:rPr>
          <w:i/>
          <w:sz w:val="24"/>
          <w:szCs w:val="24"/>
        </w:rPr>
        <w:t>Applications of Philadelphia Electric Co.</w:t>
      </w:r>
      <w:r w:rsidRPr="00C52ADD">
        <w:rPr>
          <w:sz w:val="24"/>
          <w:szCs w:val="24"/>
        </w:rPr>
        <w:t xml:space="preserve">, 43 Pa. PUC 781 (1968), </w:t>
      </w:r>
      <w:r w:rsidRPr="00C52ADD">
        <w:rPr>
          <w:i/>
          <w:sz w:val="24"/>
          <w:szCs w:val="24"/>
        </w:rPr>
        <w:t>Pa. Public Utility Comm’n v. Bell Telephone Co. of Pennsylvania</w:t>
      </w:r>
      <w:r w:rsidRPr="00C52ADD">
        <w:rPr>
          <w:sz w:val="24"/>
          <w:szCs w:val="24"/>
        </w:rPr>
        <w:t xml:space="preserve">, 46 Pa. PUC 568 (1973), and </w:t>
      </w:r>
      <w:r w:rsidRPr="00C52ADD">
        <w:rPr>
          <w:i/>
          <w:sz w:val="24"/>
          <w:szCs w:val="24"/>
        </w:rPr>
        <w:t>Pa. Public Utility Comm’n v. Butler Twp. Water Co.</w:t>
      </w:r>
      <w:r w:rsidRPr="00C52ADD">
        <w:rPr>
          <w:sz w:val="24"/>
          <w:szCs w:val="24"/>
        </w:rPr>
        <w:t>, 52 Pa. PUC 442 (1978), as well as those cited above, establishes that considerations in addition to the presence of common questions of law or fact must also be evaluated in ruling on a consolidation.  These other considerations are:</w:t>
      </w:r>
    </w:p>
    <w:p w:rsidR="00674502" w:rsidRPr="00C52ADD" w:rsidRDefault="00674502" w:rsidP="00A427AC">
      <w:pPr>
        <w:widowControl w:val="0"/>
        <w:spacing w:line="360" w:lineRule="auto"/>
        <w:rPr>
          <w:sz w:val="24"/>
          <w:szCs w:val="24"/>
        </w:rPr>
      </w:pPr>
    </w:p>
    <w:p w:rsidR="00674502" w:rsidRPr="00C52ADD" w:rsidRDefault="00674502" w:rsidP="00955515">
      <w:pPr>
        <w:ind w:left="2160" w:hanging="720"/>
        <w:rPr>
          <w:sz w:val="24"/>
          <w:szCs w:val="24"/>
        </w:rPr>
      </w:pPr>
      <w:r w:rsidRPr="00C52ADD">
        <w:rPr>
          <w:sz w:val="24"/>
          <w:szCs w:val="24"/>
        </w:rPr>
        <w:t>1.</w:t>
      </w:r>
      <w:r w:rsidRPr="00C52ADD">
        <w:rPr>
          <w:sz w:val="24"/>
          <w:szCs w:val="24"/>
        </w:rPr>
        <w:tab/>
        <w:t>Will the presence of additional issues cloud a determination of the common issues?</w:t>
      </w:r>
    </w:p>
    <w:p w:rsidR="00674502" w:rsidRPr="00C52ADD" w:rsidRDefault="00674502" w:rsidP="00955515">
      <w:pPr>
        <w:rPr>
          <w:sz w:val="24"/>
          <w:szCs w:val="24"/>
        </w:rPr>
      </w:pPr>
    </w:p>
    <w:p w:rsidR="00674502" w:rsidRPr="00C52ADD" w:rsidRDefault="00674502" w:rsidP="00955515">
      <w:pPr>
        <w:widowControl w:val="0"/>
        <w:ind w:left="2160" w:hanging="720"/>
        <w:rPr>
          <w:sz w:val="24"/>
          <w:szCs w:val="24"/>
        </w:rPr>
      </w:pPr>
      <w:r w:rsidRPr="00C52ADD">
        <w:rPr>
          <w:sz w:val="24"/>
          <w:szCs w:val="24"/>
        </w:rPr>
        <w:t>2.</w:t>
      </w:r>
      <w:r w:rsidRPr="00C52ADD">
        <w:rPr>
          <w:sz w:val="24"/>
          <w:szCs w:val="24"/>
        </w:rPr>
        <w:tab/>
        <w:t>Will consolidation result in reduced costs of litigation and decision-making for the parties and the Commission?</w:t>
      </w:r>
    </w:p>
    <w:p w:rsidR="00674502" w:rsidRPr="00C52ADD" w:rsidRDefault="00674502" w:rsidP="00955515">
      <w:pPr>
        <w:widowControl w:val="0"/>
        <w:rPr>
          <w:sz w:val="24"/>
          <w:szCs w:val="24"/>
        </w:rPr>
      </w:pPr>
    </w:p>
    <w:p w:rsidR="00674502" w:rsidRPr="00C52ADD" w:rsidRDefault="00674502" w:rsidP="00955515">
      <w:pPr>
        <w:widowControl w:val="0"/>
        <w:ind w:left="2160" w:hanging="720"/>
        <w:rPr>
          <w:sz w:val="24"/>
          <w:szCs w:val="24"/>
        </w:rPr>
      </w:pPr>
      <w:r w:rsidRPr="00C52ADD">
        <w:rPr>
          <w:sz w:val="24"/>
          <w:szCs w:val="24"/>
        </w:rPr>
        <w:t>3.</w:t>
      </w:r>
      <w:r w:rsidRPr="00C52ADD">
        <w:rPr>
          <w:sz w:val="24"/>
          <w:szCs w:val="24"/>
        </w:rPr>
        <w:tab/>
        <w:t>Do issues in one proceeding go to the heart of an issue in the other proceeding?</w:t>
      </w:r>
    </w:p>
    <w:p w:rsidR="00674502" w:rsidRPr="00C52ADD" w:rsidRDefault="00674502" w:rsidP="00955515">
      <w:pPr>
        <w:widowControl w:val="0"/>
        <w:rPr>
          <w:sz w:val="24"/>
          <w:szCs w:val="24"/>
        </w:rPr>
      </w:pPr>
    </w:p>
    <w:p w:rsidR="00674502" w:rsidRPr="00C52ADD" w:rsidRDefault="00674502" w:rsidP="00955515">
      <w:pPr>
        <w:widowControl w:val="0"/>
        <w:ind w:left="2160" w:hanging="720"/>
        <w:rPr>
          <w:sz w:val="24"/>
          <w:szCs w:val="24"/>
        </w:rPr>
      </w:pPr>
      <w:r w:rsidRPr="00C52ADD">
        <w:rPr>
          <w:sz w:val="24"/>
          <w:szCs w:val="24"/>
        </w:rPr>
        <w:t>4.</w:t>
      </w:r>
      <w:r w:rsidRPr="00C52ADD">
        <w:rPr>
          <w:sz w:val="24"/>
          <w:szCs w:val="24"/>
        </w:rPr>
        <w:tab/>
        <w:t>Will consolidation unduly protract the hearing, or produce a disorderly and unwieldy record?</w:t>
      </w:r>
    </w:p>
    <w:p w:rsidR="00674502" w:rsidRPr="00C52ADD" w:rsidRDefault="00674502" w:rsidP="00955515">
      <w:pPr>
        <w:widowControl w:val="0"/>
        <w:rPr>
          <w:sz w:val="24"/>
          <w:szCs w:val="24"/>
        </w:rPr>
      </w:pPr>
    </w:p>
    <w:p w:rsidR="00674502" w:rsidRPr="00C52ADD" w:rsidRDefault="00674502" w:rsidP="00955515">
      <w:pPr>
        <w:widowControl w:val="0"/>
        <w:ind w:firstLine="1440"/>
        <w:rPr>
          <w:sz w:val="24"/>
          <w:szCs w:val="24"/>
        </w:rPr>
      </w:pPr>
      <w:r w:rsidRPr="00C52ADD">
        <w:rPr>
          <w:sz w:val="24"/>
          <w:szCs w:val="24"/>
        </w:rPr>
        <w:t>5.</w:t>
      </w:r>
      <w:r w:rsidRPr="00C52ADD">
        <w:rPr>
          <w:sz w:val="24"/>
          <w:szCs w:val="24"/>
        </w:rPr>
        <w:tab/>
        <w:t>Will different statutory and legal issues be involved?</w:t>
      </w:r>
    </w:p>
    <w:p w:rsidR="00674502" w:rsidRPr="00C52ADD" w:rsidRDefault="00674502" w:rsidP="00955515">
      <w:pPr>
        <w:widowControl w:val="0"/>
        <w:rPr>
          <w:sz w:val="24"/>
          <w:szCs w:val="24"/>
        </w:rPr>
      </w:pPr>
    </w:p>
    <w:p w:rsidR="00674502" w:rsidRPr="00C52ADD" w:rsidRDefault="00674502" w:rsidP="00955515">
      <w:pPr>
        <w:widowControl w:val="0"/>
        <w:ind w:firstLine="1440"/>
        <w:rPr>
          <w:sz w:val="24"/>
          <w:szCs w:val="24"/>
        </w:rPr>
      </w:pPr>
      <w:r w:rsidRPr="00C52ADD">
        <w:rPr>
          <w:sz w:val="24"/>
          <w:szCs w:val="24"/>
        </w:rPr>
        <w:t>6.</w:t>
      </w:r>
      <w:r w:rsidRPr="00C52ADD">
        <w:rPr>
          <w:sz w:val="24"/>
          <w:szCs w:val="24"/>
        </w:rPr>
        <w:tab/>
        <w:t>Does the party with the burden of proof differ in the proceedings?</w:t>
      </w:r>
    </w:p>
    <w:p w:rsidR="00674502" w:rsidRPr="00C52ADD" w:rsidRDefault="00674502" w:rsidP="00955515">
      <w:pPr>
        <w:widowControl w:val="0"/>
        <w:rPr>
          <w:sz w:val="24"/>
          <w:szCs w:val="24"/>
        </w:rPr>
      </w:pPr>
    </w:p>
    <w:p w:rsidR="00674502" w:rsidRPr="00C52ADD" w:rsidRDefault="00674502" w:rsidP="00955515">
      <w:pPr>
        <w:widowControl w:val="0"/>
        <w:ind w:firstLine="1440"/>
        <w:rPr>
          <w:sz w:val="24"/>
          <w:szCs w:val="24"/>
        </w:rPr>
      </w:pPr>
      <w:r w:rsidRPr="00C52ADD">
        <w:rPr>
          <w:sz w:val="24"/>
          <w:szCs w:val="24"/>
        </w:rPr>
        <w:t>7.</w:t>
      </w:r>
      <w:r w:rsidRPr="00C52ADD">
        <w:rPr>
          <w:sz w:val="24"/>
          <w:szCs w:val="24"/>
        </w:rPr>
        <w:tab/>
        <w:t>Will consolidation unduly delay the resolution of one of the proceedings?</w:t>
      </w:r>
    </w:p>
    <w:p w:rsidR="00674502" w:rsidRPr="00C52ADD" w:rsidRDefault="00674502" w:rsidP="00955515">
      <w:pPr>
        <w:widowControl w:val="0"/>
        <w:rPr>
          <w:sz w:val="24"/>
          <w:szCs w:val="24"/>
        </w:rPr>
      </w:pPr>
    </w:p>
    <w:p w:rsidR="00674502" w:rsidRPr="00C52ADD" w:rsidRDefault="00674502" w:rsidP="00955515">
      <w:pPr>
        <w:widowControl w:val="0"/>
        <w:tabs>
          <w:tab w:val="left" w:pos="1584"/>
          <w:tab w:val="left" w:pos="2304"/>
        </w:tabs>
        <w:ind w:firstLine="1440"/>
        <w:rPr>
          <w:sz w:val="24"/>
          <w:szCs w:val="24"/>
        </w:rPr>
      </w:pPr>
      <w:r w:rsidRPr="00C52ADD">
        <w:rPr>
          <w:sz w:val="24"/>
          <w:szCs w:val="24"/>
        </w:rPr>
        <w:t>8.</w:t>
      </w:r>
      <w:r w:rsidRPr="00C52ADD">
        <w:rPr>
          <w:sz w:val="24"/>
          <w:szCs w:val="24"/>
        </w:rPr>
        <w:tab/>
        <w:t>Will supporting data in both proceedings be repetitive?</w:t>
      </w:r>
    </w:p>
    <w:p w:rsidR="00674502" w:rsidRPr="00C52ADD" w:rsidRDefault="00674502" w:rsidP="00A427AC">
      <w:pPr>
        <w:widowControl w:val="0"/>
        <w:tabs>
          <w:tab w:val="left" w:pos="1584"/>
          <w:tab w:val="left" w:pos="2304"/>
        </w:tabs>
        <w:spacing w:line="360" w:lineRule="auto"/>
        <w:rPr>
          <w:sz w:val="24"/>
          <w:szCs w:val="24"/>
        </w:rPr>
      </w:pPr>
    </w:p>
    <w:p w:rsidR="00674502" w:rsidRPr="00C52ADD" w:rsidRDefault="00674502" w:rsidP="00FB3415">
      <w:pPr>
        <w:widowControl w:val="0"/>
        <w:spacing w:line="360" w:lineRule="auto"/>
        <w:ind w:firstLine="1440"/>
        <w:rPr>
          <w:sz w:val="24"/>
          <w:szCs w:val="24"/>
        </w:rPr>
      </w:pPr>
      <w:r w:rsidRPr="00C52ADD">
        <w:rPr>
          <w:sz w:val="24"/>
          <w:szCs w:val="24"/>
        </w:rPr>
        <w:t xml:space="preserve">No single consideration, nor group of these considerations, is dispositive of a consolidation, any more so than the presence of a common question of law or fact.  Rather, the </w:t>
      </w:r>
      <w:r w:rsidRPr="00C52ADD">
        <w:rPr>
          <w:sz w:val="24"/>
          <w:szCs w:val="24"/>
        </w:rPr>
        <w:lastRenderedPageBreak/>
        <w:t>evaluation of all of them and a balancing of those favoring and disfavoring consolidation is required.</w:t>
      </w:r>
    </w:p>
    <w:p w:rsidR="00674502" w:rsidRPr="00C52ADD" w:rsidRDefault="00674502" w:rsidP="00A427AC">
      <w:pPr>
        <w:widowControl w:val="0"/>
        <w:spacing w:line="360" w:lineRule="auto"/>
        <w:rPr>
          <w:sz w:val="24"/>
          <w:szCs w:val="24"/>
        </w:rPr>
      </w:pPr>
    </w:p>
    <w:p w:rsidR="00674502" w:rsidRPr="00C52ADD" w:rsidRDefault="00674502" w:rsidP="00270184">
      <w:pPr>
        <w:pStyle w:val="Style"/>
        <w:spacing w:line="360" w:lineRule="auto"/>
        <w:ind w:firstLine="1440"/>
      </w:pPr>
      <w:r w:rsidRPr="00C52ADD">
        <w:t>In the cases</w:t>
      </w:r>
      <w:r w:rsidR="00270184">
        <w:t xml:space="preserve"> now before us</w:t>
      </w:r>
      <w:r w:rsidRPr="00C52ADD">
        <w:t xml:space="preserve">, </w:t>
      </w:r>
      <w:r w:rsidRPr="00C52ADD">
        <w:rPr>
          <w:color w:val="000000"/>
        </w:rPr>
        <w:t>the above-captioned proceedings are interrelated and raise common issues of law and fact.  Because the disposition of each of these matters is interrelated, the consolidation of these proceedings will promote the efficient use of the time and resources of the parties and the Commission.</w:t>
      </w:r>
      <w:r w:rsidR="00270184">
        <w:rPr>
          <w:color w:val="000000"/>
        </w:rPr>
        <w:t xml:space="preserve">  </w:t>
      </w:r>
      <w:r w:rsidRPr="00C52ADD">
        <w:t xml:space="preserve">Consolidation of these cases will not unduly delay the resolution of </w:t>
      </w:r>
      <w:r w:rsidR="0002390F">
        <w:t>either</w:t>
      </w:r>
      <w:r w:rsidRPr="00C52ADD">
        <w:t xml:space="preserve"> of them.  They will be heard, briefed, and decided together.</w:t>
      </w:r>
    </w:p>
    <w:p w:rsidR="00674502" w:rsidRPr="00C52ADD" w:rsidRDefault="00674502" w:rsidP="00A41CC8">
      <w:pPr>
        <w:spacing w:line="360" w:lineRule="auto"/>
        <w:rPr>
          <w:sz w:val="24"/>
          <w:szCs w:val="24"/>
        </w:rPr>
      </w:pPr>
    </w:p>
    <w:p w:rsidR="00A41CC8" w:rsidRDefault="00674502" w:rsidP="00FB3415">
      <w:pPr>
        <w:widowControl w:val="0"/>
        <w:spacing w:line="360" w:lineRule="auto"/>
        <w:ind w:firstLine="1440"/>
        <w:rPr>
          <w:sz w:val="24"/>
          <w:szCs w:val="24"/>
        </w:rPr>
      </w:pPr>
      <w:r w:rsidRPr="00C52ADD">
        <w:rPr>
          <w:sz w:val="24"/>
          <w:szCs w:val="24"/>
        </w:rPr>
        <w:t>For all of the stated reasons, a consolidation for hearing, briefing, and adjudicati</w:t>
      </w:r>
      <w:r w:rsidR="0002390F">
        <w:rPr>
          <w:sz w:val="24"/>
          <w:szCs w:val="24"/>
        </w:rPr>
        <w:t>o</w:t>
      </w:r>
      <w:r w:rsidRPr="00C52ADD">
        <w:rPr>
          <w:sz w:val="24"/>
          <w:szCs w:val="24"/>
        </w:rPr>
        <w:t xml:space="preserve">n is warranted and </w:t>
      </w:r>
      <w:r w:rsidR="0002390F">
        <w:rPr>
          <w:sz w:val="24"/>
          <w:szCs w:val="24"/>
        </w:rPr>
        <w:t xml:space="preserve">is </w:t>
      </w:r>
      <w:r w:rsidRPr="00C52ADD">
        <w:rPr>
          <w:sz w:val="24"/>
          <w:szCs w:val="24"/>
        </w:rPr>
        <w:t>in the public interest, the interest of the parties and the interest of the Commission</w:t>
      </w:r>
      <w:r w:rsidR="00A41CC8">
        <w:rPr>
          <w:sz w:val="24"/>
          <w:szCs w:val="24"/>
        </w:rPr>
        <w:t>.</w:t>
      </w:r>
    </w:p>
    <w:p w:rsidR="00A41CC8" w:rsidRDefault="00A41CC8" w:rsidP="00A41CC8">
      <w:pPr>
        <w:widowControl w:val="0"/>
        <w:spacing w:line="360" w:lineRule="auto"/>
        <w:rPr>
          <w:sz w:val="24"/>
          <w:szCs w:val="24"/>
        </w:rPr>
      </w:pPr>
    </w:p>
    <w:p w:rsidR="00A41CC8" w:rsidRDefault="00A41CC8" w:rsidP="00270184">
      <w:pPr>
        <w:spacing w:after="200" w:line="276" w:lineRule="auto"/>
        <w:jc w:val="center"/>
        <w:rPr>
          <w:sz w:val="24"/>
          <w:szCs w:val="24"/>
        </w:rPr>
      </w:pPr>
      <w:r>
        <w:rPr>
          <w:b/>
          <w:sz w:val="24"/>
          <w:szCs w:val="24"/>
          <w:u w:val="single"/>
        </w:rPr>
        <w:t>ORDER</w:t>
      </w:r>
    </w:p>
    <w:p w:rsidR="00A41CC8" w:rsidRPr="00A41CC8" w:rsidRDefault="00A41CC8" w:rsidP="00A41CC8">
      <w:pPr>
        <w:widowControl w:val="0"/>
        <w:spacing w:line="360" w:lineRule="auto"/>
        <w:rPr>
          <w:sz w:val="24"/>
          <w:szCs w:val="24"/>
        </w:rPr>
      </w:pPr>
    </w:p>
    <w:p w:rsidR="00674502" w:rsidRPr="00A41CC8" w:rsidRDefault="00674502" w:rsidP="00FB3415">
      <w:pPr>
        <w:widowControl w:val="0"/>
        <w:spacing w:line="360" w:lineRule="auto"/>
        <w:ind w:firstLine="1440"/>
        <w:rPr>
          <w:bCs/>
          <w:sz w:val="24"/>
          <w:szCs w:val="24"/>
        </w:rPr>
      </w:pPr>
      <w:r w:rsidRPr="00A41CC8">
        <w:rPr>
          <w:bCs/>
          <w:sz w:val="24"/>
          <w:szCs w:val="24"/>
        </w:rPr>
        <w:t>THEREFORE,</w:t>
      </w:r>
    </w:p>
    <w:p w:rsidR="00B84A4F" w:rsidRPr="00C52ADD" w:rsidRDefault="00B84A4F" w:rsidP="00FB3415">
      <w:pPr>
        <w:spacing w:line="360" w:lineRule="auto"/>
        <w:ind w:firstLine="1440"/>
        <w:rPr>
          <w:b/>
          <w:bCs/>
          <w:sz w:val="24"/>
          <w:szCs w:val="24"/>
        </w:rPr>
      </w:pPr>
    </w:p>
    <w:p w:rsidR="00674502" w:rsidRPr="00A41CC8" w:rsidRDefault="00674502" w:rsidP="00FB3415">
      <w:pPr>
        <w:spacing w:line="360" w:lineRule="auto"/>
        <w:ind w:firstLine="1440"/>
        <w:rPr>
          <w:bCs/>
          <w:sz w:val="24"/>
          <w:szCs w:val="24"/>
        </w:rPr>
      </w:pPr>
      <w:r w:rsidRPr="00A41CC8">
        <w:rPr>
          <w:bCs/>
          <w:sz w:val="24"/>
          <w:szCs w:val="24"/>
        </w:rPr>
        <w:t>IT IS ORDERED:</w:t>
      </w:r>
    </w:p>
    <w:p w:rsidR="00674502" w:rsidRPr="00C52ADD" w:rsidRDefault="00674502" w:rsidP="00A41CC8">
      <w:pPr>
        <w:spacing w:line="360" w:lineRule="auto"/>
        <w:rPr>
          <w:sz w:val="24"/>
          <w:szCs w:val="24"/>
        </w:rPr>
      </w:pPr>
    </w:p>
    <w:p w:rsidR="00674502" w:rsidRPr="00C52ADD" w:rsidRDefault="00674502" w:rsidP="00D45968">
      <w:pPr>
        <w:tabs>
          <w:tab w:val="left" w:pos="-720"/>
        </w:tabs>
        <w:suppressAutoHyphens/>
        <w:spacing w:line="360" w:lineRule="auto"/>
        <w:ind w:firstLine="1440"/>
        <w:rPr>
          <w:sz w:val="24"/>
          <w:szCs w:val="24"/>
        </w:rPr>
      </w:pPr>
      <w:r w:rsidRPr="00C52ADD">
        <w:rPr>
          <w:sz w:val="24"/>
          <w:szCs w:val="24"/>
        </w:rPr>
        <w:t>1.</w:t>
      </w:r>
      <w:r w:rsidRPr="00C52ADD">
        <w:rPr>
          <w:sz w:val="24"/>
          <w:szCs w:val="24"/>
        </w:rPr>
        <w:tab/>
        <w:t>Th</w:t>
      </w:r>
      <w:r w:rsidR="00B84A4F" w:rsidRPr="00C52ADD">
        <w:rPr>
          <w:sz w:val="24"/>
          <w:szCs w:val="24"/>
        </w:rPr>
        <w:t>at th</w:t>
      </w:r>
      <w:r w:rsidRPr="00C52ADD">
        <w:rPr>
          <w:sz w:val="24"/>
          <w:szCs w:val="24"/>
        </w:rPr>
        <w:t xml:space="preserve">e </w:t>
      </w:r>
      <w:r w:rsidRPr="00C52ADD">
        <w:rPr>
          <w:spacing w:val="-3"/>
          <w:sz w:val="24"/>
          <w:szCs w:val="24"/>
        </w:rPr>
        <w:t xml:space="preserve">Motion to Consolidate filed </w:t>
      </w:r>
      <w:r w:rsidR="00383897">
        <w:rPr>
          <w:spacing w:val="-3"/>
          <w:sz w:val="24"/>
          <w:szCs w:val="24"/>
        </w:rPr>
        <w:t>May 10, 2010</w:t>
      </w:r>
      <w:r w:rsidRPr="00C52ADD">
        <w:rPr>
          <w:spacing w:val="-3"/>
          <w:sz w:val="24"/>
          <w:szCs w:val="24"/>
        </w:rPr>
        <w:t xml:space="preserve"> by </w:t>
      </w:r>
      <w:r w:rsidR="00383897">
        <w:rPr>
          <w:spacing w:val="-3"/>
          <w:sz w:val="24"/>
          <w:szCs w:val="24"/>
        </w:rPr>
        <w:t xml:space="preserve">1-A Realty </w:t>
      </w:r>
      <w:r w:rsidRPr="00C52ADD">
        <w:rPr>
          <w:spacing w:val="-3"/>
          <w:sz w:val="24"/>
          <w:szCs w:val="24"/>
        </w:rPr>
        <w:t xml:space="preserve">at Docket Numbers </w:t>
      </w:r>
      <w:r w:rsidR="00383897">
        <w:rPr>
          <w:sz w:val="24"/>
          <w:szCs w:val="24"/>
        </w:rPr>
        <w:t>F</w:t>
      </w:r>
      <w:r w:rsidR="00383897" w:rsidRPr="00C52ADD">
        <w:rPr>
          <w:sz w:val="24"/>
          <w:szCs w:val="24"/>
        </w:rPr>
        <w:t>-2010-21</w:t>
      </w:r>
      <w:r w:rsidR="00383897">
        <w:rPr>
          <w:sz w:val="24"/>
          <w:szCs w:val="24"/>
        </w:rPr>
        <w:t>66554</w:t>
      </w:r>
      <w:r w:rsidR="00D45968">
        <w:rPr>
          <w:sz w:val="24"/>
          <w:szCs w:val="24"/>
        </w:rPr>
        <w:t xml:space="preserve"> and </w:t>
      </w:r>
      <w:r w:rsidR="00383897">
        <w:rPr>
          <w:sz w:val="24"/>
          <w:szCs w:val="24"/>
        </w:rPr>
        <w:t>F</w:t>
      </w:r>
      <w:r w:rsidR="00383897" w:rsidRPr="00C52ADD">
        <w:rPr>
          <w:sz w:val="24"/>
          <w:szCs w:val="24"/>
        </w:rPr>
        <w:t>-2010-2</w:t>
      </w:r>
      <w:r w:rsidR="00383897">
        <w:rPr>
          <w:sz w:val="24"/>
          <w:szCs w:val="24"/>
        </w:rPr>
        <w:t>166976</w:t>
      </w:r>
      <w:r w:rsidR="00F014A2" w:rsidRPr="00C52ADD">
        <w:rPr>
          <w:spacing w:val="-3"/>
          <w:sz w:val="24"/>
          <w:szCs w:val="24"/>
        </w:rPr>
        <w:t xml:space="preserve">, </w:t>
      </w:r>
      <w:r w:rsidRPr="00C52ADD">
        <w:rPr>
          <w:spacing w:val="-3"/>
          <w:sz w:val="24"/>
          <w:szCs w:val="24"/>
        </w:rPr>
        <w:t>is granted.</w:t>
      </w:r>
    </w:p>
    <w:p w:rsidR="00674502" w:rsidRPr="00C52ADD" w:rsidRDefault="00674502" w:rsidP="00A41CC8">
      <w:pPr>
        <w:tabs>
          <w:tab w:val="left" w:pos="-720"/>
        </w:tabs>
        <w:suppressAutoHyphens/>
        <w:spacing w:line="360" w:lineRule="auto"/>
        <w:rPr>
          <w:sz w:val="24"/>
          <w:szCs w:val="24"/>
        </w:rPr>
      </w:pPr>
    </w:p>
    <w:p w:rsidR="00674502" w:rsidRDefault="00674502" w:rsidP="00FB3415">
      <w:pPr>
        <w:tabs>
          <w:tab w:val="left" w:pos="-720"/>
        </w:tabs>
        <w:suppressAutoHyphens/>
        <w:spacing w:line="360" w:lineRule="auto"/>
        <w:ind w:firstLine="1440"/>
        <w:rPr>
          <w:spacing w:val="-3"/>
          <w:sz w:val="24"/>
          <w:szCs w:val="24"/>
        </w:rPr>
      </w:pPr>
      <w:r w:rsidRPr="00C52ADD">
        <w:rPr>
          <w:sz w:val="24"/>
          <w:szCs w:val="24"/>
        </w:rPr>
        <w:t>2.</w:t>
      </w:r>
      <w:r w:rsidRPr="00C52ADD">
        <w:rPr>
          <w:sz w:val="24"/>
          <w:szCs w:val="24"/>
        </w:rPr>
        <w:tab/>
        <w:t>That the above-captioned cases, bearing Docket Numbers</w:t>
      </w:r>
      <w:r w:rsidRPr="00C52ADD">
        <w:rPr>
          <w:spacing w:val="-3"/>
          <w:sz w:val="24"/>
          <w:szCs w:val="24"/>
        </w:rPr>
        <w:t xml:space="preserve"> </w:t>
      </w:r>
      <w:r w:rsidR="00383897">
        <w:rPr>
          <w:sz w:val="24"/>
          <w:szCs w:val="24"/>
        </w:rPr>
        <w:t>F</w:t>
      </w:r>
      <w:r w:rsidR="00383897" w:rsidRPr="00C52ADD">
        <w:rPr>
          <w:sz w:val="24"/>
          <w:szCs w:val="24"/>
        </w:rPr>
        <w:t>-2010-21</w:t>
      </w:r>
      <w:r w:rsidR="00383897">
        <w:rPr>
          <w:sz w:val="24"/>
          <w:szCs w:val="24"/>
        </w:rPr>
        <w:t xml:space="preserve">66554 </w:t>
      </w:r>
      <w:r w:rsidR="00D45968">
        <w:rPr>
          <w:sz w:val="24"/>
          <w:szCs w:val="24"/>
        </w:rPr>
        <w:t xml:space="preserve">and </w:t>
      </w:r>
      <w:r w:rsidR="00383897">
        <w:rPr>
          <w:sz w:val="24"/>
          <w:szCs w:val="24"/>
        </w:rPr>
        <w:t>F</w:t>
      </w:r>
      <w:r w:rsidR="00383897" w:rsidRPr="00C52ADD">
        <w:rPr>
          <w:sz w:val="24"/>
          <w:szCs w:val="24"/>
        </w:rPr>
        <w:t>-2010-2</w:t>
      </w:r>
      <w:r w:rsidR="00383897">
        <w:rPr>
          <w:sz w:val="24"/>
          <w:szCs w:val="24"/>
        </w:rPr>
        <w:t>166976</w:t>
      </w:r>
      <w:r w:rsidR="00F014A2" w:rsidRPr="00C52ADD">
        <w:rPr>
          <w:spacing w:val="-3"/>
          <w:sz w:val="24"/>
          <w:szCs w:val="24"/>
        </w:rPr>
        <w:t xml:space="preserve"> </w:t>
      </w:r>
      <w:r w:rsidRPr="00C52ADD">
        <w:rPr>
          <w:spacing w:val="-3"/>
          <w:sz w:val="24"/>
          <w:szCs w:val="24"/>
        </w:rPr>
        <w:t>are consolidated</w:t>
      </w:r>
      <w:r w:rsidRPr="00C52ADD">
        <w:rPr>
          <w:sz w:val="24"/>
          <w:szCs w:val="24"/>
        </w:rPr>
        <w:t xml:space="preserve"> for hearing, briefing, and adjudicati</w:t>
      </w:r>
      <w:r w:rsidR="00D45968">
        <w:rPr>
          <w:sz w:val="24"/>
          <w:szCs w:val="24"/>
        </w:rPr>
        <w:t>o</w:t>
      </w:r>
      <w:r w:rsidRPr="00C52ADD">
        <w:rPr>
          <w:sz w:val="24"/>
          <w:szCs w:val="24"/>
        </w:rPr>
        <w:t>n</w:t>
      </w:r>
      <w:r w:rsidRPr="00C52ADD">
        <w:rPr>
          <w:spacing w:val="-3"/>
          <w:sz w:val="24"/>
          <w:szCs w:val="24"/>
        </w:rPr>
        <w:t>.</w:t>
      </w:r>
    </w:p>
    <w:p w:rsidR="00A22D9C" w:rsidRDefault="00A22D9C" w:rsidP="00FB3415">
      <w:pPr>
        <w:tabs>
          <w:tab w:val="left" w:pos="-720"/>
        </w:tabs>
        <w:suppressAutoHyphens/>
        <w:spacing w:line="360" w:lineRule="auto"/>
        <w:ind w:firstLine="1440"/>
        <w:rPr>
          <w:spacing w:val="-3"/>
          <w:sz w:val="24"/>
          <w:szCs w:val="24"/>
        </w:rPr>
      </w:pPr>
    </w:p>
    <w:p w:rsidR="00674502" w:rsidRPr="00C52ADD" w:rsidRDefault="00674502" w:rsidP="00A41CC8">
      <w:pPr>
        <w:tabs>
          <w:tab w:val="left" w:pos="-720"/>
        </w:tabs>
        <w:suppressAutoHyphens/>
        <w:spacing w:line="360" w:lineRule="auto"/>
        <w:rPr>
          <w:sz w:val="24"/>
          <w:szCs w:val="24"/>
        </w:rPr>
      </w:pPr>
    </w:p>
    <w:p w:rsidR="00674502" w:rsidRPr="00C52ADD" w:rsidRDefault="00674502" w:rsidP="00C52ADD">
      <w:pPr>
        <w:rPr>
          <w:sz w:val="24"/>
          <w:szCs w:val="24"/>
        </w:rPr>
      </w:pPr>
      <w:r w:rsidRPr="00C52ADD">
        <w:rPr>
          <w:sz w:val="24"/>
          <w:szCs w:val="24"/>
        </w:rPr>
        <w:t>Date:</w:t>
      </w:r>
      <w:r w:rsidR="00B73D2C">
        <w:rPr>
          <w:sz w:val="24"/>
          <w:szCs w:val="24"/>
        </w:rPr>
        <w:tab/>
      </w:r>
      <w:r w:rsidR="00383897">
        <w:rPr>
          <w:sz w:val="24"/>
          <w:szCs w:val="24"/>
          <w:u w:val="single"/>
        </w:rPr>
        <w:t>March 22</w:t>
      </w:r>
      <w:r w:rsidR="00D45968">
        <w:rPr>
          <w:sz w:val="24"/>
          <w:szCs w:val="24"/>
          <w:u w:val="single"/>
        </w:rPr>
        <w:t>, 2011</w:t>
      </w:r>
      <w:r w:rsidRPr="00C52ADD">
        <w:rPr>
          <w:sz w:val="24"/>
          <w:szCs w:val="24"/>
        </w:rPr>
        <w:tab/>
      </w:r>
      <w:r w:rsidR="00D45968">
        <w:rPr>
          <w:sz w:val="24"/>
          <w:szCs w:val="24"/>
        </w:rPr>
        <w:tab/>
      </w:r>
      <w:r w:rsidR="00B73D2C">
        <w:rPr>
          <w:sz w:val="24"/>
          <w:szCs w:val="24"/>
        </w:rPr>
        <w:tab/>
      </w:r>
      <w:r w:rsidR="00B73D2C">
        <w:rPr>
          <w:sz w:val="24"/>
          <w:szCs w:val="24"/>
        </w:rPr>
        <w:tab/>
        <w:t>____________________________________</w:t>
      </w:r>
    </w:p>
    <w:p w:rsidR="00674502" w:rsidRPr="00C52ADD" w:rsidRDefault="00674502" w:rsidP="00C52ADD">
      <w:pPr>
        <w:rPr>
          <w:sz w:val="24"/>
          <w:szCs w:val="24"/>
        </w:rPr>
      </w:pPr>
      <w:r w:rsidRPr="00C52ADD">
        <w:rPr>
          <w:sz w:val="24"/>
          <w:szCs w:val="24"/>
        </w:rPr>
        <w:tab/>
      </w:r>
      <w:r w:rsidRPr="00C52ADD">
        <w:rPr>
          <w:sz w:val="24"/>
          <w:szCs w:val="24"/>
        </w:rPr>
        <w:tab/>
      </w:r>
      <w:r w:rsidRPr="00C52ADD">
        <w:rPr>
          <w:sz w:val="24"/>
          <w:szCs w:val="24"/>
        </w:rPr>
        <w:tab/>
      </w:r>
      <w:r w:rsidRPr="00C52ADD">
        <w:rPr>
          <w:sz w:val="24"/>
          <w:szCs w:val="24"/>
        </w:rPr>
        <w:tab/>
      </w:r>
      <w:r w:rsidRPr="00C52ADD">
        <w:rPr>
          <w:sz w:val="24"/>
          <w:szCs w:val="24"/>
        </w:rPr>
        <w:tab/>
      </w:r>
      <w:r w:rsidR="00A41CC8">
        <w:rPr>
          <w:sz w:val="24"/>
          <w:szCs w:val="24"/>
        </w:rPr>
        <w:tab/>
      </w:r>
      <w:r w:rsidR="00A41CC8">
        <w:rPr>
          <w:sz w:val="24"/>
          <w:szCs w:val="24"/>
        </w:rPr>
        <w:tab/>
      </w:r>
      <w:r w:rsidR="00F014A2" w:rsidRPr="00C52ADD">
        <w:rPr>
          <w:sz w:val="24"/>
          <w:szCs w:val="24"/>
        </w:rPr>
        <w:t>Dennis J. Buckley</w:t>
      </w:r>
    </w:p>
    <w:p w:rsidR="00F45E3C" w:rsidRPr="00DB5ED7" w:rsidRDefault="00674502" w:rsidP="00270184">
      <w:pPr>
        <w:rPr>
          <w:rFonts w:ascii="Microsoft Sans Serif" w:hAnsi="Microsoft Sans Serif" w:cs="Microsoft Sans Serif"/>
          <w:i/>
          <w:szCs w:val="24"/>
        </w:rPr>
      </w:pPr>
      <w:r w:rsidRPr="00C52ADD">
        <w:rPr>
          <w:sz w:val="24"/>
          <w:szCs w:val="24"/>
        </w:rPr>
        <w:tab/>
      </w:r>
      <w:r w:rsidRPr="00C52ADD">
        <w:rPr>
          <w:sz w:val="24"/>
          <w:szCs w:val="24"/>
        </w:rPr>
        <w:tab/>
      </w:r>
      <w:r w:rsidRPr="00C52ADD">
        <w:rPr>
          <w:sz w:val="24"/>
          <w:szCs w:val="24"/>
        </w:rPr>
        <w:tab/>
      </w:r>
      <w:r w:rsidRPr="00C52ADD">
        <w:rPr>
          <w:sz w:val="24"/>
          <w:szCs w:val="24"/>
        </w:rPr>
        <w:tab/>
      </w:r>
      <w:r w:rsidRPr="00C52ADD">
        <w:rPr>
          <w:sz w:val="24"/>
          <w:szCs w:val="24"/>
        </w:rPr>
        <w:tab/>
      </w:r>
      <w:r w:rsidR="00A41CC8">
        <w:rPr>
          <w:sz w:val="24"/>
          <w:szCs w:val="24"/>
        </w:rPr>
        <w:tab/>
      </w:r>
      <w:r w:rsidR="00A41CC8">
        <w:rPr>
          <w:sz w:val="24"/>
          <w:szCs w:val="24"/>
        </w:rPr>
        <w:tab/>
      </w:r>
      <w:r w:rsidRPr="00C52ADD">
        <w:rPr>
          <w:sz w:val="24"/>
          <w:szCs w:val="24"/>
        </w:rPr>
        <w:t>Administrative Law Judge</w:t>
      </w:r>
    </w:p>
    <w:p w:rsidR="00FE16A1" w:rsidRDefault="00FE16A1" w:rsidP="00C52ADD">
      <w:pPr>
        <w:rPr>
          <w:sz w:val="24"/>
          <w:szCs w:val="24"/>
        </w:rPr>
        <w:sectPr w:rsidR="00FE16A1" w:rsidSect="00270184">
          <w:footerReference w:type="default" r:id="rId7"/>
          <w:pgSz w:w="12240" w:h="15840"/>
          <w:pgMar w:top="1440" w:right="1440" w:bottom="1440" w:left="1440" w:header="720" w:footer="720" w:gutter="0"/>
          <w:cols w:space="720"/>
          <w:docGrid w:linePitch="360"/>
        </w:sectPr>
      </w:pPr>
    </w:p>
    <w:p w:rsidR="00FE16A1" w:rsidRPr="00CD5A04" w:rsidRDefault="00FE16A1" w:rsidP="00FE16A1">
      <w:pPr>
        <w:rPr>
          <w:rFonts w:ascii="Microsoft Sans Serif"/>
          <w:i/>
          <w:sz w:val="24"/>
        </w:rPr>
      </w:pPr>
      <w:r>
        <w:rPr>
          <w:rFonts w:ascii="Microsoft Sans Serif"/>
          <w:b/>
          <w:sz w:val="24"/>
          <w:u w:val="single"/>
        </w:rPr>
        <w:lastRenderedPageBreak/>
        <w:t>F-2010-2166554 &amp; F-2010-2166976 - 1-</w:t>
      </w:r>
      <w:proofErr w:type="gramStart"/>
      <w:r>
        <w:rPr>
          <w:rFonts w:ascii="Microsoft Sans Serif"/>
          <w:b/>
          <w:sz w:val="24"/>
          <w:u w:val="single"/>
        </w:rPr>
        <w:t>A REALTY</w:t>
      </w:r>
      <w:proofErr w:type="gramEnd"/>
      <w:r>
        <w:rPr>
          <w:rFonts w:ascii="Microsoft Sans Serif"/>
          <w:b/>
          <w:sz w:val="24"/>
          <w:u w:val="single"/>
        </w:rPr>
        <w:t xml:space="preserve"> v. PPL ELECTRIC UTILITIES</w:t>
      </w:r>
      <w:r>
        <w:rPr>
          <w:rFonts w:ascii="Microsoft Sans Serif"/>
          <w:b/>
          <w:sz w:val="24"/>
          <w:u w:val="single"/>
        </w:rPr>
        <w:cr/>
      </w:r>
      <w:r>
        <w:rPr>
          <w:rFonts w:ascii="Microsoft Sans Serif"/>
          <w:b/>
          <w:sz w:val="24"/>
          <w:u w:val="single"/>
        </w:rPr>
        <w:cr/>
      </w:r>
    </w:p>
    <w:p w:rsidR="00FE16A1" w:rsidRDefault="00FE16A1" w:rsidP="00FE16A1">
      <w:pPr>
        <w:rPr>
          <w:rFonts w:ascii="Microsoft Sans Serif"/>
          <w:b/>
          <w:sz w:val="24"/>
          <w:u w:val="single"/>
        </w:rPr>
      </w:pPr>
    </w:p>
    <w:p w:rsidR="00FE16A1" w:rsidRDefault="00FE16A1" w:rsidP="00FE16A1">
      <w:pPr>
        <w:rPr>
          <w:rFonts w:ascii="Microsoft Sans Serif"/>
          <w:sz w:val="24"/>
        </w:rPr>
      </w:pPr>
      <w:r>
        <w:rPr>
          <w:rFonts w:ascii="Microsoft Sans Serif"/>
          <w:sz w:val="24"/>
        </w:rPr>
        <w:t>MARK MALKAMES ESQUIRE</w:t>
      </w:r>
      <w:r>
        <w:rPr>
          <w:rFonts w:ascii="Microsoft Sans Serif"/>
          <w:sz w:val="24"/>
        </w:rPr>
        <w:cr/>
        <w:t>509 WEST LINDEN STREET</w:t>
      </w:r>
      <w:r>
        <w:rPr>
          <w:rFonts w:ascii="Microsoft Sans Serif"/>
          <w:sz w:val="24"/>
        </w:rPr>
        <w:cr/>
        <w:t>ALLENTOWN PA  18101</w:t>
      </w:r>
      <w:r>
        <w:rPr>
          <w:rFonts w:ascii="Microsoft Sans Serif"/>
          <w:sz w:val="24"/>
        </w:rPr>
        <w:cr/>
      </w:r>
      <w:r w:rsidRPr="00CD5A04">
        <w:rPr>
          <w:rFonts w:ascii="Microsoft Sans Serif"/>
          <w:b/>
          <w:sz w:val="24"/>
        </w:rPr>
        <w:t>610-821-8327</w:t>
      </w:r>
      <w:r w:rsidRPr="00CD5A04">
        <w:rPr>
          <w:rFonts w:ascii="Microsoft Sans Serif"/>
          <w:sz w:val="24"/>
        </w:rPr>
        <w:cr/>
      </w:r>
    </w:p>
    <w:p w:rsidR="00FE16A1" w:rsidRPr="00CD5A04" w:rsidRDefault="00FE16A1" w:rsidP="00FE16A1">
      <w:pPr>
        <w:rPr>
          <w:rFonts w:ascii="Microsoft Sans Serif" w:hAnsi="Microsoft Sans Serif" w:cs="Microsoft Sans Serif"/>
          <w:sz w:val="24"/>
          <w:szCs w:val="24"/>
        </w:rPr>
      </w:pPr>
      <w:r>
        <w:rPr>
          <w:rFonts w:ascii="Microsoft Sans Serif"/>
          <w:sz w:val="24"/>
        </w:rPr>
        <w:t>ANDREW H RALSTON JR ESQUIRE</w:t>
      </w:r>
      <w:r>
        <w:rPr>
          <w:rFonts w:ascii="Microsoft Sans Serif"/>
          <w:sz w:val="24"/>
        </w:rPr>
        <w:cr/>
        <w:t>GROSS MCGINLEY</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r>
      <w:r>
        <w:rPr>
          <w:rFonts w:ascii="Microsoft Sans Serif"/>
          <w:b/>
          <w:sz w:val="24"/>
        </w:rPr>
        <w:t>610-820-5450</w:t>
      </w:r>
    </w:p>
    <w:p w:rsidR="00674502" w:rsidRPr="00C52ADD" w:rsidRDefault="00674502" w:rsidP="00C52ADD">
      <w:pPr>
        <w:rPr>
          <w:sz w:val="24"/>
          <w:szCs w:val="24"/>
        </w:rPr>
      </w:pPr>
    </w:p>
    <w:sectPr w:rsidR="00674502" w:rsidRPr="00C52ADD" w:rsidSect="002B30C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CC8" w:rsidRDefault="00DC1CC8" w:rsidP="005140E0">
      <w:r>
        <w:separator/>
      </w:r>
    </w:p>
  </w:endnote>
  <w:endnote w:type="continuationSeparator" w:id="0">
    <w:p w:rsidR="00DC1CC8" w:rsidRDefault="00DC1CC8" w:rsidP="005140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25532"/>
      <w:docPartObj>
        <w:docPartGallery w:val="Page Numbers (Bottom of Page)"/>
        <w:docPartUnique/>
      </w:docPartObj>
    </w:sdtPr>
    <w:sdtEndPr>
      <w:rPr>
        <w:sz w:val="20"/>
      </w:rPr>
    </w:sdtEndPr>
    <w:sdtContent>
      <w:p w:rsidR="009B2CC6" w:rsidRPr="00B73D2C" w:rsidRDefault="004A365F">
        <w:pPr>
          <w:pStyle w:val="Footer"/>
          <w:jc w:val="center"/>
          <w:rPr>
            <w:sz w:val="20"/>
          </w:rPr>
        </w:pPr>
        <w:r w:rsidRPr="00B73D2C">
          <w:rPr>
            <w:sz w:val="20"/>
          </w:rPr>
          <w:fldChar w:fldCharType="begin"/>
        </w:r>
        <w:r w:rsidR="009B2CC6" w:rsidRPr="00B73D2C">
          <w:rPr>
            <w:sz w:val="20"/>
          </w:rPr>
          <w:instrText xml:space="preserve"> PAGE   \* MERGEFORMAT </w:instrText>
        </w:r>
        <w:r w:rsidRPr="00B73D2C">
          <w:rPr>
            <w:sz w:val="20"/>
          </w:rPr>
          <w:fldChar w:fldCharType="separate"/>
        </w:r>
        <w:r w:rsidR="00FE16A1">
          <w:rPr>
            <w:noProof/>
            <w:sz w:val="20"/>
          </w:rPr>
          <w:t>1</w:t>
        </w:r>
        <w:r w:rsidRPr="00B73D2C">
          <w:rPr>
            <w:sz w:val="20"/>
          </w:rPr>
          <w:fldChar w:fldCharType="end"/>
        </w:r>
      </w:p>
    </w:sdtContent>
  </w:sdt>
  <w:p w:rsidR="009B2CC6" w:rsidRPr="00B73D2C" w:rsidRDefault="009B2CC6">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CC8" w:rsidRDefault="00DC1CC8" w:rsidP="005140E0">
      <w:r>
        <w:separator/>
      </w:r>
    </w:p>
  </w:footnote>
  <w:footnote w:type="continuationSeparator" w:id="0">
    <w:p w:rsidR="00DC1CC8" w:rsidRDefault="00DC1CC8" w:rsidP="005140E0">
      <w:r>
        <w:continuationSeparator/>
      </w:r>
    </w:p>
  </w:footnote>
  <w:footnote w:id="1">
    <w:p w:rsidR="006B6B2F" w:rsidRDefault="006B6B2F">
      <w:pPr>
        <w:pStyle w:val="FootnoteText"/>
      </w:pPr>
      <w:r>
        <w:rPr>
          <w:rStyle w:val="FootnoteReference"/>
        </w:rPr>
        <w:footnoteRef/>
      </w:r>
      <w:r>
        <w:t xml:space="preserve"> </w:t>
      </w:r>
      <w:r>
        <w:tab/>
      </w:r>
      <w:r w:rsidRPr="005E4D00">
        <w:rPr>
          <w:sz w:val="24"/>
          <w:szCs w:val="24"/>
        </w:rPr>
        <w:t>BCS No. 2587705; BCS No. 2587779</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45D7C"/>
    <w:rsid w:val="00000B68"/>
    <w:rsid w:val="00020ACF"/>
    <w:rsid w:val="0002390F"/>
    <w:rsid w:val="000361C6"/>
    <w:rsid w:val="000453F0"/>
    <w:rsid w:val="00065E2A"/>
    <w:rsid w:val="00071466"/>
    <w:rsid w:val="00077CBB"/>
    <w:rsid w:val="000805AC"/>
    <w:rsid w:val="00083DF6"/>
    <w:rsid w:val="00086142"/>
    <w:rsid w:val="0009315C"/>
    <w:rsid w:val="000B615A"/>
    <w:rsid w:val="000B7C4C"/>
    <w:rsid w:val="000D5A3D"/>
    <w:rsid w:val="000E3437"/>
    <w:rsid w:val="000E4B75"/>
    <w:rsid w:val="0011388A"/>
    <w:rsid w:val="0013260C"/>
    <w:rsid w:val="00132676"/>
    <w:rsid w:val="00145D7C"/>
    <w:rsid w:val="00156549"/>
    <w:rsid w:val="001647A3"/>
    <w:rsid w:val="00170D92"/>
    <w:rsid w:val="00172CCF"/>
    <w:rsid w:val="00172EB1"/>
    <w:rsid w:val="001937E9"/>
    <w:rsid w:val="001A3B11"/>
    <w:rsid w:val="001A4593"/>
    <w:rsid w:val="001B13A4"/>
    <w:rsid w:val="001D3624"/>
    <w:rsid w:val="001F3FEC"/>
    <w:rsid w:val="00203174"/>
    <w:rsid w:val="002226E1"/>
    <w:rsid w:val="002254EA"/>
    <w:rsid w:val="00230D85"/>
    <w:rsid w:val="00235F06"/>
    <w:rsid w:val="00241F98"/>
    <w:rsid w:val="00243B5A"/>
    <w:rsid w:val="002509CA"/>
    <w:rsid w:val="00253546"/>
    <w:rsid w:val="00270184"/>
    <w:rsid w:val="002870A9"/>
    <w:rsid w:val="00287328"/>
    <w:rsid w:val="002A38DB"/>
    <w:rsid w:val="002A3CF4"/>
    <w:rsid w:val="002B1C21"/>
    <w:rsid w:val="002B2EE6"/>
    <w:rsid w:val="002B42FA"/>
    <w:rsid w:val="002B780B"/>
    <w:rsid w:val="002C7BFD"/>
    <w:rsid w:val="002D12EC"/>
    <w:rsid w:val="002D6A4C"/>
    <w:rsid w:val="002F06EE"/>
    <w:rsid w:val="002F5243"/>
    <w:rsid w:val="002F52AF"/>
    <w:rsid w:val="00311460"/>
    <w:rsid w:val="00312033"/>
    <w:rsid w:val="00331361"/>
    <w:rsid w:val="00343410"/>
    <w:rsid w:val="00351AD2"/>
    <w:rsid w:val="003627CB"/>
    <w:rsid w:val="0036596E"/>
    <w:rsid w:val="00366A60"/>
    <w:rsid w:val="0037107E"/>
    <w:rsid w:val="00375267"/>
    <w:rsid w:val="00383897"/>
    <w:rsid w:val="00384FE3"/>
    <w:rsid w:val="003A15DB"/>
    <w:rsid w:val="003A3EEB"/>
    <w:rsid w:val="003B28F4"/>
    <w:rsid w:val="003B48F6"/>
    <w:rsid w:val="003B5F87"/>
    <w:rsid w:val="003C341D"/>
    <w:rsid w:val="003E12A9"/>
    <w:rsid w:val="003E24C1"/>
    <w:rsid w:val="003F480E"/>
    <w:rsid w:val="003F604A"/>
    <w:rsid w:val="00402FD8"/>
    <w:rsid w:val="004116D3"/>
    <w:rsid w:val="004161DA"/>
    <w:rsid w:val="0042367A"/>
    <w:rsid w:val="00452DC3"/>
    <w:rsid w:val="004575DD"/>
    <w:rsid w:val="00461BE2"/>
    <w:rsid w:val="004629D8"/>
    <w:rsid w:val="00466412"/>
    <w:rsid w:val="00472390"/>
    <w:rsid w:val="00476AA5"/>
    <w:rsid w:val="004973BF"/>
    <w:rsid w:val="004A365F"/>
    <w:rsid w:val="004A4A92"/>
    <w:rsid w:val="004B3B38"/>
    <w:rsid w:val="004B4CB7"/>
    <w:rsid w:val="004D4447"/>
    <w:rsid w:val="004E133C"/>
    <w:rsid w:val="004E1A8C"/>
    <w:rsid w:val="004E4202"/>
    <w:rsid w:val="004F3E7F"/>
    <w:rsid w:val="004F51B0"/>
    <w:rsid w:val="005028FF"/>
    <w:rsid w:val="00504287"/>
    <w:rsid w:val="005074C3"/>
    <w:rsid w:val="005140E0"/>
    <w:rsid w:val="00523C09"/>
    <w:rsid w:val="005352D3"/>
    <w:rsid w:val="00540ACE"/>
    <w:rsid w:val="005475EC"/>
    <w:rsid w:val="00552D9B"/>
    <w:rsid w:val="00564484"/>
    <w:rsid w:val="00567509"/>
    <w:rsid w:val="00582CD8"/>
    <w:rsid w:val="0059506A"/>
    <w:rsid w:val="00595440"/>
    <w:rsid w:val="005B4379"/>
    <w:rsid w:val="005C0261"/>
    <w:rsid w:val="005E4D00"/>
    <w:rsid w:val="005F0C32"/>
    <w:rsid w:val="005F659B"/>
    <w:rsid w:val="005F6F2D"/>
    <w:rsid w:val="006422D5"/>
    <w:rsid w:val="00650AF2"/>
    <w:rsid w:val="00655B19"/>
    <w:rsid w:val="00672D17"/>
    <w:rsid w:val="00674502"/>
    <w:rsid w:val="00676751"/>
    <w:rsid w:val="00676817"/>
    <w:rsid w:val="006826C5"/>
    <w:rsid w:val="0069027E"/>
    <w:rsid w:val="00690843"/>
    <w:rsid w:val="00692368"/>
    <w:rsid w:val="006B4F76"/>
    <w:rsid w:val="006B6B2F"/>
    <w:rsid w:val="006D05F2"/>
    <w:rsid w:val="006D2615"/>
    <w:rsid w:val="006D4B2A"/>
    <w:rsid w:val="006E48ED"/>
    <w:rsid w:val="006F79B1"/>
    <w:rsid w:val="006F7F52"/>
    <w:rsid w:val="00700A03"/>
    <w:rsid w:val="007244D1"/>
    <w:rsid w:val="00727658"/>
    <w:rsid w:val="007403C2"/>
    <w:rsid w:val="00746E27"/>
    <w:rsid w:val="00793DB4"/>
    <w:rsid w:val="007B0837"/>
    <w:rsid w:val="007B0DBB"/>
    <w:rsid w:val="007B49D8"/>
    <w:rsid w:val="007B69CE"/>
    <w:rsid w:val="007C6B1F"/>
    <w:rsid w:val="007E2D1F"/>
    <w:rsid w:val="007F0C9F"/>
    <w:rsid w:val="007F1EAC"/>
    <w:rsid w:val="007F4FF9"/>
    <w:rsid w:val="007F5EE7"/>
    <w:rsid w:val="007F6F94"/>
    <w:rsid w:val="00802919"/>
    <w:rsid w:val="00821A92"/>
    <w:rsid w:val="00826EAF"/>
    <w:rsid w:val="00844AFD"/>
    <w:rsid w:val="008605CF"/>
    <w:rsid w:val="00876810"/>
    <w:rsid w:val="00882CF9"/>
    <w:rsid w:val="00883BB5"/>
    <w:rsid w:val="00890339"/>
    <w:rsid w:val="0089738C"/>
    <w:rsid w:val="008B65EE"/>
    <w:rsid w:val="008C0782"/>
    <w:rsid w:val="008C22D3"/>
    <w:rsid w:val="008C258A"/>
    <w:rsid w:val="008C6F9E"/>
    <w:rsid w:val="008D041F"/>
    <w:rsid w:val="008D6FD4"/>
    <w:rsid w:val="008E077F"/>
    <w:rsid w:val="008F03F5"/>
    <w:rsid w:val="008F633F"/>
    <w:rsid w:val="009062E7"/>
    <w:rsid w:val="00930862"/>
    <w:rsid w:val="009356A3"/>
    <w:rsid w:val="00946E14"/>
    <w:rsid w:val="00955515"/>
    <w:rsid w:val="0096711C"/>
    <w:rsid w:val="00982D5E"/>
    <w:rsid w:val="009A3A50"/>
    <w:rsid w:val="009B2CC6"/>
    <w:rsid w:val="009D3354"/>
    <w:rsid w:val="009E434D"/>
    <w:rsid w:val="009F1830"/>
    <w:rsid w:val="009F1C4B"/>
    <w:rsid w:val="009F72A1"/>
    <w:rsid w:val="00A00DC5"/>
    <w:rsid w:val="00A07865"/>
    <w:rsid w:val="00A07B60"/>
    <w:rsid w:val="00A07DDD"/>
    <w:rsid w:val="00A10BD9"/>
    <w:rsid w:val="00A14AF3"/>
    <w:rsid w:val="00A22D9C"/>
    <w:rsid w:val="00A23F46"/>
    <w:rsid w:val="00A37544"/>
    <w:rsid w:val="00A37E71"/>
    <w:rsid w:val="00A402ED"/>
    <w:rsid w:val="00A41CC8"/>
    <w:rsid w:val="00A427AC"/>
    <w:rsid w:val="00A44D00"/>
    <w:rsid w:val="00A46561"/>
    <w:rsid w:val="00A50404"/>
    <w:rsid w:val="00A56232"/>
    <w:rsid w:val="00A97DFF"/>
    <w:rsid w:val="00AB43D7"/>
    <w:rsid w:val="00AD74B1"/>
    <w:rsid w:val="00AE0270"/>
    <w:rsid w:val="00B207AC"/>
    <w:rsid w:val="00B228F1"/>
    <w:rsid w:val="00B231B1"/>
    <w:rsid w:val="00B24540"/>
    <w:rsid w:val="00B25B93"/>
    <w:rsid w:val="00B321B4"/>
    <w:rsid w:val="00B50E38"/>
    <w:rsid w:val="00B56159"/>
    <w:rsid w:val="00B60B06"/>
    <w:rsid w:val="00B73D2C"/>
    <w:rsid w:val="00B80C4A"/>
    <w:rsid w:val="00B83072"/>
    <w:rsid w:val="00B84A4F"/>
    <w:rsid w:val="00B94237"/>
    <w:rsid w:val="00BA0462"/>
    <w:rsid w:val="00BA2207"/>
    <w:rsid w:val="00BA284C"/>
    <w:rsid w:val="00BA40F5"/>
    <w:rsid w:val="00BA51EE"/>
    <w:rsid w:val="00BB0E58"/>
    <w:rsid w:val="00BD58D1"/>
    <w:rsid w:val="00BE0B88"/>
    <w:rsid w:val="00BE2CA6"/>
    <w:rsid w:val="00BF07E7"/>
    <w:rsid w:val="00BF48D5"/>
    <w:rsid w:val="00C0579B"/>
    <w:rsid w:val="00C07FAC"/>
    <w:rsid w:val="00C14F0F"/>
    <w:rsid w:val="00C27268"/>
    <w:rsid w:val="00C372F6"/>
    <w:rsid w:val="00C52ADD"/>
    <w:rsid w:val="00C72B24"/>
    <w:rsid w:val="00CA0EFC"/>
    <w:rsid w:val="00CA663B"/>
    <w:rsid w:val="00CA6E2E"/>
    <w:rsid w:val="00CB17FD"/>
    <w:rsid w:val="00CB22AF"/>
    <w:rsid w:val="00CB327A"/>
    <w:rsid w:val="00CB7129"/>
    <w:rsid w:val="00CC1741"/>
    <w:rsid w:val="00CC4531"/>
    <w:rsid w:val="00CE348B"/>
    <w:rsid w:val="00CE4F5D"/>
    <w:rsid w:val="00CF258C"/>
    <w:rsid w:val="00CF2898"/>
    <w:rsid w:val="00CF4F5C"/>
    <w:rsid w:val="00D022E5"/>
    <w:rsid w:val="00D1225B"/>
    <w:rsid w:val="00D1374D"/>
    <w:rsid w:val="00D22CE8"/>
    <w:rsid w:val="00D23841"/>
    <w:rsid w:val="00D26522"/>
    <w:rsid w:val="00D2744A"/>
    <w:rsid w:val="00D44521"/>
    <w:rsid w:val="00D45968"/>
    <w:rsid w:val="00D466F1"/>
    <w:rsid w:val="00D823D4"/>
    <w:rsid w:val="00DA0A68"/>
    <w:rsid w:val="00DA4ACE"/>
    <w:rsid w:val="00DA576C"/>
    <w:rsid w:val="00DB2D57"/>
    <w:rsid w:val="00DB3CBF"/>
    <w:rsid w:val="00DB44A1"/>
    <w:rsid w:val="00DB59FE"/>
    <w:rsid w:val="00DB61DB"/>
    <w:rsid w:val="00DB7570"/>
    <w:rsid w:val="00DC1CC8"/>
    <w:rsid w:val="00DC7849"/>
    <w:rsid w:val="00DE7AF5"/>
    <w:rsid w:val="00DF163B"/>
    <w:rsid w:val="00E04D6D"/>
    <w:rsid w:val="00E1129D"/>
    <w:rsid w:val="00E13121"/>
    <w:rsid w:val="00E35445"/>
    <w:rsid w:val="00E42181"/>
    <w:rsid w:val="00E51F3B"/>
    <w:rsid w:val="00E5493C"/>
    <w:rsid w:val="00E54F9C"/>
    <w:rsid w:val="00E80B4A"/>
    <w:rsid w:val="00E82D2D"/>
    <w:rsid w:val="00E87367"/>
    <w:rsid w:val="00E90795"/>
    <w:rsid w:val="00E926E2"/>
    <w:rsid w:val="00E94B13"/>
    <w:rsid w:val="00EA70CC"/>
    <w:rsid w:val="00EA7F7A"/>
    <w:rsid w:val="00EE7AC4"/>
    <w:rsid w:val="00EF60EC"/>
    <w:rsid w:val="00EF6D5D"/>
    <w:rsid w:val="00F009D8"/>
    <w:rsid w:val="00F014A2"/>
    <w:rsid w:val="00F06B35"/>
    <w:rsid w:val="00F07896"/>
    <w:rsid w:val="00F1060F"/>
    <w:rsid w:val="00F1568B"/>
    <w:rsid w:val="00F16E63"/>
    <w:rsid w:val="00F20565"/>
    <w:rsid w:val="00F20E7B"/>
    <w:rsid w:val="00F25D5E"/>
    <w:rsid w:val="00F314D3"/>
    <w:rsid w:val="00F32EA2"/>
    <w:rsid w:val="00F3603B"/>
    <w:rsid w:val="00F36206"/>
    <w:rsid w:val="00F45E3C"/>
    <w:rsid w:val="00F56F9A"/>
    <w:rsid w:val="00F77F48"/>
    <w:rsid w:val="00F85F87"/>
    <w:rsid w:val="00F91381"/>
    <w:rsid w:val="00F9221D"/>
    <w:rsid w:val="00F956D6"/>
    <w:rsid w:val="00F9579B"/>
    <w:rsid w:val="00F959F7"/>
    <w:rsid w:val="00F961C5"/>
    <w:rsid w:val="00FA03E2"/>
    <w:rsid w:val="00FA2790"/>
    <w:rsid w:val="00FA5806"/>
    <w:rsid w:val="00FB1DBA"/>
    <w:rsid w:val="00FB27C5"/>
    <w:rsid w:val="00FB3415"/>
    <w:rsid w:val="00FB508C"/>
    <w:rsid w:val="00FC3AA9"/>
    <w:rsid w:val="00FC4372"/>
    <w:rsid w:val="00FC4664"/>
    <w:rsid w:val="00FD6471"/>
    <w:rsid w:val="00FE16A1"/>
    <w:rsid w:val="00FE7AC8"/>
    <w:rsid w:val="00FF2CB8"/>
    <w:rsid w:val="00FF3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7C"/>
    <w:pPr>
      <w:spacing w:after="0" w:line="240" w:lineRule="auto"/>
    </w:pPr>
    <w:rPr>
      <w:rFonts w:ascii="Times New Roman" w:eastAsia="Times New Roman" w:hAnsi="Times New Roman" w:cs="Times New Roman"/>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D7C"/>
    <w:pPr>
      <w:spacing w:after="0" w:line="240" w:lineRule="auto"/>
    </w:pPr>
  </w:style>
  <w:style w:type="character" w:styleId="PlaceholderText">
    <w:name w:val="Placeholder Text"/>
    <w:basedOn w:val="DefaultParagraphFont"/>
    <w:uiPriority w:val="99"/>
    <w:semiHidden/>
    <w:rsid w:val="003C341D"/>
    <w:rPr>
      <w:color w:val="808080"/>
    </w:rPr>
  </w:style>
  <w:style w:type="paragraph" w:styleId="BalloonText">
    <w:name w:val="Balloon Text"/>
    <w:basedOn w:val="Normal"/>
    <w:link w:val="BalloonTextChar"/>
    <w:uiPriority w:val="99"/>
    <w:semiHidden/>
    <w:unhideWhenUsed/>
    <w:rsid w:val="003C341D"/>
    <w:rPr>
      <w:rFonts w:ascii="Tahoma" w:hAnsi="Tahoma" w:cs="Tahoma"/>
      <w:sz w:val="16"/>
      <w:szCs w:val="16"/>
    </w:rPr>
  </w:style>
  <w:style w:type="character" w:customStyle="1" w:styleId="BalloonTextChar">
    <w:name w:val="Balloon Text Char"/>
    <w:basedOn w:val="DefaultParagraphFont"/>
    <w:link w:val="BalloonText"/>
    <w:uiPriority w:val="99"/>
    <w:semiHidden/>
    <w:rsid w:val="003C341D"/>
    <w:rPr>
      <w:rFonts w:ascii="Tahoma" w:eastAsia="Times New Roman" w:hAnsi="Tahoma" w:cs="Tahoma"/>
      <w:color w:val="000000"/>
      <w:sz w:val="16"/>
      <w:szCs w:val="16"/>
    </w:rPr>
  </w:style>
  <w:style w:type="paragraph" w:customStyle="1" w:styleId="Style">
    <w:name w:val="Style"/>
    <w:rsid w:val="006745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140E0"/>
    <w:pPr>
      <w:tabs>
        <w:tab w:val="center" w:pos="4680"/>
        <w:tab w:val="right" w:pos="9360"/>
      </w:tabs>
    </w:pPr>
  </w:style>
  <w:style w:type="character" w:customStyle="1" w:styleId="HeaderChar">
    <w:name w:val="Header Char"/>
    <w:basedOn w:val="DefaultParagraphFont"/>
    <w:link w:val="Header"/>
    <w:uiPriority w:val="99"/>
    <w:semiHidden/>
    <w:rsid w:val="005140E0"/>
    <w:rPr>
      <w:rFonts w:ascii="Times New Roman" w:eastAsia="Times New Roman" w:hAnsi="Times New Roman" w:cs="Times New Roman"/>
      <w:color w:val="000000"/>
      <w:sz w:val="26"/>
      <w:szCs w:val="20"/>
    </w:rPr>
  </w:style>
  <w:style w:type="paragraph" w:styleId="Footer">
    <w:name w:val="footer"/>
    <w:basedOn w:val="Normal"/>
    <w:link w:val="FooterChar"/>
    <w:uiPriority w:val="99"/>
    <w:unhideWhenUsed/>
    <w:rsid w:val="005140E0"/>
    <w:pPr>
      <w:tabs>
        <w:tab w:val="center" w:pos="4680"/>
        <w:tab w:val="right" w:pos="9360"/>
      </w:tabs>
    </w:pPr>
  </w:style>
  <w:style w:type="character" w:customStyle="1" w:styleId="FooterChar">
    <w:name w:val="Footer Char"/>
    <w:basedOn w:val="DefaultParagraphFont"/>
    <w:link w:val="Footer"/>
    <w:uiPriority w:val="99"/>
    <w:rsid w:val="005140E0"/>
    <w:rPr>
      <w:rFonts w:ascii="Times New Roman" w:eastAsia="Times New Roman" w:hAnsi="Times New Roman" w:cs="Times New Roman"/>
      <w:color w:val="000000"/>
      <w:sz w:val="26"/>
      <w:szCs w:val="20"/>
    </w:rPr>
  </w:style>
  <w:style w:type="paragraph" w:styleId="FootnoteText">
    <w:name w:val="footnote text"/>
    <w:basedOn w:val="Normal"/>
    <w:link w:val="FootnoteTextChar"/>
    <w:uiPriority w:val="99"/>
    <w:semiHidden/>
    <w:unhideWhenUsed/>
    <w:rsid w:val="006B6B2F"/>
    <w:rPr>
      <w:sz w:val="20"/>
    </w:rPr>
  </w:style>
  <w:style w:type="character" w:customStyle="1" w:styleId="FootnoteTextChar">
    <w:name w:val="Footnote Text Char"/>
    <w:basedOn w:val="DefaultParagraphFont"/>
    <w:link w:val="FootnoteText"/>
    <w:uiPriority w:val="99"/>
    <w:semiHidden/>
    <w:rsid w:val="006B6B2F"/>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6B6B2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691A7-9E1A-4926-934D-9429B293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astout</cp:lastModifiedBy>
  <cp:revision>2</cp:revision>
  <cp:lastPrinted>2011-02-04T15:54:00Z</cp:lastPrinted>
  <dcterms:created xsi:type="dcterms:W3CDTF">2011-03-23T14:51:00Z</dcterms:created>
  <dcterms:modified xsi:type="dcterms:W3CDTF">2011-03-23T14:51:00Z</dcterms:modified>
</cp:coreProperties>
</file>