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6A" w:rsidRDefault="00F14A6A" w:rsidP="00F14A6A">
      <w:pPr>
        <w:jc w:val="center"/>
        <w:outlineLvl w:val="0"/>
        <w:rPr>
          <w:b/>
        </w:rPr>
      </w:pPr>
      <w:r>
        <w:rPr>
          <w:b/>
        </w:rPr>
        <w:t>BEFORE THE</w:t>
      </w:r>
    </w:p>
    <w:p w:rsidR="00F14A6A" w:rsidRDefault="00F14A6A" w:rsidP="00F14A6A">
      <w:pPr>
        <w:jc w:val="center"/>
        <w:outlineLvl w:val="0"/>
      </w:pPr>
      <w:r>
        <w:rPr>
          <w:b/>
        </w:rPr>
        <w:t>PENNSYLVANIA PUBLIC UTILITY COMMISSION</w:t>
      </w:r>
    </w:p>
    <w:p w:rsidR="00F14A6A" w:rsidRDefault="00F14A6A" w:rsidP="00F14A6A">
      <w:pPr>
        <w:jc w:val="center"/>
      </w:pPr>
    </w:p>
    <w:p w:rsidR="00F14A6A" w:rsidRDefault="00F14A6A" w:rsidP="00F14A6A"/>
    <w:p w:rsidR="00F14A6A" w:rsidRDefault="00F14A6A" w:rsidP="00F14A6A"/>
    <w:p w:rsidR="00F14A6A" w:rsidRDefault="00F14A6A" w:rsidP="00F14A6A">
      <w:r>
        <w:t>Renee C. Ogilvie-Spann</w:t>
      </w:r>
      <w:r>
        <w:tab/>
      </w:r>
      <w:r>
        <w:tab/>
      </w:r>
      <w:r>
        <w:tab/>
      </w:r>
      <w:r>
        <w:tab/>
        <w:t>:</w:t>
      </w:r>
    </w:p>
    <w:p w:rsidR="00F14A6A" w:rsidRDefault="00F14A6A" w:rsidP="00F14A6A">
      <w:r>
        <w:tab/>
      </w:r>
      <w:r>
        <w:tab/>
      </w:r>
      <w:r>
        <w:tab/>
      </w:r>
      <w:r>
        <w:tab/>
      </w:r>
      <w:r>
        <w:tab/>
      </w:r>
      <w:r>
        <w:tab/>
      </w:r>
      <w:r>
        <w:tab/>
        <w:t>:</w:t>
      </w:r>
    </w:p>
    <w:p w:rsidR="00F14A6A" w:rsidRDefault="00F14A6A" w:rsidP="00F14A6A">
      <w:r>
        <w:tab/>
        <w:t>v.</w:t>
      </w:r>
      <w:r>
        <w:tab/>
      </w:r>
      <w:r>
        <w:tab/>
      </w:r>
      <w:r>
        <w:tab/>
      </w:r>
      <w:r>
        <w:tab/>
      </w:r>
      <w:r>
        <w:tab/>
      </w:r>
      <w:r>
        <w:tab/>
        <w:t>:</w:t>
      </w:r>
      <w:r>
        <w:tab/>
      </w:r>
      <w:r>
        <w:tab/>
        <w:t>C-2010-2195490</w:t>
      </w:r>
    </w:p>
    <w:p w:rsidR="00F14A6A" w:rsidRDefault="00F14A6A" w:rsidP="00F14A6A">
      <w:r>
        <w:tab/>
      </w:r>
      <w:r>
        <w:tab/>
      </w:r>
      <w:r>
        <w:tab/>
      </w:r>
      <w:r>
        <w:tab/>
      </w:r>
      <w:r>
        <w:tab/>
      </w:r>
      <w:r>
        <w:tab/>
      </w:r>
      <w:r>
        <w:tab/>
        <w:t>:</w:t>
      </w:r>
    </w:p>
    <w:p w:rsidR="00F14A6A" w:rsidRDefault="00F14A6A" w:rsidP="00F14A6A">
      <w:r>
        <w:t>PECO Energy Company</w:t>
      </w:r>
      <w:r>
        <w:tab/>
      </w:r>
      <w:r>
        <w:tab/>
      </w:r>
      <w:r>
        <w:tab/>
      </w:r>
      <w:r>
        <w:tab/>
        <w:t>:</w:t>
      </w:r>
    </w:p>
    <w:p w:rsidR="00F14A6A" w:rsidRDefault="00F14A6A" w:rsidP="00F14A6A"/>
    <w:p w:rsidR="00F14A6A" w:rsidRDefault="00F14A6A" w:rsidP="00F14A6A"/>
    <w:p w:rsidR="00F14A6A" w:rsidRDefault="00F14A6A" w:rsidP="00F14A6A"/>
    <w:p w:rsidR="00F14A6A" w:rsidRDefault="00F14A6A" w:rsidP="00F14A6A">
      <w:pPr>
        <w:jc w:val="center"/>
        <w:outlineLvl w:val="0"/>
      </w:pPr>
      <w:r>
        <w:rPr>
          <w:b/>
          <w:u w:val="single"/>
        </w:rPr>
        <w:t>INITIAL DECISION</w:t>
      </w:r>
    </w:p>
    <w:p w:rsidR="00F14A6A" w:rsidRDefault="00F14A6A" w:rsidP="00F14A6A">
      <w:pPr>
        <w:jc w:val="center"/>
      </w:pPr>
    </w:p>
    <w:p w:rsidR="00F14A6A" w:rsidRDefault="00F14A6A" w:rsidP="00F14A6A">
      <w:pPr>
        <w:jc w:val="center"/>
      </w:pPr>
    </w:p>
    <w:p w:rsidR="00F14A6A" w:rsidRDefault="00F14A6A" w:rsidP="00F14A6A">
      <w:pPr>
        <w:jc w:val="center"/>
        <w:outlineLvl w:val="0"/>
      </w:pPr>
      <w:r>
        <w:t>Before</w:t>
      </w:r>
    </w:p>
    <w:p w:rsidR="00F14A6A" w:rsidRDefault="00F14A6A" w:rsidP="00F14A6A">
      <w:pPr>
        <w:jc w:val="center"/>
      </w:pPr>
      <w:proofErr w:type="gramStart"/>
      <w:r>
        <w:t>Ky</w:t>
      </w:r>
      <w:proofErr w:type="gramEnd"/>
      <w:r>
        <w:t xml:space="preserve"> Van Nguyen</w:t>
      </w:r>
    </w:p>
    <w:p w:rsidR="00F14A6A" w:rsidRDefault="00F14A6A" w:rsidP="00F14A6A">
      <w:pPr>
        <w:jc w:val="center"/>
      </w:pPr>
      <w:r>
        <w:t>Administrative Law Judge</w:t>
      </w:r>
    </w:p>
    <w:p w:rsidR="00F14A6A" w:rsidRDefault="00F14A6A" w:rsidP="00F14A6A">
      <w:pPr>
        <w:jc w:val="center"/>
      </w:pPr>
    </w:p>
    <w:p w:rsidR="00F14A6A" w:rsidRDefault="00F14A6A" w:rsidP="00F14A6A">
      <w:pPr>
        <w:jc w:val="center"/>
      </w:pPr>
    </w:p>
    <w:p w:rsidR="00F14A6A" w:rsidRDefault="00F14A6A" w:rsidP="00F14A6A">
      <w:pPr>
        <w:jc w:val="center"/>
        <w:outlineLvl w:val="0"/>
      </w:pPr>
      <w:r>
        <w:rPr>
          <w:u w:val="single"/>
        </w:rPr>
        <w:t>HISTORY OF THE PROCEEDINGS</w:t>
      </w:r>
    </w:p>
    <w:p w:rsidR="00F14A6A" w:rsidRDefault="00F14A6A" w:rsidP="00F14A6A">
      <w:pPr>
        <w:jc w:val="center"/>
      </w:pPr>
    </w:p>
    <w:p w:rsidR="00F14A6A" w:rsidRDefault="00F14A6A" w:rsidP="00F14A6A">
      <w:pPr>
        <w:jc w:val="center"/>
      </w:pPr>
    </w:p>
    <w:p w:rsidR="00F14A6A" w:rsidRDefault="00F14A6A" w:rsidP="00F14A6A">
      <w:pPr>
        <w:spacing w:line="360" w:lineRule="auto"/>
      </w:pPr>
      <w:r>
        <w:tab/>
      </w:r>
      <w:r>
        <w:tab/>
        <w:t>On August 23, 2010, Renee C. Ogilvie-Spann</w:t>
      </w:r>
      <w:r>
        <w:rPr>
          <w:rStyle w:val="FootnoteReference"/>
        </w:rPr>
        <w:footnoteReference w:id="1"/>
      </w:r>
      <w:r>
        <w:t xml:space="preserve"> (Complainant) filed a complaint with the Pennsylvania Public Utility Commission (Commission) against PECO Energy Company (Respondent).  Essentially, the Complainant alleged that she wanted the Respondent’s bills to be in her name and to pay her daughter’s bills, </w:t>
      </w:r>
      <w:proofErr w:type="spellStart"/>
      <w:r>
        <w:t>Jamia</w:t>
      </w:r>
      <w:proofErr w:type="spellEnd"/>
      <w:r>
        <w:t xml:space="preserve"> Spann’s.  She asked that the Commission direct the Respondent to lower her bills so that she is able to pay.  </w:t>
      </w:r>
    </w:p>
    <w:p w:rsidR="00F14A6A" w:rsidRDefault="00F14A6A" w:rsidP="00F14A6A">
      <w:pPr>
        <w:spacing w:line="360" w:lineRule="auto"/>
      </w:pPr>
    </w:p>
    <w:p w:rsidR="00F14A6A" w:rsidRDefault="00F14A6A" w:rsidP="00F14A6A">
      <w:pPr>
        <w:spacing w:line="360" w:lineRule="auto"/>
      </w:pPr>
      <w:r>
        <w:tab/>
      </w:r>
      <w:r>
        <w:tab/>
        <w:t xml:space="preserve">The Respondent filed an answer and new matter to the complaint dated September 14, 2010.  It stated, among other things, that the Complainant is not eligible for a Commission-issued payment agreement because she has been enrolled in the Respondent’s rate discount program, and that she is not eligible for a Commission-issued payment agreement.  </w:t>
      </w:r>
    </w:p>
    <w:p w:rsidR="00F14A6A" w:rsidRDefault="00F14A6A" w:rsidP="00F14A6A">
      <w:pPr>
        <w:spacing w:line="360" w:lineRule="auto"/>
      </w:pPr>
    </w:p>
    <w:p w:rsidR="002A4ABA" w:rsidRDefault="00F14A6A" w:rsidP="00F14A6A">
      <w:pPr>
        <w:spacing w:line="360" w:lineRule="auto"/>
        <w:sectPr w:rsidR="002A4ABA" w:rsidSect="00F14A6A">
          <w:footerReference w:type="default" r:id="rId7"/>
          <w:pgSz w:w="12240" w:h="15840"/>
          <w:pgMar w:top="1440" w:right="1440" w:bottom="1440" w:left="1440" w:header="720" w:footer="720" w:gutter="0"/>
          <w:cols w:space="720"/>
          <w:titlePg/>
          <w:docGrid w:linePitch="360"/>
        </w:sectPr>
      </w:pPr>
      <w:r>
        <w:tab/>
      </w:r>
      <w:r>
        <w:tab/>
        <w:t xml:space="preserve">On January 18, 2011, a hearing on the complaint was held.  The Complainant proceeded unrepresented.  She testified on her own behalf and introduced no exhibits.  The </w:t>
      </w:r>
    </w:p>
    <w:p w:rsidR="00F14A6A" w:rsidRDefault="00F14A6A" w:rsidP="00F14A6A">
      <w:pPr>
        <w:spacing w:line="360" w:lineRule="auto"/>
      </w:pPr>
      <w:r>
        <w:lastRenderedPageBreak/>
        <w:t xml:space="preserve">Respondent was represented by </w:t>
      </w:r>
      <w:proofErr w:type="spellStart"/>
      <w:r>
        <w:t>Tishekia</w:t>
      </w:r>
      <w:proofErr w:type="spellEnd"/>
      <w:r>
        <w:t xml:space="preserve"> Williams, Esquire, who presented the testimony of one witness and introduced six exhibits into the record.   </w:t>
      </w:r>
    </w:p>
    <w:p w:rsidR="00F14A6A" w:rsidRDefault="00F14A6A" w:rsidP="007C6C29">
      <w:pPr>
        <w:spacing w:line="360" w:lineRule="auto"/>
      </w:pPr>
    </w:p>
    <w:p w:rsidR="00F14A6A" w:rsidRDefault="00F14A6A" w:rsidP="00F14A6A">
      <w:pPr>
        <w:spacing w:line="360" w:lineRule="auto"/>
        <w:outlineLvl w:val="0"/>
      </w:pPr>
      <w:r>
        <w:tab/>
      </w:r>
      <w:r>
        <w:tab/>
        <w:t xml:space="preserve">The record closed on January 18, 2011. </w:t>
      </w:r>
    </w:p>
    <w:p w:rsidR="00F14A6A" w:rsidRDefault="00F14A6A" w:rsidP="00F14A6A">
      <w:pPr>
        <w:spacing w:line="360" w:lineRule="auto"/>
        <w:outlineLvl w:val="0"/>
      </w:pPr>
    </w:p>
    <w:p w:rsidR="00F14A6A" w:rsidRDefault="00F14A6A" w:rsidP="00F14A6A">
      <w:pPr>
        <w:spacing w:line="360" w:lineRule="auto"/>
        <w:jc w:val="center"/>
        <w:outlineLvl w:val="0"/>
      </w:pPr>
      <w:r>
        <w:rPr>
          <w:u w:val="single"/>
        </w:rPr>
        <w:t>FINDINGS OF FACT</w:t>
      </w:r>
    </w:p>
    <w:p w:rsidR="00F14A6A" w:rsidRDefault="00F14A6A" w:rsidP="00F14A6A">
      <w:pPr>
        <w:spacing w:line="360" w:lineRule="auto"/>
        <w:jc w:val="center"/>
        <w:outlineLvl w:val="0"/>
      </w:pPr>
    </w:p>
    <w:p w:rsidR="00F14A6A" w:rsidRDefault="00F14A6A" w:rsidP="00F14A6A">
      <w:pPr>
        <w:spacing w:line="360" w:lineRule="auto"/>
        <w:outlineLvl w:val="0"/>
      </w:pPr>
      <w:r>
        <w:tab/>
      </w:r>
      <w:r>
        <w:tab/>
        <w:t>1.</w:t>
      </w:r>
      <w:r>
        <w:tab/>
        <w:t>The Complainant is not the Respondent’</w:t>
      </w:r>
      <w:r w:rsidR="00CE49DF">
        <w:t>s customer, but lives at 312 W. </w:t>
      </w:r>
      <w:r w:rsidR="00AD6FC2">
        <w:t>So</w:t>
      </w:r>
      <w:r>
        <w:t xml:space="preserve">merville Avenue, Philadelphia, PA.  She has benefited from the Respondent’s service since 2005 (N.T. 4, 21; PECO Exhibit 1).   </w:t>
      </w:r>
    </w:p>
    <w:p w:rsidR="00F14A6A" w:rsidRDefault="00F14A6A" w:rsidP="00F14A6A">
      <w:pPr>
        <w:spacing w:line="360" w:lineRule="auto"/>
        <w:outlineLvl w:val="0"/>
      </w:pPr>
    </w:p>
    <w:p w:rsidR="00F14A6A" w:rsidRDefault="00F14A6A" w:rsidP="00F14A6A">
      <w:pPr>
        <w:spacing w:line="360" w:lineRule="auto"/>
        <w:outlineLvl w:val="0"/>
      </w:pPr>
      <w:r>
        <w:tab/>
      </w:r>
      <w:r>
        <w:tab/>
        <w:t>2.</w:t>
      </w:r>
      <w:r>
        <w:tab/>
        <w:t xml:space="preserve">Initially, the service account was in the name of </w:t>
      </w:r>
      <w:proofErr w:type="spellStart"/>
      <w:r>
        <w:t>Jamia</w:t>
      </w:r>
      <w:proofErr w:type="spellEnd"/>
      <w:r>
        <w:t xml:space="preserve"> Spann, the Complainant’s daughter.  She was enrolled in the Respondent’s Customer Assistance Program (CAP) in 2006 (N.T. 29).</w:t>
      </w:r>
    </w:p>
    <w:p w:rsidR="00F14A6A" w:rsidRDefault="00F14A6A" w:rsidP="00F14A6A">
      <w:pPr>
        <w:spacing w:line="360" w:lineRule="auto"/>
        <w:outlineLvl w:val="0"/>
      </w:pPr>
    </w:p>
    <w:p w:rsidR="00F14A6A" w:rsidRDefault="00F14A6A" w:rsidP="00F14A6A">
      <w:pPr>
        <w:spacing w:line="360" w:lineRule="auto"/>
        <w:outlineLvl w:val="0"/>
      </w:pPr>
      <w:r>
        <w:tab/>
      </w:r>
      <w:r>
        <w:tab/>
        <w:t>3.</w:t>
      </w:r>
      <w:r>
        <w:tab/>
        <w:t>In June 2010, the Complainant wanted to pay for her daughter’s account because she has benefited from the Respondent’s service (N.T. 27; PECO Exhibit 3).</w:t>
      </w:r>
    </w:p>
    <w:p w:rsidR="00F14A6A" w:rsidRDefault="00F14A6A" w:rsidP="00F14A6A">
      <w:pPr>
        <w:spacing w:line="360" w:lineRule="auto"/>
        <w:outlineLvl w:val="0"/>
      </w:pPr>
    </w:p>
    <w:p w:rsidR="00F14A6A" w:rsidRDefault="00F14A6A" w:rsidP="00F14A6A">
      <w:pPr>
        <w:spacing w:line="360" w:lineRule="auto"/>
        <w:outlineLvl w:val="0"/>
      </w:pPr>
      <w:r>
        <w:tab/>
      </w:r>
      <w:r>
        <w:tab/>
        <w:t>4.</w:t>
      </w:r>
      <w:r>
        <w:tab/>
        <w:t>The Complainant lives at this address with her son, daughter (</w:t>
      </w:r>
      <w:proofErr w:type="spellStart"/>
      <w:r>
        <w:t>Jamia</w:t>
      </w:r>
      <w:proofErr w:type="spellEnd"/>
      <w:r>
        <w:t xml:space="preserve"> Spann), and </w:t>
      </w:r>
      <w:proofErr w:type="spellStart"/>
      <w:r>
        <w:t>Jamia</w:t>
      </w:r>
      <w:proofErr w:type="spellEnd"/>
      <w:r>
        <w:t xml:space="preserve"> Spann’s two children (N.T. 5).</w:t>
      </w:r>
    </w:p>
    <w:p w:rsidR="00F14A6A" w:rsidRDefault="00F14A6A" w:rsidP="00F14A6A">
      <w:pPr>
        <w:spacing w:line="360" w:lineRule="auto"/>
        <w:outlineLvl w:val="0"/>
      </w:pPr>
    </w:p>
    <w:p w:rsidR="00F14A6A" w:rsidRDefault="00F14A6A" w:rsidP="00F14A6A">
      <w:pPr>
        <w:spacing w:line="360" w:lineRule="auto"/>
        <w:outlineLvl w:val="0"/>
      </w:pPr>
      <w:r>
        <w:tab/>
      </w:r>
      <w:r>
        <w:tab/>
        <w:t>5.</w:t>
      </w:r>
      <w:r>
        <w:tab/>
        <w:t>The Complainant receives $635 for disability benefits.  Her son (age 22) is unemployed.  Her daughter also receives $469 for disability benefits.  The Complainant’s household income is $1,104 a month (N.T. 5-8).</w:t>
      </w:r>
    </w:p>
    <w:p w:rsidR="00F14A6A" w:rsidRDefault="00F14A6A" w:rsidP="00F14A6A">
      <w:pPr>
        <w:spacing w:line="360" w:lineRule="auto"/>
        <w:outlineLvl w:val="0"/>
      </w:pPr>
    </w:p>
    <w:p w:rsidR="00F14A6A" w:rsidRDefault="00F14A6A" w:rsidP="00F14A6A">
      <w:pPr>
        <w:spacing w:line="360" w:lineRule="auto"/>
        <w:outlineLvl w:val="0"/>
      </w:pPr>
      <w:r>
        <w:tab/>
      </w:r>
      <w:r>
        <w:tab/>
        <w:t>6.</w:t>
      </w:r>
      <w:r>
        <w:tab/>
        <w:t xml:space="preserve">The Complainant and </w:t>
      </w:r>
      <w:proofErr w:type="spellStart"/>
      <w:r>
        <w:t>Jamia</w:t>
      </w:r>
      <w:proofErr w:type="spellEnd"/>
      <w:r>
        <w:t xml:space="preserve"> Spann owed the Respondent $7,422.25 by December 20, 2010 (PECO Exhibit 1).    </w:t>
      </w:r>
    </w:p>
    <w:p w:rsidR="00F14A6A" w:rsidRDefault="00F14A6A" w:rsidP="00F14A6A">
      <w:pPr>
        <w:spacing w:line="360" w:lineRule="auto"/>
        <w:outlineLvl w:val="0"/>
      </w:pPr>
    </w:p>
    <w:p w:rsidR="00F14A6A" w:rsidRDefault="00F14A6A" w:rsidP="00F14A6A">
      <w:pPr>
        <w:spacing w:line="360" w:lineRule="auto"/>
        <w:jc w:val="center"/>
        <w:outlineLvl w:val="0"/>
      </w:pPr>
      <w:r>
        <w:rPr>
          <w:u w:val="single"/>
        </w:rPr>
        <w:br w:type="page"/>
      </w:r>
      <w:r>
        <w:rPr>
          <w:u w:val="single"/>
        </w:rPr>
        <w:lastRenderedPageBreak/>
        <w:t>DISCUSSION</w:t>
      </w:r>
    </w:p>
    <w:p w:rsidR="00F14A6A" w:rsidRDefault="00F14A6A" w:rsidP="00F14A6A">
      <w:pPr>
        <w:spacing w:line="360" w:lineRule="auto"/>
        <w:jc w:val="center"/>
      </w:pPr>
    </w:p>
    <w:p w:rsidR="00F14A6A" w:rsidRDefault="00F14A6A" w:rsidP="00F14A6A">
      <w:pPr>
        <w:spacing w:line="360" w:lineRule="auto"/>
      </w:pPr>
      <w:r>
        <w:tab/>
      </w:r>
      <w:r>
        <w:tab/>
        <w:t xml:space="preserve">Section 332(a) of the Public Utility Code, 66 </w:t>
      </w:r>
      <w:smartTag w:uri="urn:schemas-microsoft-com:office:smarttags" w:element="place">
        <w:smartTag w:uri="urn:schemas-microsoft-com:office:smarttags" w:element="State">
          <w:r>
            <w:t>Pa.</w:t>
          </w:r>
        </w:smartTag>
      </w:smartTag>
      <w:r>
        <w:t xml:space="preserve"> C.S. § 332(a),</w:t>
      </w:r>
      <w:r>
        <w:rPr>
          <w:rStyle w:val="FootnoteReference"/>
        </w:rPr>
        <w:footnoteReference w:id="2"/>
      </w:r>
      <w:r>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proofErr w:type="gramStart"/>
      <w:r>
        <w:rPr>
          <w:u w:val="single"/>
        </w:rPr>
        <w:t>Se-Ling Hosiery v. Margulies</w:t>
      </w:r>
      <w:r>
        <w:t>, 364 Pa. 45, 70 A.2d 854 (1950).</w:t>
      </w:r>
      <w:proofErr w:type="gramEnd"/>
      <w:r>
        <w:t xml:space="preserve">  In other words, “preponderance” is not dependent on the number of witnesses testifying on either side but rather on the credibility of the testimony in the light of all the evidence in a case.  </w:t>
      </w:r>
      <w:r>
        <w:rPr>
          <w:u w:val="single"/>
        </w:rPr>
        <w:t>Burch v. Reading Co.</w:t>
      </w:r>
      <w:r>
        <w:t xml:space="preserve">, 240 F.2d 574 (3d Cir. 1957) cert. denied, 353 U.S. 965 (1957).  The Pennsylvania Supreme Court has characterized a preponderance of the evidence as tantamount to a “more likely than not” inquiry.  </w:t>
      </w:r>
      <w:r>
        <w:rPr>
          <w:u w:val="single"/>
        </w:rPr>
        <w:t xml:space="preserve">Commonwealth v. $6,425 Seized From </w:t>
      </w:r>
      <w:proofErr w:type="spellStart"/>
      <w:r>
        <w:rPr>
          <w:u w:val="single"/>
        </w:rPr>
        <w:t>Esquilin</w:t>
      </w:r>
      <w:proofErr w:type="spellEnd"/>
      <w:r>
        <w:t xml:space="preserve">, 583 </w:t>
      </w:r>
      <w:smartTag w:uri="urn:schemas-microsoft-com:office:smarttags" w:element="place">
        <w:smartTag w:uri="urn:schemas-microsoft-com:office:smarttags" w:element="State">
          <w:r>
            <w:t>Pa.</w:t>
          </w:r>
        </w:smartTag>
      </w:smartTag>
      <w:r>
        <w:t xml:space="preserve"> 544, 555, 880 A.2d 523, 529 (2005).</w:t>
      </w:r>
    </w:p>
    <w:p w:rsidR="00F14A6A" w:rsidRDefault="00F14A6A" w:rsidP="00F14A6A">
      <w:pPr>
        <w:spacing w:line="360" w:lineRule="auto"/>
      </w:pPr>
    </w:p>
    <w:p w:rsidR="00F14A6A" w:rsidRDefault="00F14A6A" w:rsidP="00F14A6A">
      <w:pPr>
        <w:spacing w:line="360" w:lineRule="auto"/>
      </w:pPr>
      <w:r>
        <w:tab/>
      </w:r>
      <w:r>
        <w:tab/>
        <w:t xml:space="preserve">Under these principles the Complainant has the burden of proving by a preponderance of the evidence that she is entitled to a payment agreement established by the Commission.  </w:t>
      </w:r>
    </w:p>
    <w:p w:rsidR="00F14A6A" w:rsidRDefault="00F14A6A" w:rsidP="00F14A6A">
      <w:pPr>
        <w:spacing w:line="360" w:lineRule="auto"/>
      </w:pPr>
    </w:p>
    <w:p w:rsidR="00F14A6A" w:rsidRDefault="00F14A6A" w:rsidP="00F14A6A">
      <w:pPr>
        <w:spacing w:line="360" w:lineRule="auto"/>
      </w:pPr>
      <w:r>
        <w:tab/>
      </w:r>
      <w:r>
        <w:tab/>
        <w:t>In part, Section 1405 relating to Payment agreements, and section 1407 relating to Reconnection of service, 66 Pa. C.S. §§1405 and 1407, provide as follows:</w:t>
      </w:r>
    </w:p>
    <w:p w:rsidR="00F14A6A" w:rsidRDefault="00F14A6A" w:rsidP="00F14A6A">
      <w:pPr>
        <w:spacing w:line="360" w:lineRule="auto"/>
      </w:pPr>
    </w:p>
    <w:p w:rsidR="00F14A6A" w:rsidRDefault="00F14A6A" w:rsidP="00F14A6A">
      <w:pPr>
        <w:ind w:left="1440" w:right="1440"/>
      </w:pPr>
      <w:r>
        <w:t xml:space="preserve">    (b)  </w:t>
      </w:r>
      <w:r>
        <w:rPr>
          <w:b/>
        </w:rPr>
        <w:t>Length of payment agreements.</w:t>
      </w:r>
      <w:r>
        <w:t xml:space="preserve"> – The length of time for a customer to resolve an unpaid balance on an account that is subject to a payment agreement that is investigated by the commission and is entered into by a public utility and a customer shall not extend beyond:</w:t>
      </w:r>
    </w:p>
    <w:p w:rsidR="00F14A6A" w:rsidRDefault="00F14A6A" w:rsidP="00F14A6A">
      <w:pPr>
        <w:ind w:left="1440" w:right="1440"/>
      </w:pPr>
    </w:p>
    <w:p w:rsidR="00F14A6A" w:rsidRDefault="00F14A6A" w:rsidP="00F14A6A">
      <w:pPr>
        <w:ind w:left="2160" w:right="1440"/>
      </w:pPr>
      <w:r>
        <w:t xml:space="preserve">    (1)  Five years for customers with a gross monthly household income level not exceeding 150% of the Federal poverty level.  </w:t>
      </w:r>
    </w:p>
    <w:p w:rsidR="00F14A6A" w:rsidRDefault="00F14A6A" w:rsidP="00F14A6A">
      <w:pPr>
        <w:ind w:left="1440" w:right="1440"/>
      </w:pPr>
      <w:r>
        <w:lastRenderedPageBreak/>
        <w:t xml:space="preserve">    (c)  </w:t>
      </w:r>
      <w:r>
        <w:rPr>
          <w:b/>
        </w:rPr>
        <w:t xml:space="preserve">Customer assistance program. </w:t>
      </w:r>
      <w:r>
        <w:t>– Customer assistance program rates shall be timely paid and shall not be the subject of payment agreements negotiated or approved by the commission.  66 Pa. C.S. §1405(b</w:t>
      </w:r>
      <w:proofErr w:type="gramStart"/>
      <w:r>
        <w:t>)(</w:t>
      </w:r>
      <w:proofErr w:type="gramEnd"/>
      <w:r>
        <w:t>1) and (c).</w:t>
      </w:r>
    </w:p>
    <w:p w:rsidR="00F14A6A" w:rsidRDefault="00F14A6A" w:rsidP="00F14A6A">
      <w:pPr>
        <w:ind w:left="2160" w:right="1440"/>
      </w:pPr>
    </w:p>
    <w:p w:rsidR="00F14A6A" w:rsidRDefault="00F14A6A" w:rsidP="00F14A6A">
      <w:pPr>
        <w:ind w:left="1440" w:right="1440"/>
        <w:jc w:val="center"/>
      </w:pPr>
      <w:r>
        <w:t>*</w:t>
      </w:r>
      <w:r>
        <w:tab/>
        <w:t>*</w:t>
      </w:r>
      <w:r>
        <w:tab/>
        <w:t>*</w:t>
      </w:r>
    </w:p>
    <w:p w:rsidR="00F14A6A" w:rsidRDefault="00F14A6A" w:rsidP="00F14A6A">
      <w:pPr>
        <w:ind w:left="2160" w:right="1440"/>
        <w:jc w:val="center"/>
      </w:pPr>
    </w:p>
    <w:p w:rsidR="00F14A6A" w:rsidRDefault="00F14A6A" w:rsidP="00F14A6A">
      <w:pPr>
        <w:ind w:left="1440" w:right="1440"/>
      </w:pPr>
      <w:r>
        <w:t xml:space="preserve">    (d)  </w:t>
      </w:r>
      <w:r>
        <w:rPr>
          <w:b/>
        </w:rPr>
        <w:t>Payment of outstanding balance at premises.</w:t>
      </w:r>
      <w:r>
        <w:t xml:space="preserve"> – A public utility may also require the payment of any outstanding balance and portion of an outstanding balance if the applicant resided at the property for which service is requested during the time the outstanding balance accrued and for the time the applicant resided there.  </w:t>
      </w:r>
      <w:proofErr w:type="gramStart"/>
      <w:r>
        <w:t>66 Pa. Code §1407(d).</w:t>
      </w:r>
      <w:proofErr w:type="gramEnd"/>
    </w:p>
    <w:p w:rsidR="00F14A6A" w:rsidRDefault="00F14A6A" w:rsidP="00F14A6A">
      <w:pPr>
        <w:ind w:left="1440" w:right="1440"/>
      </w:pPr>
    </w:p>
    <w:p w:rsidR="00F14A6A" w:rsidRDefault="00F14A6A" w:rsidP="00F14A6A">
      <w:pPr>
        <w:ind w:left="1440" w:right="1440"/>
      </w:pPr>
    </w:p>
    <w:p w:rsidR="00F14A6A" w:rsidRDefault="00F14A6A" w:rsidP="00F14A6A">
      <w:pPr>
        <w:spacing w:line="360" w:lineRule="auto"/>
      </w:pPr>
      <w:r>
        <w:tab/>
      </w:r>
      <w:r>
        <w:tab/>
        <w:t xml:space="preserve">Under these provisions, a customer of the CAP program is not entitled to a payment agreement established by the Commission.  Further, a customer with a gross monthly household income level not exceeding 150% of the Federal poverty level is entitled to resolve the unpaid balance in five years.  Finally, an applicant may be required to pay for any outstanding balance if the applicant resided at the property during the time the outstanding balance accrued and the applicant resided there.  </w:t>
      </w:r>
    </w:p>
    <w:p w:rsidR="00F14A6A" w:rsidRDefault="00F14A6A" w:rsidP="00F14A6A">
      <w:pPr>
        <w:spacing w:line="360" w:lineRule="auto"/>
      </w:pPr>
    </w:p>
    <w:p w:rsidR="00F14A6A" w:rsidRDefault="00F14A6A" w:rsidP="00F14A6A">
      <w:pPr>
        <w:spacing w:line="360" w:lineRule="auto"/>
      </w:pPr>
      <w:r>
        <w:tab/>
      </w:r>
      <w:r>
        <w:tab/>
        <w:t xml:space="preserve">At the hearing, the Complainant did not deny that she has benefited from the Respondent’s </w:t>
      </w:r>
      <w:proofErr w:type="gramStart"/>
      <w:r>
        <w:t>service, that</w:t>
      </w:r>
      <w:proofErr w:type="gramEnd"/>
      <w:r>
        <w:t xml:space="preserve"> she wanted to pay for that benefit, but that she is not a member of the Respondent’s CAP program.</w:t>
      </w:r>
    </w:p>
    <w:p w:rsidR="00F14A6A" w:rsidRDefault="00F14A6A" w:rsidP="00F14A6A">
      <w:pPr>
        <w:spacing w:line="360" w:lineRule="auto"/>
      </w:pPr>
    </w:p>
    <w:p w:rsidR="00F14A6A" w:rsidRDefault="00F14A6A" w:rsidP="00F14A6A">
      <w:pPr>
        <w:spacing w:line="360" w:lineRule="auto"/>
      </w:pPr>
      <w:r>
        <w:tab/>
      </w:r>
      <w:r>
        <w:tab/>
        <w:t xml:space="preserve">The Respondent testified that, initially, the service account was in the name of </w:t>
      </w:r>
      <w:proofErr w:type="spellStart"/>
      <w:r>
        <w:t>Jamia</w:t>
      </w:r>
      <w:proofErr w:type="spellEnd"/>
      <w:r>
        <w:t xml:space="preserve"> Spann, and that in 2006, Ms. Spann enrolled in the Respondent’s CAP program.  It also testified that since June 2010, the Complainant has wanted to take over the account because she benefited from the service, and that both the Complainant and </w:t>
      </w:r>
      <w:proofErr w:type="spellStart"/>
      <w:r>
        <w:t>Jamia</w:t>
      </w:r>
      <w:proofErr w:type="spellEnd"/>
      <w:r>
        <w:t xml:space="preserve"> Spann are responsible for the account.  Because the account is under both names, they are both under the CAP program</w:t>
      </w:r>
      <w:r w:rsidR="008E7F18">
        <w:t xml:space="preserve"> according to Respondent</w:t>
      </w:r>
      <w:r>
        <w:t>.</w:t>
      </w:r>
    </w:p>
    <w:p w:rsidR="00F14A6A" w:rsidRDefault="00F14A6A" w:rsidP="00F14A6A">
      <w:pPr>
        <w:spacing w:line="360" w:lineRule="auto"/>
      </w:pPr>
    </w:p>
    <w:p w:rsidR="00F14A6A" w:rsidRDefault="00F14A6A" w:rsidP="00F14A6A">
      <w:pPr>
        <w:spacing w:line="360" w:lineRule="auto"/>
      </w:pPr>
      <w:r>
        <w:tab/>
      </w:r>
      <w:r>
        <w:tab/>
        <w:t xml:space="preserve">From the testimony above, the Complainant is </w:t>
      </w:r>
      <w:r w:rsidR="008E7F18">
        <w:t>not a member of the CAP program.</w:t>
      </w:r>
      <w:r>
        <w:t xml:space="preserve">  Nowhere</w:t>
      </w:r>
      <w:r w:rsidR="008E7F18">
        <w:t xml:space="preserve"> in the Code does it say that an </w:t>
      </w:r>
      <w:proofErr w:type="gramStart"/>
      <w:r w:rsidR="008E7F18">
        <w:t>applicant</w:t>
      </w:r>
      <w:proofErr w:type="gramEnd"/>
      <w:r w:rsidR="008E7F18">
        <w:t xml:space="preserve"> </w:t>
      </w:r>
      <w:r>
        <w:t xml:space="preserve">who is required to </w:t>
      </w:r>
      <w:r w:rsidR="008E7F18">
        <w:t>pay another</w:t>
      </w:r>
      <w:r>
        <w:t xml:space="preserve"> customer’s outstanding balance</w:t>
      </w:r>
      <w:r w:rsidR="008E7F18">
        <w:t>,</w:t>
      </w:r>
      <w:r>
        <w:t xml:space="preserve"> is also </w:t>
      </w:r>
      <w:r w:rsidR="008E7F18">
        <w:t>enrolled in</w:t>
      </w:r>
      <w:r>
        <w:t xml:space="preserve"> CAP</w:t>
      </w:r>
      <w:r w:rsidR="008E7F18">
        <w:t>.</w:t>
      </w:r>
    </w:p>
    <w:p w:rsidR="00F14A6A" w:rsidRDefault="00F14A6A" w:rsidP="00F14A6A">
      <w:pPr>
        <w:spacing w:line="360" w:lineRule="auto"/>
      </w:pPr>
      <w:r>
        <w:lastRenderedPageBreak/>
        <w:tab/>
      </w:r>
      <w:r>
        <w:tab/>
        <w:t xml:space="preserve">The Complainant’s household income is $1,104 a month or $13,248 a year ($1,104 x 12).  With the family size of five, she is entitled to an agreement negotiated or approved by the Commission to pay the unpaid balance of $7,442.25 in five years or $124.03 a month ($7,442.25/12 x 5).  </w:t>
      </w:r>
      <w:r>
        <w:rPr>
          <w:u w:val="single"/>
        </w:rPr>
        <w:t>See</w:t>
      </w:r>
      <w:r>
        <w:t xml:space="preserve"> Federal Register, Vol. 73, No. 13, January 20, 2011, pp. 3637-3638.</w:t>
      </w:r>
    </w:p>
    <w:p w:rsidR="00F14A6A" w:rsidRDefault="00F14A6A" w:rsidP="00F14A6A">
      <w:pPr>
        <w:spacing w:line="360" w:lineRule="auto"/>
      </w:pPr>
    </w:p>
    <w:p w:rsidR="00F14A6A" w:rsidRDefault="00F14A6A" w:rsidP="00F14A6A">
      <w:pPr>
        <w:spacing w:line="360" w:lineRule="auto"/>
        <w:jc w:val="center"/>
        <w:outlineLvl w:val="0"/>
      </w:pPr>
      <w:r>
        <w:rPr>
          <w:u w:val="single"/>
        </w:rPr>
        <w:t>CONCLUSIONS OF LAW</w:t>
      </w:r>
    </w:p>
    <w:p w:rsidR="00F14A6A" w:rsidRDefault="00F14A6A" w:rsidP="00F14A6A">
      <w:pPr>
        <w:spacing w:line="360" w:lineRule="auto"/>
        <w:jc w:val="center"/>
      </w:pPr>
    </w:p>
    <w:p w:rsidR="00F14A6A" w:rsidRDefault="00F14A6A" w:rsidP="00F14A6A">
      <w:pPr>
        <w:spacing w:line="360" w:lineRule="auto"/>
      </w:pPr>
      <w:r>
        <w:tab/>
      </w:r>
      <w:r>
        <w:tab/>
        <w:t>1.</w:t>
      </w:r>
      <w:r>
        <w:tab/>
        <w:t>The Commission has jurisdiction over the parties and the subject matter of the complaint.</w:t>
      </w:r>
    </w:p>
    <w:p w:rsidR="00F14A6A" w:rsidRDefault="00F14A6A" w:rsidP="00F14A6A">
      <w:pPr>
        <w:spacing w:line="360" w:lineRule="auto"/>
      </w:pPr>
    </w:p>
    <w:p w:rsidR="00F14A6A" w:rsidRDefault="00F14A6A" w:rsidP="00F14A6A">
      <w:pPr>
        <w:spacing w:line="360" w:lineRule="auto"/>
      </w:pPr>
      <w:r>
        <w:tab/>
      </w:r>
      <w:r>
        <w:tab/>
        <w:t>2.</w:t>
      </w:r>
      <w:r>
        <w:tab/>
        <w:t xml:space="preserve">A member of a CAP program is not the same as an applicant who is required to pay for the service the applicant receives at a property during the time the service was provided and the applicant resided there.  </w:t>
      </w:r>
      <w:proofErr w:type="gramStart"/>
      <w:r>
        <w:t>66 Pa. C.S. §1407(d).</w:t>
      </w:r>
      <w:proofErr w:type="gramEnd"/>
    </w:p>
    <w:p w:rsidR="00F14A6A" w:rsidRDefault="00F14A6A" w:rsidP="00F14A6A">
      <w:pPr>
        <w:spacing w:line="360" w:lineRule="auto"/>
      </w:pPr>
    </w:p>
    <w:p w:rsidR="00F14A6A" w:rsidRDefault="00F14A6A" w:rsidP="00F14A6A">
      <w:pPr>
        <w:spacing w:line="360" w:lineRule="auto"/>
      </w:pPr>
      <w:r>
        <w:tab/>
      </w:r>
      <w:r>
        <w:tab/>
        <w:t>3.</w:t>
      </w:r>
      <w:r>
        <w:tab/>
        <w:t xml:space="preserve">The Complainant is entitled to resolve her unpaid balance in five years because her household income is below 150% of the Federal poverty level.  </w:t>
      </w:r>
      <w:proofErr w:type="gramStart"/>
      <w:r>
        <w:t>66 Pa. C.S. §1405(b).</w:t>
      </w:r>
      <w:proofErr w:type="gramEnd"/>
    </w:p>
    <w:p w:rsidR="00F14A6A" w:rsidRDefault="00F14A6A" w:rsidP="00F14A6A">
      <w:pPr>
        <w:spacing w:line="360" w:lineRule="auto"/>
      </w:pPr>
    </w:p>
    <w:p w:rsidR="00F14A6A" w:rsidRDefault="00F14A6A" w:rsidP="00F14A6A">
      <w:pPr>
        <w:spacing w:line="360" w:lineRule="auto"/>
        <w:jc w:val="center"/>
        <w:outlineLvl w:val="0"/>
      </w:pPr>
      <w:r>
        <w:rPr>
          <w:u w:val="single"/>
        </w:rPr>
        <w:t>ORDER</w:t>
      </w:r>
    </w:p>
    <w:p w:rsidR="00F14A6A" w:rsidRDefault="00F14A6A" w:rsidP="00F14A6A">
      <w:pPr>
        <w:spacing w:line="360" w:lineRule="auto"/>
        <w:jc w:val="center"/>
      </w:pPr>
    </w:p>
    <w:p w:rsidR="00F14A6A" w:rsidRDefault="00F14A6A" w:rsidP="00F14A6A">
      <w:pPr>
        <w:spacing w:line="360" w:lineRule="auto"/>
      </w:pPr>
      <w:r>
        <w:tab/>
      </w:r>
      <w:r>
        <w:tab/>
        <w:t>THEREFORE,</w:t>
      </w:r>
    </w:p>
    <w:p w:rsidR="00F14A6A" w:rsidRDefault="00F14A6A" w:rsidP="00F14A6A">
      <w:pPr>
        <w:spacing w:line="360" w:lineRule="auto"/>
      </w:pPr>
    </w:p>
    <w:p w:rsidR="00F14A6A" w:rsidRDefault="00F14A6A" w:rsidP="00F14A6A">
      <w:pPr>
        <w:spacing w:line="360" w:lineRule="auto"/>
        <w:outlineLvl w:val="0"/>
      </w:pPr>
      <w:r>
        <w:tab/>
      </w:r>
      <w:r>
        <w:tab/>
        <w:t>IT IS ORDERED:</w:t>
      </w:r>
    </w:p>
    <w:p w:rsidR="00F14A6A" w:rsidRDefault="00F14A6A" w:rsidP="00F14A6A">
      <w:pPr>
        <w:spacing w:line="360" w:lineRule="auto"/>
      </w:pPr>
    </w:p>
    <w:p w:rsidR="00F14A6A" w:rsidRDefault="00F14A6A" w:rsidP="00F14A6A">
      <w:pPr>
        <w:spacing w:line="360" w:lineRule="auto"/>
      </w:pPr>
      <w:r>
        <w:tab/>
      </w:r>
      <w:r>
        <w:tab/>
        <w:t>1.</w:t>
      </w:r>
      <w:r>
        <w:tab/>
        <w:t>That the complaint of Renee C. Ogilvie against PECO Energy Company at Docket No. C-2010-2195490 is sustained.</w:t>
      </w:r>
    </w:p>
    <w:p w:rsidR="00F14A6A" w:rsidRDefault="00F14A6A" w:rsidP="00F14A6A">
      <w:pPr>
        <w:spacing w:line="360" w:lineRule="auto"/>
      </w:pPr>
    </w:p>
    <w:p w:rsidR="00F14A6A" w:rsidRDefault="00F14A6A" w:rsidP="00F14A6A">
      <w:pPr>
        <w:spacing w:line="360" w:lineRule="auto"/>
      </w:pPr>
      <w:r>
        <w:tab/>
      </w:r>
      <w:r>
        <w:tab/>
        <w:t>2.</w:t>
      </w:r>
      <w:r>
        <w:tab/>
        <w:t>That the Complainant shall pay monthly the current bill and $124.03 on the arrearage until the arrearage is paid in full.</w:t>
      </w:r>
    </w:p>
    <w:p w:rsidR="00F14A6A" w:rsidRDefault="00F14A6A" w:rsidP="00F14A6A">
      <w:pPr>
        <w:spacing w:line="360" w:lineRule="auto"/>
      </w:pPr>
    </w:p>
    <w:p w:rsidR="00F14A6A" w:rsidRDefault="00F14A6A" w:rsidP="00F14A6A">
      <w:pPr>
        <w:spacing w:line="360" w:lineRule="auto"/>
      </w:pPr>
      <w:r>
        <w:lastRenderedPageBreak/>
        <w:tab/>
      </w:r>
      <w:r>
        <w:tab/>
        <w:t>3.</w:t>
      </w:r>
      <w:r>
        <w:tab/>
        <w:t xml:space="preserve">That if the Complainant adheres to the terms of this Order, the Respondent shall neither assess any late payment charges nor </w:t>
      </w:r>
      <w:proofErr w:type="gramStart"/>
      <w:r>
        <w:t>terminate</w:t>
      </w:r>
      <w:proofErr w:type="gramEnd"/>
      <w:r>
        <w:t xml:space="preserve"> service to the Complainant except for valid safety or emergency reasons.</w:t>
      </w:r>
    </w:p>
    <w:p w:rsidR="00F14A6A" w:rsidRDefault="00F14A6A" w:rsidP="00F14A6A">
      <w:pPr>
        <w:spacing w:line="360" w:lineRule="auto"/>
      </w:pPr>
    </w:p>
    <w:p w:rsidR="00F14A6A" w:rsidRDefault="00F14A6A" w:rsidP="00F14A6A">
      <w:pPr>
        <w:spacing w:line="360" w:lineRule="auto"/>
      </w:pPr>
      <w:r>
        <w:tab/>
      </w:r>
      <w:r>
        <w:tab/>
        <w:t>4.</w:t>
      </w:r>
      <w:r>
        <w:tab/>
        <w:t>That if the Complainant fails to adhere to the terms of this Order, the Respondent is authorized to terminate the Complainant’s service under the provisions of 52 Pa. Code Chapter 56.</w:t>
      </w:r>
    </w:p>
    <w:p w:rsidR="00F14A6A" w:rsidRDefault="00F14A6A" w:rsidP="00F14A6A">
      <w:pPr>
        <w:spacing w:line="360" w:lineRule="auto"/>
      </w:pPr>
    </w:p>
    <w:p w:rsidR="00F14A6A" w:rsidRDefault="00F14A6A" w:rsidP="00F14A6A">
      <w:pPr>
        <w:spacing w:line="360" w:lineRule="auto"/>
      </w:pPr>
    </w:p>
    <w:p w:rsidR="00F14A6A" w:rsidRDefault="00F14A6A" w:rsidP="00F14A6A"/>
    <w:p w:rsidR="00F14A6A" w:rsidRDefault="00F14A6A" w:rsidP="00F14A6A">
      <w:r>
        <w:t>Date:</w:t>
      </w:r>
      <w:r>
        <w:tab/>
      </w:r>
      <w:r>
        <w:rPr>
          <w:u w:val="single"/>
        </w:rPr>
        <w:t>February 10, 2011</w:t>
      </w:r>
      <w:r>
        <w:tab/>
      </w:r>
      <w:r>
        <w:tab/>
      </w:r>
      <w:r w:rsidR="0089619F">
        <w:tab/>
      </w:r>
      <w:r w:rsidR="0089619F">
        <w:tab/>
      </w:r>
      <w:r>
        <w:t>____________________________________</w:t>
      </w:r>
    </w:p>
    <w:p w:rsidR="00F14A6A" w:rsidRDefault="00F14A6A" w:rsidP="00F14A6A">
      <w:r>
        <w:tab/>
      </w:r>
      <w:r>
        <w:tab/>
      </w:r>
      <w:r>
        <w:tab/>
      </w:r>
      <w:r>
        <w:tab/>
      </w:r>
      <w:r>
        <w:tab/>
      </w:r>
      <w:r>
        <w:tab/>
      </w:r>
      <w:r>
        <w:tab/>
      </w:r>
      <w:proofErr w:type="gramStart"/>
      <w:r>
        <w:t>Ky</w:t>
      </w:r>
      <w:proofErr w:type="gramEnd"/>
      <w:r>
        <w:t xml:space="preserve"> Van Nguyen</w:t>
      </w:r>
    </w:p>
    <w:p w:rsidR="00F14A6A" w:rsidRDefault="00F14A6A" w:rsidP="00F14A6A">
      <w:r>
        <w:tab/>
      </w:r>
      <w:r>
        <w:tab/>
      </w:r>
      <w:r>
        <w:tab/>
      </w:r>
      <w:r>
        <w:tab/>
      </w:r>
      <w:r>
        <w:tab/>
      </w:r>
      <w:r>
        <w:tab/>
      </w:r>
      <w:r>
        <w:tab/>
        <w:t xml:space="preserve">Administrative Law Judge  </w:t>
      </w:r>
    </w:p>
    <w:p w:rsidR="00F14A6A" w:rsidRDefault="00F14A6A" w:rsidP="0089619F">
      <w:pPr>
        <w:tabs>
          <w:tab w:val="center" w:pos="4752"/>
        </w:tabs>
        <w:suppressAutoHyphens/>
        <w:rPr>
          <w:kern w:val="2"/>
        </w:rPr>
      </w:pPr>
      <w:r>
        <w:rPr>
          <w:b/>
          <w:kern w:val="2"/>
        </w:rPr>
        <w:tab/>
      </w:r>
      <w:r>
        <w:rPr>
          <w:kern w:val="2"/>
        </w:rPr>
        <w:t xml:space="preserve"> </w:t>
      </w:r>
    </w:p>
    <w:p w:rsidR="00F14A6A" w:rsidRDefault="00F14A6A" w:rsidP="00F14A6A">
      <w:pPr>
        <w:rPr>
          <w:b/>
        </w:rPr>
      </w:pPr>
    </w:p>
    <w:sectPr w:rsidR="00F14A6A" w:rsidSect="00F14A6A">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998" w:rsidRDefault="00AD0998">
      <w:r>
        <w:separator/>
      </w:r>
    </w:p>
  </w:endnote>
  <w:endnote w:type="continuationSeparator" w:id="0">
    <w:p w:rsidR="00AD0998" w:rsidRDefault="00AD0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BA" w:rsidRPr="002A4ABA" w:rsidRDefault="005A48C2">
    <w:pPr>
      <w:pStyle w:val="Footer"/>
      <w:jc w:val="center"/>
      <w:rPr>
        <w:sz w:val="20"/>
        <w:szCs w:val="20"/>
      </w:rPr>
    </w:pPr>
    <w:r w:rsidRPr="002A4ABA">
      <w:rPr>
        <w:sz w:val="20"/>
        <w:szCs w:val="20"/>
      </w:rPr>
      <w:fldChar w:fldCharType="begin"/>
    </w:r>
    <w:r w:rsidR="002A4ABA" w:rsidRPr="002A4ABA">
      <w:rPr>
        <w:sz w:val="20"/>
        <w:szCs w:val="20"/>
      </w:rPr>
      <w:instrText xml:space="preserve"> PAGE   \* MERGEFORMAT </w:instrText>
    </w:r>
    <w:r w:rsidRPr="002A4ABA">
      <w:rPr>
        <w:sz w:val="20"/>
        <w:szCs w:val="20"/>
      </w:rPr>
      <w:fldChar w:fldCharType="separate"/>
    </w:r>
    <w:r w:rsidR="00AD6FC2">
      <w:rPr>
        <w:noProof/>
        <w:sz w:val="20"/>
        <w:szCs w:val="20"/>
      </w:rPr>
      <w:t>6</w:t>
    </w:r>
    <w:r w:rsidRPr="002A4ABA">
      <w:rPr>
        <w:sz w:val="20"/>
        <w:szCs w:val="20"/>
      </w:rPr>
      <w:fldChar w:fldCharType="end"/>
    </w:r>
  </w:p>
  <w:p w:rsidR="002A4ABA" w:rsidRDefault="002A4A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BA" w:rsidRPr="002A4ABA" w:rsidRDefault="005A48C2">
    <w:pPr>
      <w:pStyle w:val="Footer"/>
      <w:jc w:val="center"/>
      <w:rPr>
        <w:sz w:val="20"/>
        <w:szCs w:val="20"/>
      </w:rPr>
    </w:pPr>
    <w:r w:rsidRPr="002A4ABA">
      <w:rPr>
        <w:sz w:val="20"/>
        <w:szCs w:val="20"/>
      </w:rPr>
      <w:fldChar w:fldCharType="begin"/>
    </w:r>
    <w:r w:rsidR="002A4ABA" w:rsidRPr="002A4ABA">
      <w:rPr>
        <w:sz w:val="20"/>
        <w:szCs w:val="20"/>
      </w:rPr>
      <w:instrText xml:space="preserve"> PAGE   \* MERGEFORMAT </w:instrText>
    </w:r>
    <w:r w:rsidRPr="002A4ABA">
      <w:rPr>
        <w:sz w:val="20"/>
        <w:szCs w:val="20"/>
      </w:rPr>
      <w:fldChar w:fldCharType="separate"/>
    </w:r>
    <w:r w:rsidR="00AD6FC2">
      <w:rPr>
        <w:noProof/>
        <w:sz w:val="20"/>
        <w:szCs w:val="20"/>
      </w:rPr>
      <w:t>2</w:t>
    </w:r>
    <w:r w:rsidRPr="002A4ABA">
      <w:rPr>
        <w:sz w:val="20"/>
        <w:szCs w:val="20"/>
      </w:rPr>
      <w:fldChar w:fldCharType="end"/>
    </w:r>
  </w:p>
  <w:p w:rsidR="002A4ABA" w:rsidRDefault="002A4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998" w:rsidRDefault="00AD0998">
      <w:r>
        <w:separator/>
      </w:r>
    </w:p>
  </w:footnote>
  <w:footnote w:type="continuationSeparator" w:id="0">
    <w:p w:rsidR="00AD0998" w:rsidRDefault="00AD0998">
      <w:r>
        <w:continuationSeparator/>
      </w:r>
    </w:p>
  </w:footnote>
  <w:footnote w:id="1">
    <w:p w:rsidR="002A4ABA" w:rsidRDefault="002A4ABA" w:rsidP="00F14A6A">
      <w:pPr>
        <w:pStyle w:val="FootnoteText"/>
      </w:pPr>
      <w:r>
        <w:rPr>
          <w:rStyle w:val="FootnoteReference"/>
        </w:rPr>
        <w:footnoteRef/>
      </w:r>
      <w:r>
        <w:t xml:space="preserve"> </w:t>
      </w:r>
      <w:r>
        <w:tab/>
        <w:t xml:space="preserve">The Complainant’s name is Renee C. Ogilvie.  Spann is the name of her daughter, </w:t>
      </w:r>
      <w:proofErr w:type="spellStart"/>
      <w:r>
        <w:t>Jamia</w:t>
      </w:r>
      <w:proofErr w:type="spellEnd"/>
      <w:r>
        <w:t xml:space="preserve"> Spann.</w:t>
      </w:r>
    </w:p>
  </w:footnote>
  <w:footnote w:id="2">
    <w:p w:rsidR="002A4ABA" w:rsidRDefault="002A4ABA" w:rsidP="00F14A6A">
      <w:pPr>
        <w:pStyle w:val="FootnoteText"/>
      </w:pPr>
      <w:r>
        <w:rPr>
          <w:rStyle w:val="FootnoteReference"/>
        </w:rPr>
        <w:footnoteRef/>
      </w:r>
      <w:r>
        <w:t xml:space="preserve"> </w:t>
      </w:r>
      <w:r>
        <w:tab/>
        <w:t>Section 332(a) of the Public Utility Code provides:</w:t>
      </w:r>
    </w:p>
    <w:p w:rsidR="002A4ABA" w:rsidRDefault="002A4ABA" w:rsidP="00F14A6A">
      <w:pPr>
        <w:pStyle w:val="FootnoteText"/>
      </w:pPr>
    </w:p>
    <w:p w:rsidR="002A4ABA" w:rsidRDefault="002A4ABA" w:rsidP="00F14A6A">
      <w:pPr>
        <w:pStyle w:val="FootnoteText"/>
        <w:ind w:left="1440" w:right="1080" w:hanging="720"/>
      </w:pPr>
      <w:r>
        <w:tab/>
        <w:t xml:space="preserve">(a)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p w:rsidR="002A4ABA" w:rsidRDefault="002A4ABA" w:rsidP="00F14A6A">
      <w:pPr>
        <w:pStyle w:val="FootnoteText"/>
        <w:ind w:left="1440" w:hanging="7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ABA" w:rsidRDefault="002A4A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66649"/>
    <w:rsid w:val="00000C7B"/>
    <w:rsid w:val="00023256"/>
    <w:rsid w:val="00024EC7"/>
    <w:rsid w:val="00053E56"/>
    <w:rsid w:val="00063B19"/>
    <w:rsid w:val="00072E0A"/>
    <w:rsid w:val="000730D9"/>
    <w:rsid w:val="00082943"/>
    <w:rsid w:val="00085B81"/>
    <w:rsid w:val="0009511C"/>
    <w:rsid w:val="00095DFE"/>
    <w:rsid w:val="000A069C"/>
    <w:rsid w:val="000A1F60"/>
    <w:rsid w:val="000C0419"/>
    <w:rsid w:val="000E20CA"/>
    <w:rsid w:val="000F1AE3"/>
    <w:rsid w:val="000F5051"/>
    <w:rsid w:val="00106A7E"/>
    <w:rsid w:val="00110F7A"/>
    <w:rsid w:val="00117AA9"/>
    <w:rsid w:val="001A6CA2"/>
    <w:rsid w:val="001B02D9"/>
    <w:rsid w:val="001B1CB6"/>
    <w:rsid w:val="001D66BF"/>
    <w:rsid w:val="001F4CE0"/>
    <w:rsid w:val="00200ED3"/>
    <w:rsid w:val="00204FC5"/>
    <w:rsid w:val="00211D63"/>
    <w:rsid w:val="002154E0"/>
    <w:rsid w:val="00217D93"/>
    <w:rsid w:val="00263EF2"/>
    <w:rsid w:val="00265AA2"/>
    <w:rsid w:val="00265CF3"/>
    <w:rsid w:val="0027243B"/>
    <w:rsid w:val="00284723"/>
    <w:rsid w:val="002A4AA5"/>
    <w:rsid w:val="002A4ABA"/>
    <w:rsid w:val="002A5E60"/>
    <w:rsid w:val="002B0009"/>
    <w:rsid w:val="002B4B19"/>
    <w:rsid w:val="002C2CD7"/>
    <w:rsid w:val="002D46D8"/>
    <w:rsid w:val="002E444A"/>
    <w:rsid w:val="002F2B92"/>
    <w:rsid w:val="00332934"/>
    <w:rsid w:val="003504D4"/>
    <w:rsid w:val="00387C83"/>
    <w:rsid w:val="00397773"/>
    <w:rsid w:val="003D2A5D"/>
    <w:rsid w:val="003D61FB"/>
    <w:rsid w:val="003E26AD"/>
    <w:rsid w:val="003F1E89"/>
    <w:rsid w:val="00424758"/>
    <w:rsid w:val="00424B11"/>
    <w:rsid w:val="004462BC"/>
    <w:rsid w:val="0046034C"/>
    <w:rsid w:val="00464561"/>
    <w:rsid w:val="00481589"/>
    <w:rsid w:val="004817F2"/>
    <w:rsid w:val="0048598D"/>
    <w:rsid w:val="004920C5"/>
    <w:rsid w:val="004A2065"/>
    <w:rsid w:val="004A4652"/>
    <w:rsid w:val="004B22BA"/>
    <w:rsid w:val="004D1B7A"/>
    <w:rsid w:val="004D614F"/>
    <w:rsid w:val="004E1A35"/>
    <w:rsid w:val="00506B46"/>
    <w:rsid w:val="005145AF"/>
    <w:rsid w:val="00566649"/>
    <w:rsid w:val="00574AF2"/>
    <w:rsid w:val="0059440C"/>
    <w:rsid w:val="005A48C2"/>
    <w:rsid w:val="005C3105"/>
    <w:rsid w:val="005C53AB"/>
    <w:rsid w:val="005D6007"/>
    <w:rsid w:val="005E4500"/>
    <w:rsid w:val="005E53AB"/>
    <w:rsid w:val="00612CC7"/>
    <w:rsid w:val="0063755C"/>
    <w:rsid w:val="0064302F"/>
    <w:rsid w:val="00650A8B"/>
    <w:rsid w:val="00695410"/>
    <w:rsid w:val="006E448E"/>
    <w:rsid w:val="006E70AC"/>
    <w:rsid w:val="00727B25"/>
    <w:rsid w:val="00740C01"/>
    <w:rsid w:val="00740E89"/>
    <w:rsid w:val="00743952"/>
    <w:rsid w:val="00765622"/>
    <w:rsid w:val="00774A6E"/>
    <w:rsid w:val="007C6C29"/>
    <w:rsid w:val="007D7F5F"/>
    <w:rsid w:val="007E381F"/>
    <w:rsid w:val="007E3E0E"/>
    <w:rsid w:val="007F2D4C"/>
    <w:rsid w:val="0080040F"/>
    <w:rsid w:val="00881CB1"/>
    <w:rsid w:val="0089619F"/>
    <w:rsid w:val="008A6D98"/>
    <w:rsid w:val="008D05A8"/>
    <w:rsid w:val="008D1350"/>
    <w:rsid w:val="008E7F18"/>
    <w:rsid w:val="008F0BC9"/>
    <w:rsid w:val="00937D2A"/>
    <w:rsid w:val="009C4339"/>
    <w:rsid w:val="009C6AF5"/>
    <w:rsid w:val="009E60BA"/>
    <w:rsid w:val="009E70A4"/>
    <w:rsid w:val="009F3F50"/>
    <w:rsid w:val="00A0659F"/>
    <w:rsid w:val="00A134EB"/>
    <w:rsid w:val="00A34955"/>
    <w:rsid w:val="00A553AB"/>
    <w:rsid w:val="00A80614"/>
    <w:rsid w:val="00A95039"/>
    <w:rsid w:val="00AB14D9"/>
    <w:rsid w:val="00AC1B7E"/>
    <w:rsid w:val="00AD0998"/>
    <w:rsid w:val="00AD6FC2"/>
    <w:rsid w:val="00AE57AA"/>
    <w:rsid w:val="00AF3972"/>
    <w:rsid w:val="00B005E7"/>
    <w:rsid w:val="00B35F56"/>
    <w:rsid w:val="00B36D27"/>
    <w:rsid w:val="00B37976"/>
    <w:rsid w:val="00B543E2"/>
    <w:rsid w:val="00B57DF7"/>
    <w:rsid w:val="00B74D7E"/>
    <w:rsid w:val="00B9274F"/>
    <w:rsid w:val="00B97584"/>
    <w:rsid w:val="00BA1D11"/>
    <w:rsid w:val="00BA41C3"/>
    <w:rsid w:val="00BD0362"/>
    <w:rsid w:val="00BD3763"/>
    <w:rsid w:val="00C020FB"/>
    <w:rsid w:val="00C06146"/>
    <w:rsid w:val="00C06D66"/>
    <w:rsid w:val="00C224B8"/>
    <w:rsid w:val="00C52327"/>
    <w:rsid w:val="00C62025"/>
    <w:rsid w:val="00C76869"/>
    <w:rsid w:val="00C82110"/>
    <w:rsid w:val="00CA0B28"/>
    <w:rsid w:val="00CA4F26"/>
    <w:rsid w:val="00CB506A"/>
    <w:rsid w:val="00CE49DF"/>
    <w:rsid w:val="00D12729"/>
    <w:rsid w:val="00D3796F"/>
    <w:rsid w:val="00D4031A"/>
    <w:rsid w:val="00D8673B"/>
    <w:rsid w:val="00DD4CFE"/>
    <w:rsid w:val="00DE7532"/>
    <w:rsid w:val="00DF122C"/>
    <w:rsid w:val="00E31D7B"/>
    <w:rsid w:val="00E42463"/>
    <w:rsid w:val="00E86D09"/>
    <w:rsid w:val="00EC06D2"/>
    <w:rsid w:val="00EE2801"/>
    <w:rsid w:val="00F14A6A"/>
    <w:rsid w:val="00F31DD7"/>
    <w:rsid w:val="00F35D18"/>
    <w:rsid w:val="00F61250"/>
    <w:rsid w:val="00F653AF"/>
    <w:rsid w:val="00F81D02"/>
    <w:rsid w:val="00F9357D"/>
    <w:rsid w:val="00FB00E2"/>
    <w:rsid w:val="00FB2940"/>
    <w:rsid w:val="00FC017C"/>
    <w:rsid w:val="00FC5897"/>
    <w:rsid w:val="00FD321A"/>
    <w:rsid w:val="00FD4FA0"/>
    <w:rsid w:val="00FE276D"/>
    <w:rsid w:val="00FE6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8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6649"/>
    <w:pPr>
      <w:tabs>
        <w:tab w:val="center" w:pos="4320"/>
        <w:tab w:val="right" w:pos="8640"/>
      </w:tabs>
    </w:pPr>
  </w:style>
  <w:style w:type="character" w:styleId="PageNumber">
    <w:name w:val="page number"/>
    <w:basedOn w:val="DefaultParagraphFont"/>
    <w:rsid w:val="00566649"/>
  </w:style>
  <w:style w:type="paragraph" w:styleId="FootnoteText">
    <w:name w:val="footnote text"/>
    <w:basedOn w:val="Normal"/>
    <w:link w:val="FootnoteTextChar"/>
    <w:semiHidden/>
    <w:rsid w:val="00765622"/>
    <w:rPr>
      <w:sz w:val="20"/>
      <w:szCs w:val="20"/>
    </w:rPr>
  </w:style>
  <w:style w:type="character" w:styleId="FootnoteReference">
    <w:name w:val="footnote reference"/>
    <w:basedOn w:val="DefaultParagraphFont"/>
    <w:semiHidden/>
    <w:rsid w:val="00765622"/>
    <w:rPr>
      <w:vertAlign w:val="superscript"/>
    </w:rPr>
  </w:style>
  <w:style w:type="paragraph" w:styleId="BalloonText">
    <w:name w:val="Balloon Text"/>
    <w:basedOn w:val="Normal"/>
    <w:semiHidden/>
    <w:rsid w:val="00C224B8"/>
    <w:rPr>
      <w:rFonts w:ascii="Tahoma" w:hAnsi="Tahoma" w:cs="Tahoma"/>
      <w:sz w:val="16"/>
      <w:szCs w:val="16"/>
    </w:rPr>
  </w:style>
  <w:style w:type="paragraph" w:styleId="DocumentMap">
    <w:name w:val="Document Map"/>
    <w:basedOn w:val="Normal"/>
    <w:semiHidden/>
    <w:rsid w:val="004D614F"/>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semiHidden/>
    <w:rsid w:val="00EC06D2"/>
  </w:style>
  <w:style w:type="character" w:customStyle="1" w:styleId="FooterChar">
    <w:name w:val="Footer Char"/>
    <w:basedOn w:val="DefaultParagraphFont"/>
    <w:link w:val="Footer"/>
    <w:uiPriority w:val="99"/>
    <w:rsid w:val="004A4652"/>
    <w:rPr>
      <w:sz w:val="24"/>
      <w:szCs w:val="24"/>
    </w:rPr>
  </w:style>
  <w:style w:type="paragraph" w:styleId="EndnoteText">
    <w:name w:val="endnote text"/>
    <w:basedOn w:val="Normal"/>
    <w:link w:val="EndnoteTextChar"/>
    <w:rsid w:val="004A4652"/>
    <w:rPr>
      <w:rFonts w:ascii="Courier" w:hAnsi="Courier"/>
      <w:szCs w:val="20"/>
    </w:rPr>
  </w:style>
  <w:style w:type="character" w:customStyle="1" w:styleId="EndnoteTextChar">
    <w:name w:val="Endnote Text Char"/>
    <w:basedOn w:val="DefaultParagraphFont"/>
    <w:link w:val="EndnoteText"/>
    <w:rsid w:val="004A4652"/>
    <w:rPr>
      <w:rFonts w:ascii="Courier" w:hAnsi="Courier"/>
      <w:sz w:val="24"/>
    </w:rPr>
  </w:style>
  <w:style w:type="paragraph" w:styleId="ListParagraph">
    <w:name w:val="List Paragraph"/>
    <w:basedOn w:val="Normal"/>
    <w:uiPriority w:val="34"/>
    <w:qFormat/>
    <w:rsid w:val="004A4652"/>
    <w:pPr>
      <w:ind w:left="720"/>
      <w:contextualSpacing/>
    </w:pPr>
    <w:rPr>
      <w:rFonts w:ascii="Courier" w:hAnsi="Courier"/>
      <w:szCs w:val="20"/>
    </w:rPr>
  </w:style>
  <w:style w:type="paragraph" w:styleId="Header">
    <w:name w:val="header"/>
    <w:basedOn w:val="Normal"/>
    <w:link w:val="HeaderChar"/>
    <w:rsid w:val="007C6C29"/>
    <w:pPr>
      <w:tabs>
        <w:tab w:val="center" w:pos="4680"/>
        <w:tab w:val="right" w:pos="9360"/>
      </w:tabs>
    </w:pPr>
  </w:style>
  <w:style w:type="character" w:customStyle="1" w:styleId="HeaderChar">
    <w:name w:val="Header Char"/>
    <w:basedOn w:val="DefaultParagraphFont"/>
    <w:link w:val="Header"/>
    <w:rsid w:val="007C6C29"/>
    <w:rPr>
      <w:sz w:val="24"/>
      <w:szCs w:val="24"/>
    </w:rPr>
  </w:style>
</w:styles>
</file>

<file path=word/webSettings.xml><?xml version="1.0" encoding="utf-8"?>
<w:webSettings xmlns:r="http://schemas.openxmlformats.org/officeDocument/2006/relationships" xmlns:w="http://schemas.openxmlformats.org/wordprocessingml/2006/main">
  <w:divs>
    <w:div w:id="18601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3</cp:revision>
  <cp:lastPrinted>2011-03-23T13:34:00Z</cp:lastPrinted>
  <dcterms:created xsi:type="dcterms:W3CDTF">2011-03-23T13:23:00Z</dcterms:created>
  <dcterms:modified xsi:type="dcterms:W3CDTF">2011-03-23T13:34:00Z</dcterms:modified>
</cp:coreProperties>
</file>