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ED" w:rsidRPr="001815A2" w:rsidRDefault="001B79ED" w:rsidP="001B79ED">
      <w:pPr>
        <w:pStyle w:val="Title"/>
        <w:rPr>
          <w:sz w:val="24"/>
          <w:szCs w:val="24"/>
        </w:rPr>
      </w:pPr>
      <w:r w:rsidRPr="001815A2">
        <w:rPr>
          <w:sz w:val="24"/>
          <w:szCs w:val="24"/>
        </w:rPr>
        <w:t>BEFORE THE</w:t>
      </w:r>
    </w:p>
    <w:p w:rsidR="001B79ED" w:rsidRPr="001815A2" w:rsidRDefault="001B79ED" w:rsidP="001B79ED">
      <w:pPr>
        <w:spacing w:line="240" w:lineRule="auto"/>
        <w:jc w:val="center"/>
        <w:rPr>
          <w:b/>
          <w:sz w:val="24"/>
          <w:szCs w:val="24"/>
        </w:rPr>
      </w:pPr>
      <w:r w:rsidRPr="001815A2">
        <w:rPr>
          <w:b/>
          <w:sz w:val="24"/>
          <w:szCs w:val="24"/>
        </w:rPr>
        <w:t>PENNSYLVANIA PUBLIC UTILITY COMMISSION</w:t>
      </w:r>
    </w:p>
    <w:p w:rsidR="001B79ED" w:rsidRPr="001815A2" w:rsidRDefault="001B79ED" w:rsidP="001B79ED">
      <w:pPr>
        <w:spacing w:line="240" w:lineRule="auto"/>
        <w:jc w:val="center"/>
        <w:rPr>
          <w:b/>
          <w:sz w:val="24"/>
          <w:szCs w:val="24"/>
        </w:rPr>
      </w:pPr>
    </w:p>
    <w:p w:rsidR="001B79ED" w:rsidRPr="001815A2" w:rsidRDefault="001B79ED" w:rsidP="001B79ED">
      <w:pPr>
        <w:spacing w:line="240" w:lineRule="auto"/>
        <w:jc w:val="center"/>
        <w:rPr>
          <w:b/>
          <w:sz w:val="24"/>
          <w:szCs w:val="24"/>
        </w:rPr>
      </w:pPr>
    </w:p>
    <w:p w:rsidR="001B79ED" w:rsidRPr="001815A2" w:rsidRDefault="001B79ED" w:rsidP="001B79ED">
      <w:pPr>
        <w:spacing w:line="240" w:lineRule="auto"/>
        <w:jc w:val="center"/>
        <w:rPr>
          <w:b/>
          <w:sz w:val="24"/>
          <w:szCs w:val="24"/>
        </w:rPr>
      </w:pPr>
    </w:p>
    <w:p w:rsidR="00ED5098" w:rsidRDefault="00B95F11" w:rsidP="001B79ED">
      <w:pPr>
        <w:spacing w:line="240" w:lineRule="auto"/>
        <w:rPr>
          <w:sz w:val="24"/>
          <w:szCs w:val="24"/>
        </w:rPr>
      </w:pPr>
      <w:r w:rsidRPr="001815A2">
        <w:rPr>
          <w:sz w:val="24"/>
          <w:szCs w:val="24"/>
        </w:rPr>
        <w:t xml:space="preserve">New Bethlehem Temple </w:t>
      </w:r>
      <w:r w:rsidR="00ED5098">
        <w:rPr>
          <w:sz w:val="24"/>
          <w:szCs w:val="24"/>
        </w:rPr>
        <w:tab/>
      </w:r>
      <w:r w:rsidR="00ED5098">
        <w:rPr>
          <w:sz w:val="24"/>
          <w:szCs w:val="24"/>
        </w:rPr>
        <w:tab/>
      </w:r>
      <w:r w:rsidR="00ED5098">
        <w:rPr>
          <w:sz w:val="24"/>
          <w:szCs w:val="24"/>
        </w:rPr>
        <w:tab/>
      </w:r>
      <w:r w:rsidR="00ED5098">
        <w:rPr>
          <w:sz w:val="24"/>
          <w:szCs w:val="24"/>
        </w:rPr>
        <w:tab/>
        <w:t>:</w:t>
      </w:r>
    </w:p>
    <w:p w:rsidR="001815A2" w:rsidRPr="001815A2" w:rsidRDefault="00404D6D" w:rsidP="001B79ED">
      <w:pPr>
        <w:spacing w:line="240" w:lineRule="auto"/>
        <w:rPr>
          <w:sz w:val="24"/>
          <w:szCs w:val="24"/>
        </w:rPr>
      </w:pPr>
      <w:proofErr w:type="gramStart"/>
      <w:r w:rsidRPr="001815A2">
        <w:rPr>
          <w:sz w:val="24"/>
          <w:szCs w:val="24"/>
        </w:rPr>
        <w:t>Apostolic</w:t>
      </w:r>
      <w:r>
        <w:rPr>
          <w:sz w:val="24"/>
          <w:szCs w:val="24"/>
        </w:rPr>
        <w:t xml:space="preserve"> </w:t>
      </w:r>
      <w:r w:rsidRPr="001815A2">
        <w:rPr>
          <w:sz w:val="24"/>
          <w:szCs w:val="24"/>
        </w:rPr>
        <w:t>Faith</w:t>
      </w:r>
      <w:r w:rsidRPr="00404D6D">
        <w:rPr>
          <w:sz w:val="24"/>
          <w:szCs w:val="24"/>
        </w:rPr>
        <w:t xml:space="preserve"> </w:t>
      </w:r>
      <w:r w:rsidRPr="001815A2">
        <w:rPr>
          <w:sz w:val="24"/>
          <w:szCs w:val="24"/>
        </w:rPr>
        <w:t>Church, Inc.</w:t>
      </w:r>
      <w:proofErr w:type="gramEnd"/>
      <w:r>
        <w:rPr>
          <w:sz w:val="24"/>
          <w:szCs w:val="24"/>
        </w:rPr>
        <w:tab/>
      </w:r>
      <w:r w:rsidR="00ED5098">
        <w:rPr>
          <w:sz w:val="24"/>
          <w:szCs w:val="24"/>
        </w:rPr>
        <w:tab/>
      </w:r>
      <w:r w:rsidR="00ED5098">
        <w:rPr>
          <w:sz w:val="24"/>
          <w:szCs w:val="24"/>
        </w:rPr>
        <w:tab/>
      </w:r>
      <w:r w:rsidR="00ED5098">
        <w:rPr>
          <w:sz w:val="24"/>
          <w:szCs w:val="24"/>
        </w:rPr>
        <w:tab/>
      </w:r>
      <w:r w:rsidR="001815A2" w:rsidRPr="001815A2">
        <w:rPr>
          <w:sz w:val="24"/>
          <w:szCs w:val="24"/>
        </w:rPr>
        <w:t>:</w:t>
      </w: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="001815A2" w:rsidRPr="001815A2">
        <w:rPr>
          <w:sz w:val="24"/>
          <w:szCs w:val="24"/>
        </w:rPr>
        <w:tab/>
      </w:r>
      <w:r w:rsidR="001815A2"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:</w:t>
      </w: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  <w:r w:rsidRPr="001815A2">
        <w:rPr>
          <w:sz w:val="24"/>
          <w:szCs w:val="24"/>
        </w:rPr>
        <w:tab/>
        <w:t>v.</w:t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:</w:t>
      </w:r>
      <w:r w:rsidRPr="001815A2">
        <w:rPr>
          <w:sz w:val="24"/>
          <w:szCs w:val="24"/>
        </w:rPr>
        <w:tab/>
      </w:r>
      <w:r w:rsidR="00872A0B">
        <w:rPr>
          <w:sz w:val="24"/>
          <w:szCs w:val="24"/>
        </w:rPr>
        <w:tab/>
      </w:r>
      <w:r w:rsidR="00872A0B">
        <w:rPr>
          <w:sz w:val="24"/>
          <w:szCs w:val="24"/>
        </w:rPr>
        <w:tab/>
      </w:r>
      <w:r w:rsidR="00B95F11" w:rsidRPr="001815A2">
        <w:rPr>
          <w:sz w:val="24"/>
          <w:szCs w:val="24"/>
        </w:rPr>
        <w:t>C-2010-2193709</w:t>
      </w: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B95F11"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>:</w:t>
      </w: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  <w:r w:rsidRPr="001815A2">
        <w:rPr>
          <w:sz w:val="24"/>
          <w:szCs w:val="24"/>
        </w:rPr>
        <w:t>Philadelphia Gas Works</w:t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B95F11"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>:</w:t>
      </w: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</w:p>
    <w:p w:rsidR="001B79ED" w:rsidRPr="001815A2" w:rsidRDefault="001B79ED" w:rsidP="001B79ED">
      <w:pPr>
        <w:spacing w:line="240" w:lineRule="auto"/>
        <w:rPr>
          <w:sz w:val="24"/>
          <w:szCs w:val="24"/>
        </w:rPr>
      </w:pPr>
    </w:p>
    <w:p w:rsidR="001B79ED" w:rsidRPr="001815A2" w:rsidRDefault="001B79ED" w:rsidP="001B79ED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1815A2">
        <w:rPr>
          <w:b/>
          <w:sz w:val="24"/>
          <w:szCs w:val="24"/>
          <w:u w:val="single"/>
        </w:rPr>
        <w:t>INITIAL DECISION</w:t>
      </w:r>
    </w:p>
    <w:p w:rsidR="001B79ED" w:rsidRPr="001815A2" w:rsidRDefault="001B79ED" w:rsidP="001B79ED">
      <w:pPr>
        <w:spacing w:line="240" w:lineRule="auto"/>
        <w:jc w:val="left"/>
        <w:rPr>
          <w:sz w:val="24"/>
          <w:szCs w:val="24"/>
        </w:rPr>
      </w:pPr>
    </w:p>
    <w:p w:rsidR="009D22D7" w:rsidRPr="001815A2" w:rsidRDefault="009D22D7" w:rsidP="001B79ED">
      <w:pPr>
        <w:spacing w:line="240" w:lineRule="auto"/>
        <w:jc w:val="left"/>
        <w:rPr>
          <w:sz w:val="24"/>
          <w:szCs w:val="24"/>
        </w:rPr>
      </w:pP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  <w:r w:rsidRPr="001815A2">
        <w:rPr>
          <w:sz w:val="24"/>
          <w:szCs w:val="24"/>
        </w:rPr>
        <w:t>Before</w:t>
      </w: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  <w:r w:rsidRPr="001815A2">
        <w:rPr>
          <w:sz w:val="24"/>
          <w:szCs w:val="24"/>
        </w:rPr>
        <w:t>Marlane R. Chestnut</w:t>
      </w: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  <w:r w:rsidRPr="001815A2">
        <w:rPr>
          <w:sz w:val="24"/>
          <w:szCs w:val="24"/>
        </w:rPr>
        <w:t>Administrative Law Judge</w:t>
      </w: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  <w:r w:rsidRPr="001815A2">
        <w:rPr>
          <w:sz w:val="24"/>
          <w:szCs w:val="24"/>
          <w:u w:val="single"/>
        </w:rPr>
        <w:t>HISTORY OF THE PROCEEDING</w:t>
      </w:r>
    </w:p>
    <w:p w:rsidR="009D22D7" w:rsidRPr="001815A2" w:rsidRDefault="009D22D7" w:rsidP="009D22D7">
      <w:pPr>
        <w:spacing w:line="240" w:lineRule="auto"/>
        <w:jc w:val="center"/>
        <w:rPr>
          <w:sz w:val="24"/>
          <w:szCs w:val="24"/>
        </w:rPr>
      </w:pPr>
    </w:p>
    <w:p w:rsidR="009D22D7" w:rsidRPr="001815A2" w:rsidRDefault="009D22D7" w:rsidP="001B79ED">
      <w:pPr>
        <w:spacing w:line="240" w:lineRule="auto"/>
        <w:jc w:val="left"/>
        <w:rPr>
          <w:sz w:val="24"/>
          <w:szCs w:val="24"/>
        </w:rPr>
      </w:pPr>
    </w:p>
    <w:p w:rsidR="001B79ED" w:rsidRPr="001815A2" w:rsidRDefault="001B79ED" w:rsidP="001B79ED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 xml:space="preserve">On </w:t>
      </w:r>
      <w:r w:rsidR="00924699" w:rsidRPr="001815A2">
        <w:rPr>
          <w:sz w:val="24"/>
          <w:szCs w:val="24"/>
        </w:rPr>
        <w:t>August 13, 201</w:t>
      </w:r>
      <w:r w:rsidR="0071205E">
        <w:rPr>
          <w:sz w:val="24"/>
          <w:szCs w:val="24"/>
        </w:rPr>
        <w:t>0</w:t>
      </w:r>
      <w:r w:rsidR="00924699" w:rsidRPr="001815A2">
        <w:rPr>
          <w:sz w:val="24"/>
          <w:szCs w:val="24"/>
        </w:rPr>
        <w:t xml:space="preserve">, New Bethlehem Temple Apostolic Faith Church, Inc. (complainant or New Bethlehem) </w:t>
      </w:r>
      <w:r w:rsidRPr="001815A2">
        <w:rPr>
          <w:sz w:val="24"/>
          <w:szCs w:val="24"/>
        </w:rPr>
        <w:t>filed a formal Complaint with the Pennsylvania Public Utility Commission (Commission) against Philadelphia Gas Works (</w:t>
      </w:r>
      <w:r w:rsidR="00671896" w:rsidRPr="001815A2">
        <w:rPr>
          <w:sz w:val="24"/>
          <w:szCs w:val="24"/>
        </w:rPr>
        <w:t xml:space="preserve">respondent or </w:t>
      </w:r>
      <w:r w:rsidRPr="001815A2">
        <w:rPr>
          <w:sz w:val="24"/>
          <w:szCs w:val="24"/>
        </w:rPr>
        <w:t xml:space="preserve">PGW), </w:t>
      </w:r>
      <w:r w:rsidR="00924699" w:rsidRPr="001815A2">
        <w:rPr>
          <w:sz w:val="24"/>
          <w:szCs w:val="24"/>
        </w:rPr>
        <w:t>alleging a billing dispute.  No relief was requested.  The Complaint was filed and signed by Roy D. Smalls, Pastor</w:t>
      </w:r>
      <w:r w:rsidR="00671896" w:rsidRPr="001815A2">
        <w:rPr>
          <w:sz w:val="24"/>
          <w:szCs w:val="24"/>
        </w:rPr>
        <w:t>; no attorney was listed.  Although not stated, the Complaint apparently is an appeal of a decision on informal complaint rendered by the Commission’s Bureau of Consumer Services (BCS) at #</w:t>
      </w:r>
      <w:r w:rsidR="00473286" w:rsidRPr="001815A2">
        <w:rPr>
          <w:sz w:val="24"/>
          <w:szCs w:val="24"/>
        </w:rPr>
        <w:t>2688740</w:t>
      </w:r>
      <w:r w:rsidR="00671896" w:rsidRPr="001815A2">
        <w:rPr>
          <w:sz w:val="24"/>
          <w:szCs w:val="24"/>
        </w:rPr>
        <w:t xml:space="preserve"> on </w:t>
      </w:r>
      <w:r w:rsidR="00473286" w:rsidRPr="001815A2">
        <w:rPr>
          <w:sz w:val="24"/>
          <w:szCs w:val="24"/>
        </w:rPr>
        <w:t>July 15, 2010</w:t>
      </w:r>
      <w:r w:rsidR="000F7E22" w:rsidRPr="001815A2">
        <w:rPr>
          <w:sz w:val="24"/>
          <w:szCs w:val="24"/>
        </w:rPr>
        <w:t>.  In th</w:t>
      </w:r>
      <w:r w:rsidR="00473286" w:rsidRPr="001815A2">
        <w:rPr>
          <w:sz w:val="24"/>
          <w:szCs w:val="24"/>
        </w:rPr>
        <w:t>at decision, BCS found that this is a commercial account with no residential involvement and that all bills were correct after PGW had rebilled the account based on actual meter readings.</w:t>
      </w:r>
    </w:p>
    <w:p w:rsidR="001B79ED" w:rsidRPr="001815A2" w:rsidRDefault="001B79ED" w:rsidP="001B79ED">
      <w:pPr>
        <w:jc w:val="left"/>
        <w:rPr>
          <w:sz w:val="24"/>
          <w:szCs w:val="24"/>
        </w:rPr>
      </w:pPr>
    </w:p>
    <w:p w:rsidR="009238CC" w:rsidRPr="001815A2" w:rsidRDefault="001B79ED" w:rsidP="001B79ED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 xml:space="preserve">On </w:t>
      </w:r>
      <w:r w:rsidR="00E34036" w:rsidRPr="001815A2">
        <w:rPr>
          <w:sz w:val="24"/>
          <w:szCs w:val="24"/>
        </w:rPr>
        <w:t>September 7</w:t>
      </w:r>
      <w:r w:rsidR="00671896" w:rsidRPr="001815A2">
        <w:rPr>
          <w:sz w:val="24"/>
          <w:szCs w:val="24"/>
        </w:rPr>
        <w:t>,</w:t>
      </w:r>
      <w:r w:rsidR="00E34036" w:rsidRPr="001815A2">
        <w:rPr>
          <w:sz w:val="24"/>
          <w:szCs w:val="24"/>
        </w:rPr>
        <w:t xml:space="preserve"> 201</w:t>
      </w:r>
      <w:r w:rsidR="00464FCB">
        <w:rPr>
          <w:sz w:val="24"/>
          <w:szCs w:val="24"/>
        </w:rPr>
        <w:t>0</w:t>
      </w:r>
      <w:r w:rsidR="00E34036" w:rsidRPr="001815A2">
        <w:rPr>
          <w:sz w:val="24"/>
          <w:szCs w:val="24"/>
        </w:rPr>
        <w:t>,</w:t>
      </w:r>
      <w:r w:rsidR="00671896" w:rsidRPr="001815A2">
        <w:rPr>
          <w:sz w:val="24"/>
          <w:szCs w:val="24"/>
        </w:rPr>
        <w:t xml:space="preserve"> respondent PGW timely filed an Answer d</w:t>
      </w:r>
      <w:r w:rsidR="00D362C6" w:rsidRPr="001815A2">
        <w:rPr>
          <w:sz w:val="24"/>
          <w:szCs w:val="24"/>
        </w:rPr>
        <w:t>enying</w:t>
      </w:r>
      <w:r w:rsidR="00671896" w:rsidRPr="001815A2">
        <w:rPr>
          <w:sz w:val="24"/>
          <w:szCs w:val="24"/>
        </w:rPr>
        <w:t xml:space="preserve"> the material </w:t>
      </w:r>
      <w:r w:rsidR="00E55D4A" w:rsidRPr="001815A2">
        <w:rPr>
          <w:sz w:val="24"/>
          <w:szCs w:val="24"/>
        </w:rPr>
        <w:t>averments</w:t>
      </w:r>
      <w:r w:rsidR="00671896" w:rsidRPr="001815A2">
        <w:rPr>
          <w:sz w:val="24"/>
          <w:szCs w:val="24"/>
        </w:rPr>
        <w:t xml:space="preserve"> of the Complaint and assert</w:t>
      </w:r>
      <w:r w:rsidR="00D362C6" w:rsidRPr="001815A2">
        <w:rPr>
          <w:sz w:val="24"/>
          <w:szCs w:val="24"/>
        </w:rPr>
        <w:t>ing</w:t>
      </w:r>
      <w:r w:rsidR="00671896" w:rsidRPr="001815A2">
        <w:rPr>
          <w:sz w:val="24"/>
          <w:szCs w:val="24"/>
        </w:rPr>
        <w:t xml:space="preserve"> that the bills are correct as rendered bas</w:t>
      </w:r>
      <w:r w:rsidR="00933368" w:rsidRPr="001815A2">
        <w:rPr>
          <w:sz w:val="24"/>
          <w:szCs w:val="24"/>
        </w:rPr>
        <w:t xml:space="preserve">ed on readings of actual usage and </w:t>
      </w:r>
      <w:r w:rsidR="00671896" w:rsidRPr="001815A2">
        <w:rPr>
          <w:sz w:val="24"/>
          <w:szCs w:val="24"/>
        </w:rPr>
        <w:t xml:space="preserve">that the service address </w:t>
      </w:r>
      <w:r w:rsidR="00933368" w:rsidRPr="001815A2">
        <w:rPr>
          <w:sz w:val="24"/>
          <w:szCs w:val="24"/>
        </w:rPr>
        <w:t>is</w:t>
      </w:r>
      <w:r w:rsidR="00671896" w:rsidRPr="001815A2">
        <w:rPr>
          <w:sz w:val="24"/>
          <w:szCs w:val="24"/>
        </w:rPr>
        <w:t xml:space="preserve"> equipped with an automatic meter reading device.</w:t>
      </w:r>
      <w:r w:rsidR="000F7E22" w:rsidRPr="001815A2">
        <w:rPr>
          <w:sz w:val="24"/>
          <w:szCs w:val="24"/>
        </w:rPr>
        <w:t xml:space="preserve">  </w:t>
      </w:r>
      <w:r w:rsidR="00933368" w:rsidRPr="001815A2">
        <w:rPr>
          <w:sz w:val="24"/>
          <w:szCs w:val="24"/>
        </w:rPr>
        <w:t>The</w:t>
      </w:r>
      <w:r w:rsidR="000F7E22" w:rsidRPr="001815A2">
        <w:rPr>
          <w:sz w:val="24"/>
          <w:szCs w:val="24"/>
        </w:rPr>
        <w:t xml:space="preserve"> BCS decision </w:t>
      </w:r>
      <w:r w:rsidR="00933368" w:rsidRPr="001815A2">
        <w:rPr>
          <w:sz w:val="24"/>
          <w:szCs w:val="24"/>
        </w:rPr>
        <w:t xml:space="preserve">was attached to the Answer as </w:t>
      </w:r>
      <w:r w:rsidR="000F7E22" w:rsidRPr="001815A2">
        <w:rPr>
          <w:sz w:val="24"/>
          <w:szCs w:val="24"/>
        </w:rPr>
        <w:t xml:space="preserve">Exhibit </w:t>
      </w:r>
      <w:r w:rsidR="00933368" w:rsidRPr="001815A2">
        <w:rPr>
          <w:sz w:val="24"/>
          <w:szCs w:val="24"/>
        </w:rPr>
        <w:t>A</w:t>
      </w:r>
      <w:r w:rsidR="000F7E22" w:rsidRPr="001815A2">
        <w:rPr>
          <w:sz w:val="24"/>
          <w:szCs w:val="24"/>
        </w:rPr>
        <w:t>.</w:t>
      </w:r>
    </w:p>
    <w:p w:rsidR="001B79ED" w:rsidRPr="001815A2" w:rsidRDefault="009238CC" w:rsidP="00933368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lastRenderedPageBreak/>
        <w:tab/>
      </w:r>
      <w:r w:rsidRPr="001815A2">
        <w:rPr>
          <w:sz w:val="24"/>
          <w:szCs w:val="24"/>
        </w:rPr>
        <w:tab/>
      </w:r>
      <w:r w:rsidR="00933368" w:rsidRPr="001815A2">
        <w:rPr>
          <w:sz w:val="24"/>
          <w:szCs w:val="24"/>
        </w:rPr>
        <w:t>B</w:t>
      </w:r>
      <w:r w:rsidRPr="001815A2">
        <w:rPr>
          <w:sz w:val="24"/>
          <w:szCs w:val="24"/>
        </w:rPr>
        <w:t xml:space="preserve">y Hearing Notice dated </w:t>
      </w:r>
      <w:r w:rsidR="00933368" w:rsidRPr="001815A2">
        <w:rPr>
          <w:sz w:val="24"/>
          <w:szCs w:val="24"/>
        </w:rPr>
        <w:t>March 1</w:t>
      </w:r>
      <w:r w:rsidR="00DD4E2E" w:rsidRPr="001815A2">
        <w:rPr>
          <w:sz w:val="24"/>
          <w:szCs w:val="24"/>
        </w:rPr>
        <w:t>,</w:t>
      </w:r>
      <w:r w:rsidR="00933368" w:rsidRPr="001815A2">
        <w:rPr>
          <w:sz w:val="24"/>
          <w:szCs w:val="24"/>
        </w:rPr>
        <w:t xml:space="preserve"> 2011</w:t>
      </w:r>
      <w:r w:rsidR="00DD4E2E" w:rsidRPr="001815A2">
        <w:rPr>
          <w:sz w:val="24"/>
          <w:szCs w:val="24"/>
        </w:rPr>
        <w:t>, an</w:t>
      </w:r>
      <w:r w:rsidRPr="001815A2">
        <w:rPr>
          <w:sz w:val="24"/>
          <w:szCs w:val="24"/>
        </w:rPr>
        <w:t xml:space="preserve"> initial hearing was scheduled for </w:t>
      </w:r>
      <w:r w:rsidR="00DD4E2E" w:rsidRPr="001815A2">
        <w:rPr>
          <w:sz w:val="24"/>
          <w:szCs w:val="24"/>
        </w:rPr>
        <w:t>March 31, 2011</w:t>
      </w:r>
      <w:r w:rsidR="006E3401" w:rsidRPr="001815A2">
        <w:rPr>
          <w:sz w:val="24"/>
          <w:szCs w:val="24"/>
        </w:rPr>
        <w:t>, and</w:t>
      </w:r>
      <w:r w:rsidRPr="001815A2">
        <w:rPr>
          <w:sz w:val="24"/>
          <w:szCs w:val="24"/>
        </w:rPr>
        <w:t xml:space="preserve"> the matter was assigned to me.  In accordance with my usual practice, on </w:t>
      </w:r>
      <w:r w:rsidR="00DD4E2E" w:rsidRPr="001815A2">
        <w:rPr>
          <w:sz w:val="24"/>
          <w:szCs w:val="24"/>
        </w:rPr>
        <w:t>March 1, 2011, I</w:t>
      </w:r>
      <w:r w:rsidRPr="001815A2">
        <w:rPr>
          <w:sz w:val="24"/>
          <w:szCs w:val="24"/>
        </w:rPr>
        <w:t xml:space="preserve"> issued a Prehearing Order that required the parties to comply with various procedural requirements.  That Prehearing Order </w:t>
      </w:r>
      <w:r w:rsidR="00CB549D" w:rsidRPr="001815A2">
        <w:rPr>
          <w:sz w:val="24"/>
          <w:szCs w:val="24"/>
        </w:rPr>
        <w:t>(in bo</w:t>
      </w:r>
      <w:r w:rsidR="00D362C6" w:rsidRPr="001815A2">
        <w:rPr>
          <w:sz w:val="24"/>
          <w:szCs w:val="24"/>
        </w:rPr>
        <w:t>l</w:t>
      </w:r>
      <w:r w:rsidR="00CB549D" w:rsidRPr="001815A2">
        <w:rPr>
          <w:sz w:val="24"/>
          <w:szCs w:val="24"/>
        </w:rPr>
        <w:t xml:space="preserve">ded type) </w:t>
      </w:r>
      <w:r w:rsidRPr="001815A2">
        <w:rPr>
          <w:sz w:val="24"/>
          <w:szCs w:val="24"/>
        </w:rPr>
        <w:t xml:space="preserve">specifically required complainant </w:t>
      </w:r>
      <w:r w:rsidR="00CB549D" w:rsidRPr="001815A2">
        <w:rPr>
          <w:sz w:val="24"/>
          <w:szCs w:val="24"/>
        </w:rPr>
        <w:t xml:space="preserve">to have an attorney licensed to practice in Pennsylvania enter an appearance on or before </w:t>
      </w:r>
      <w:r w:rsidR="00DD4E2E" w:rsidRPr="001815A2">
        <w:rPr>
          <w:sz w:val="24"/>
          <w:szCs w:val="24"/>
        </w:rPr>
        <w:t xml:space="preserve">March 11, 2011, </w:t>
      </w:r>
      <w:r w:rsidR="00CB549D" w:rsidRPr="001815A2">
        <w:rPr>
          <w:sz w:val="24"/>
          <w:szCs w:val="24"/>
        </w:rPr>
        <w:t xml:space="preserve">as </w:t>
      </w:r>
      <w:r w:rsidR="00DD4E2E" w:rsidRPr="001815A2">
        <w:rPr>
          <w:sz w:val="24"/>
          <w:szCs w:val="24"/>
        </w:rPr>
        <w:t xml:space="preserve">New Bethlehem </w:t>
      </w:r>
      <w:r w:rsidR="00CB549D" w:rsidRPr="001815A2">
        <w:rPr>
          <w:sz w:val="24"/>
          <w:szCs w:val="24"/>
        </w:rPr>
        <w:t xml:space="preserve">is a corporation </w:t>
      </w:r>
      <w:r w:rsidR="0083260C" w:rsidRPr="001815A2">
        <w:rPr>
          <w:sz w:val="24"/>
          <w:szCs w:val="24"/>
        </w:rPr>
        <w:t xml:space="preserve">according to the records maintained by the Pennsylvania Department of State, Corporation Bureau, </w:t>
      </w:r>
      <w:r w:rsidR="00CB549D" w:rsidRPr="001815A2">
        <w:rPr>
          <w:sz w:val="24"/>
          <w:szCs w:val="24"/>
        </w:rPr>
        <w:t>and therefore is required to be represented by counsel pursuant to 52 Pa. Code §§</w:t>
      </w:r>
      <w:r w:rsidR="001815A2">
        <w:rPr>
          <w:sz w:val="24"/>
          <w:szCs w:val="24"/>
        </w:rPr>
        <w:t xml:space="preserve"> </w:t>
      </w:r>
      <w:r w:rsidR="00CB549D" w:rsidRPr="001815A2">
        <w:rPr>
          <w:sz w:val="24"/>
          <w:szCs w:val="24"/>
        </w:rPr>
        <w:t xml:space="preserve">1.21 </w:t>
      </w:r>
      <w:r w:rsidR="00404D6D">
        <w:rPr>
          <w:sz w:val="24"/>
          <w:szCs w:val="24"/>
        </w:rPr>
        <w:t>-</w:t>
      </w:r>
      <w:r w:rsidR="00CB549D" w:rsidRPr="001815A2">
        <w:rPr>
          <w:sz w:val="24"/>
          <w:szCs w:val="24"/>
        </w:rPr>
        <w:t xml:space="preserve"> 1.2</w:t>
      </w:r>
      <w:r w:rsidR="007A0C33">
        <w:rPr>
          <w:sz w:val="24"/>
          <w:szCs w:val="24"/>
        </w:rPr>
        <w:t>3</w:t>
      </w:r>
      <w:r w:rsidR="00464FCB">
        <w:rPr>
          <w:sz w:val="24"/>
          <w:szCs w:val="24"/>
        </w:rPr>
        <w:t xml:space="preserve"> in adversarial proceedings</w:t>
      </w:r>
      <w:r w:rsidR="00CB549D" w:rsidRPr="001815A2">
        <w:rPr>
          <w:sz w:val="24"/>
          <w:szCs w:val="24"/>
        </w:rPr>
        <w:t xml:space="preserve">.  </w:t>
      </w:r>
    </w:p>
    <w:p w:rsidR="00375102" w:rsidRPr="001815A2" w:rsidRDefault="00375102" w:rsidP="009238CC">
      <w:pPr>
        <w:jc w:val="left"/>
        <w:rPr>
          <w:sz w:val="24"/>
          <w:szCs w:val="24"/>
        </w:rPr>
      </w:pPr>
    </w:p>
    <w:p w:rsidR="00FE046E" w:rsidRPr="001815A2" w:rsidRDefault="00375102" w:rsidP="009238CC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 xml:space="preserve">Complainant failed to comply with that Prehearing Order; no entry of appearance was filed either by </w:t>
      </w:r>
      <w:r w:rsidR="003D33ED" w:rsidRPr="001815A2">
        <w:rPr>
          <w:sz w:val="24"/>
          <w:szCs w:val="24"/>
        </w:rPr>
        <w:t>March 11, 2011, or</w:t>
      </w:r>
      <w:r w:rsidRPr="001815A2">
        <w:rPr>
          <w:sz w:val="24"/>
          <w:szCs w:val="24"/>
        </w:rPr>
        <w:t xml:space="preserve"> as of the date of this Initial Decision.  Instead, by letter received by me on </w:t>
      </w:r>
      <w:r w:rsidR="003D33ED" w:rsidRPr="001815A2">
        <w:rPr>
          <w:sz w:val="24"/>
          <w:szCs w:val="24"/>
        </w:rPr>
        <w:t>March 10, 2011</w:t>
      </w:r>
      <w:r w:rsidR="00FE046E" w:rsidRPr="001815A2">
        <w:rPr>
          <w:sz w:val="24"/>
          <w:szCs w:val="24"/>
        </w:rPr>
        <w:t>,</w:t>
      </w:r>
      <w:r w:rsidR="003D33ED" w:rsidRPr="001815A2">
        <w:rPr>
          <w:sz w:val="24"/>
          <w:szCs w:val="24"/>
        </w:rPr>
        <w:t xml:space="preserve"> Pastor Smalls explained that New Bethlehem is a small congregation with limited funds and that</w:t>
      </w:r>
      <w:r w:rsidR="0085149B" w:rsidRPr="001815A2">
        <w:rPr>
          <w:sz w:val="24"/>
          <w:szCs w:val="24"/>
        </w:rPr>
        <w:t xml:space="preserve"> it would not be in a position to secure representation.</w:t>
      </w:r>
    </w:p>
    <w:p w:rsidR="00FE046E" w:rsidRPr="001815A2" w:rsidRDefault="00FE046E" w:rsidP="009238CC">
      <w:pPr>
        <w:jc w:val="left"/>
        <w:rPr>
          <w:sz w:val="24"/>
          <w:szCs w:val="24"/>
        </w:rPr>
      </w:pPr>
    </w:p>
    <w:p w:rsidR="00DB266D" w:rsidRPr="001815A2" w:rsidRDefault="00FE046E" w:rsidP="009238CC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DB266D" w:rsidRPr="001815A2">
        <w:rPr>
          <w:sz w:val="24"/>
          <w:szCs w:val="24"/>
        </w:rPr>
        <w:t xml:space="preserve">As complainant </w:t>
      </w:r>
      <w:r w:rsidR="0085149B" w:rsidRPr="001815A2">
        <w:rPr>
          <w:sz w:val="24"/>
          <w:szCs w:val="24"/>
        </w:rPr>
        <w:t xml:space="preserve">stated that </w:t>
      </w:r>
      <w:r w:rsidR="001419B1" w:rsidRPr="001815A2">
        <w:rPr>
          <w:sz w:val="24"/>
          <w:szCs w:val="24"/>
        </w:rPr>
        <w:t>it will</w:t>
      </w:r>
      <w:r w:rsidR="0085149B" w:rsidRPr="001815A2">
        <w:rPr>
          <w:sz w:val="24"/>
          <w:szCs w:val="24"/>
        </w:rPr>
        <w:t xml:space="preserve"> not </w:t>
      </w:r>
      <w:r w:rsidR="00DB266D" w:rsidRPr="001815A2">
        <w:rPr>
          <w:sz w:val="24"/>
          <w:szCs w:val="24"/>
        </w:rPr>
        <w:t>compl</w:t>
      </w:r>
      <w:r w:rsidR="0085149B" w:rsidRPr="001815A2">
        <w:rPr>
          <w:sz w:val="24"/>
          <w:szCs w:val="24"/>
        </w:rPr>
        <w:t>y</w:t>
      </w:r>
      <w:r w:rsidR="00DB266D" w:rsidRPr="001815A2">
        <w:rPr>
          <w:sz w:val="24"/>
          <w:szCs w:val="24"/>
        </w:rPr>
        <w:t xml:space="preserve"> with my </w:t>
      </w:r>
      <w:r w:rsidR="00072F09">
        <w:rPr>
          <w:sz w:val="24"/>
          <w:szCs w:val="24"/>
        </w:rPr>
        <w:t>March 1, 2011</w:t>
      </w:r>
      <w:r w:rsidR="00DB266D" w:rsidRPr="001815A2">
        <w:rPr>
          <w:sz w:val="24"/>
          <w:szCs w:val="24"/>
        </w:rPr>
        <w:t xml:space="preserve"> </w:t>
      </w:r>
      <w:r w:rsidR="007A0C33">
        <w:rPr>
          <w:sz w:val="24"/>
          <w:szCs w:val="24"/>
        </w:rPr>
        <w:t xml:space="preserve">Prehearing </w:t>
      </w:r>
      <w:r w:rsidR="00DB266D" w:rsidRPr="001815A2">
        <w:rPr>
          <w:sz w:val="24"/>
          <w:szCs w:val="24"/>
        </w:rPr>
        <w:t>Order, the Complaint will be dismissed as discussed below</w:t>
      </w:r>
      <w:r w:rsidR="001419B1" w:rsidRPr="001815A2">
        <w:rPr>
          <w:sz w:val="24"/>
          <w:szCs w:val="24"/>
        </w:rPr>
        <w:t>, and the hearing cancelled</w:t>
      </w:r>
      <w:r w:rsidR="00DB266D" w:rsidRPr="001815A2">
        <w:rPr>
          <w:sz w:val="24"/>
          <w:szCs w:val="24"/>
        </w:rPr>
        <w:t>.</w:t>
      </w:r>
    </w:p>
    <w:p w:rsidR="004123D8" w:rsidRPr="001815A2" w:rsidRDefault="004123D8" w:rsidP="009238CC">
      <w:pPr>
        <w:jc w:val="left"/>
        <w:rPr>
          <w:sz w:val="24"/>
          <w:szCs w:val="24"/>
        </w:rPr>
      </w:pPr>
    </w:p>
    <w:p w:rsidR="004123D8" w:rsidRPr="001815A2" w:rsidRDefault="004123D8" w:rsidP="004123D8">
      <w:pPr>
        <w:jc w:val="center"/>
        <w:rPr>
          <w:sz w:val="24"/>
          <w:szCs w:val="24"/>
          <w:u w:val="single"/>
        </w:rPr>
      </w:pPr>
      <w:r w:rsidRPr="001815A2">
        <w:rPr>
          <w:sz w:val="24"/>
          <w:szCs w:val="24"/>
          <w:u w:val="single"/>
        </w:rPr>
        <w:t>FINDINGS OF FACT</w:t>
      </w:r>
    </w:p>
    <w:p w:rsidR="004123D8" w:rsidRPr="001815A2" w:rsidRDefault="004123D8" w:rsidP="004123D8">
      <w:pPr>
        <w:rPr>
          <w:sz w:val="24"/>
          <w:szCs w:val="24"/>
        </w:rPr>
      </w:pPr>
    </w:p>
    <w:p w:rsidR="004123D8" w:rsidRPr="001815A2" w:rsidRDefault="004123D8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1.</w:t>
      </w:r>
      <w:r w:rsidRPr="001815A2">
        <w:rPr>
          <w:sz w:val="24"/>
          <w:szCs w:val="24"/>
        </w:rPr>
        <w:tab/>
        <w:t xml:space="preserve">On </w:t>
      </w:r>
      <w:r w:rsidR="00500022" w:rsidRPr="001815A2">
        <w:rPr>
          <w:sz w:val="24"/>
          <w:szCs w:val="24"/>
        </w:rPr>
        <w:t>August 13, 201</w:t>
      </w:r>
      <w:r w:rsidR="00464FCB">
        <w:rPr>
          <w:sz w:val="24"/>
          <w:szCs w:val="24"/>
        </w:rPr>
        <w:t>0</w:t>
      </w:r>
      <w:r w:rsidRPr="001815A2">
        <w:rPr>
          <w:sz w:val="24"/>
          <w:szCs w:val="24"/>
        </w:rPr>
        <w:t xml:space="preserve">, </w:t>
      </w:r>
      <w:r w:rsidR="00500022" w:rsidRPr="001815A2">
        <w:rPr>
          <w:sz w:val="24"/>
          <w:szCs w:val="24"/>
        </w:rPr>
        <w:t>New Bethlehem Temple Apostolic Faith Church, Inc.</w:t>
      </w:r>
      <w:r w:rsidRPr="001815A2">
        <w:rPr>
          <w:sz w:val="24"/>
          <w:szCs w:val="24"/>
        </w:rPr>
        <w:t xml:space="preserve"> filed a formal Complaint with the Pennsylvania Public Utility Commission against </w:t>
      </w:r>
      <w:r w:rsidR="00656D9F" w:rsidRPr="001815A2">
        <w:rPr>
          <w:sz w:val="24"/>
          <w:szCs w:val="24"/>
        </w:rPr>
        <w:t>Philadelphia Gas Works</w:t>
      </w:r>
      <w:r w:rsidR="00464FCB">
        <w:rPr>
          <w:sz w:val="24"/>
          <w:szCs w:val="24"/>
        </w:rPr>
        <w:t xml:space="preserve">, </w:t>
      </w:r>
      <w:r w:rsidR="00464FCB" w:rsidRPr="001815A2">
        <w:rPr>
          <w:sz w:val="24"/>
          <w:szCs w:val="24"/>
        </w:rPr>
        <w:t>alleging</w:t>
      </w:r>
      <w:r w:rsidRPr="001815A2">
        <w:rPr>
          <w:sz w:val="24"/>
          <w:szCs w:val="24"/>
        </w:rPr>
        <w:t xml:space="preserve"> a billing dispute.</w:t>
      </w:r>
    </w:p>
    <w:p w:rsidR="004123D8" w:rsidRPr="001815A2" w:rsidRDefault="004123D8" w:rsidP="00142C32">
      <w:pPr>
        <w:jc w:val="left"/>
        <w:rPr>
          <w:sz w:val="24"/>
          <w:szCs w:val="24"/>
        </w:rPr>
      </w:pPr>
    </w:p>
    <w:p w:rsidR="004123D8" w:rsidRPr="001815A2" w:rsidRDefault="004123D8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2.</w:t>
      </w:r>
      <w:r w:rsidRPr="001815A2">
        <w:rPr>
          <w:sz w:val="24"/>
          <w:szCs w:val="24"/>
        </w:rPr>
        <w:tab/>
        <w:t>The Complaint, which was signed by</w:t>
      </w:r>
      <w:r w:rsidR="00656D9F" w:rsidRPr="001815A2">
        <w:rPr>
          <w:sz w:val="24"/>
          <w:szCs w:val="24"/>
        </w:rPr>
        <w:t xml:space="preserve"> </w:t>
      </w:r>
      <w:r w:rsidR="004200A3" w:rsidRPr="001815A2">
        <w:rPr>
          <w:sz w:val="24"/>
          <w:szCs w:val="24"/>
        </w:rPr>
        <w:t>Roy Smalls, Pastor</w:t>
      </w:r>
      <w:r w:rsidRPr="001815A2">
        <w:rPr>
          <w:sz w:val="24"/>
          <w:szCs w:val="24"/>
        </w:rPr>
        <w:t>, was not filed by an attorney.</w:t>
      </w:r>
    </w:p>
    <w:p w:rsidR="004123D8" w:rsidRPr="001815A2" w:rsidRDefault="004123D8" w:rsidP="00142C32">
      <w:pPr>
        <w:jc w:val="left"/>
        <w:rPr>
          <w:sz w:val="24"/>
          <w:szCs w:val="24"/>
        </w:rPr>
      </w:pPr>
    </w:p>
    <w:p w:rsidR="004123D8" w:rsidRPr="001815A2" w:rsidRDefault="004123D8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3.</w:t>
      </w:r>
      <w:r w:rsidRPr="001815A2">
        <w:rPr>
          <w:sz w:val="24"/>
          <w:szCs w:val="24"/>
        </w:rPr>
        <w:tab/>
        <w:t xml:space="preserve">According to records maintained by the Pennsylvania Department of State, Corporation Bureau, </w:t>
      </w:r>
      <w:r w:rsidR="00500022" w:rsidRPr="001815A2">
        <w:rPr>
          <w:sz w:val="24"/>
          <w:szCs w:val="24"/>
        </w:rPr>
        <w:t>New Bethlehem Temple Apostolic Faith Church, Inc.</w:t>
      </w:r>
      <w:r w:rsidRPr="001815A2">
        <w:rPr>
          <w:sz w:val="24"/>
          <w:szCs w:val="24"/>
        </w:rPr>
        <w:t xml:space="preserve"> is an incorporated non-profit entity.</w:t>
      </w:r>
    </w:p>
    <w:p w:rsidR="00AF4CD2" w:rsidRPr="001815A2" w:rsidRDefault="00AF4CD2" w:rsidP="00142C32">
      <w:pPr>
        <w:jc w:val="left"/>
        <w:rPr>
          <w:sz w:val="24"/>
          <w:szCs w:val="24"/>
        </w:rPr>
      </w:pPr>
    </w:p>
    <w:p w:rsidR="00AF4CD2" w:rsidRPr="001815A2" w:rsidRDefault="00AF4CD2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lastRenderedPageBreak/>
        <w:tab/>
      </w:r>
      <w:r w:rsidRPr="001815A2">
        <w:rPr>
          <w:sz w:val="24"/>
          <w:szCs w:val="24"/>
        </w:rPr>
        <w:tab/>
        <w:t>4.</w:t>
      </w:r>
      <w:r w:rsidRPr="001815A2">
        <w:rPr>
          <w:sz w:val="24"/>
          <w:szCs w:val="24"/>
        </w:rPr>
        <w:tab/>
      </w:r>
      <w:r w:rsidR="00A5455A">
        <w:rPr>
          <w:sz w:val="24"/>
          <w:szCs w:val="24"/>
        </w:rPr>
        <w:t>Respondent Philadelphia Gas Works filed a</w:t>
      </w:r>
      <w:r w:rsidRPr="001815A2">
        <w:rPr>
          <w:sz w:val="24"/>
          <w:szCs w:val="24"/>
        </w:rPr>
        <w:t>n Answer on September 7, 201</w:t>
      </w:r>
      <w:r w:rsidR="00A5455A">
        <w:rPr>
          <w:sz w:val="24"/>
          <w:szCs w:val="24"/>
        </w:rPr>
        <w:t>0</w:t>
      </w:r>
      <w:r w:rsidRPr="001815A2">
        <w:rPr>
          <w:sz w:val="24"/>
          <w:szCs w:val="24"/>
        </w:rPr>
        <w:t>.</w:t>
      </w:r>
    </w:p>
    <w:p w:rsidR="004123D8" w:rsidRPr="001815A2" w:rsidRDefault="004123D8" w:rsidP="00142C32">
      <w:pPr>
        <w:jc w:val="left"/>
        <w:rPr>
          <w:sz w:val="24"/>
          <w:szCs w:val="24"/>
        </w:rPr>
      </w:pPr>
    </w:p>
    <w:p w:rsidR="004123D8" w:rsidRPr="001815A2" w:rsidRDefault="004123D8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AF4CD2" w:rsidRPr="001815A2">
        <w:rPr>
          <w:sz w:val="24"/>
          <w:szCs w:val="24"/>
        </w:rPr>
        <w:t>5</w:t>
      </w:r>
      <w:r w:rsidRPr="001815A2">
        <w:rPr>
          <w:sz w:val="24"/>
          <w:szCs w:val="24"/>
        </w:rPr>
        <w:t>.</w:t>
      </w:r>
      <w:r w:rsidRPr="001815A2">
        <w:rPr>
          <w:sz w:val="24"/>
          <w:szCs w:val="24"/>
        </w:rPr>
        <w:tab/>
      </w:r>
      <w:r w:rsidR="00A262CD">
        <w:rPr>
          <w:sz w:val="24"/>
          <w:szCs w:val="24"/>
        </w:rPr>
        <w:t>P</w:t>
      </w:r>
      <w:r w:rsidR="00A5455A" w:rsidRPr="001815A2">
        <w:rPr>
          <w:sz w:val="24"/>
          <w:szCs w:val="24"/>
        </w:rPr>
        <w:t>ursuant to 52 Pa. Code</w:t>
      </w:r>
      <w:r w:rsidR="00A262CD">
        <w:rPr>
          <w:sz w:val="24"/>
          <w:szCs w:val="24"/>
        </w:rPr>
        <w:t xml:space="preserve"> </w:t>
      </w:r>
      <w:r w:rsidR="00A262CD" w:rsidRPr="001815A2">
        <w:rPr>
          <w:sz w:val="24"/>
          <w:szCs w:val="24"/>
        </w:rPr>
        <w:t>§§</w:t>
      </w:r>
      <w:r w:rsidR="00A262CD">
        <w:rPr>
          <w:sz w:val="24"/>
          <w:szCs w:val="24"/>
        </w:rPr>
        <w:t xml:space="preserve"> </w:t>
      </w:r>
      <w:r w:rsidR="00A262CD" w:rsidRPr="001815A2">
        <w:rPr>
          <w:sz w:val="24"/>
          <w:szCs w:val="24"/>
        </w:rPr>
        <w:t xml:space="preserve">1.21 </w:t>
      </w:r>
      <w:r w:rsidR="007A0C33">
        <w:rPr>
          <w:sz w:val="24"/>
          <w:szCs w:val="24"/>
        </w:rPr>
        <w:t>-</w:t>
      </w:r>
      <w:r w:rsidR="00A262CD" w:rsidRPr="001815A2">
        <w:rPr>
          <w:sz w:val="24"/>
          <w:szCs w:val="24"/>
        </w:rPr>
        <w:t xml:space="preserve"> 1.2</w:t>
      </w:r>
      <w:r w:rsidR="007A0C33">
        <w:rPr>
          <w:sz w:val="24"/>
          <w:szCs w:val="24"/>
        </w:rPr>
        <w:t>3</w:t>
      </w:r>
      <w:r w:rsidR="00A262CD">
        <w:rPr>
          <w:sz w:val="24"/>
          <w:szCs w:val="24"/>
        </w:rPr>
        <w:t>, by</w:t>
      </w:r>
      <w:r w:rsidRPr="001815A2">
        <w:rPr>
          <w:sz w:val="24"/>
          <w:szCs w:val="24"/>
        </w:rPr>
        <w:t xml:space="preserve"> Prehearing Order dated February </w:t>
      </w:r>
      <w:r w:rsidR="00500022" w:rsidRPr="001815A2">
        <w:rPr>
          <w:sz w:val="24"/>
          <w:szCs w:val="24"/>
        </w:rPr>
        <w:t>March 1, 2011</w:t>
      </w:r>
      <w:r w:rsidRPr="001815A2">
        <w:rPr>
          <w:sz w:val="24"/>
          <w:szCs w:val="24"/>
        </w:rPr>
        <w:t>, I directed complainant</w:t>
      </w:r>
      <w:r w:rsidR="00656D9F" w:rsidRPr="001815A2">
        <w:rPr>
          <w:sz w:val="24"/>
          <w:szCs w:val="24"/>
        </w:rPr>
        <w:t xml:space="preserve"> </w:t>
      </w:r>
      <w:r w:rsidR="00500022" w:rsidRPr="001815A2">
        <w:rPr>
          <w:sz w:val="24"/>
          <w:szCs w:val="24"/>
        </w:rPr>
        <w:t>New Bethlehem Temple Apostolic Faith Church, Inc</w:t>
      </w:r>
      <w:r w:rsidR="00A262CD">
        <w:rPr>
          <w:sz w:val="24"/>
          <w:szCs w:val="24"/>
        </w:rPr>
        <w:t xml:space="preserve">. </w:t>
      </w:r>
      <w:r w:rsidRPr="001815A2">
        <w:rPr>
          <w:sz w:val="24"/>
          <w:szCs w:val="24"/>
        </w:rPr>
        <w:t xml:space="preserve">to have an attorney licensed to practice in Pennsylvania file a notice of appearance on or before </w:t>
      </w:r>
      <w:r w:rsidR="00500022" w:rsidRPr="001815A2">
        <w:rPr>
          <w:sz w:val="24"/>
          <w:szCs w:val="24"/>
        </w:rPr>
        <w:t>March 11, 2011</w:t>
      </w:r>
      <w:r w:rsidRPr="001815A2">
        <w:rPr>
          <w:sz w:val="24"/>
          <w:szCs w:val="24"/>
        </w:rPr>
        <w:t>.</w:t>
      </w:r>
    </w:p>
    <w:p w:rsidR="005E4500" w:rsidRPr="001815A2" w:rsidRDefault="005E4500" w:rsidP="00142C32">
      <w:pPr>
        <w:jc w:val="left"/>
        <w:rPr>
          <w:sz w:val="24"/>
          <w:szCs w:val="24"/>
        </w:rPr>
      </w:pPr>
    </w:p>
    <w:p w:rsidR="00656D9F" w:rsidRPr="001815A2" w:rsidRDefault="00656D9F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AF4CD2" w:rsidRPr="001815A2">
        <w:rPr>
          <w:sz w:val="24"/>
          <w:szCs w:val="24"/>
        </w:rPr>
        <w:t>6</w:t>
      </w:r>
      <w:r w:rsidRPr="001815A2">
        <w:rPr>
          <w:sz w:val="24"/>
          <w:szCs w:val="24"/>
        </w:rPr>
        <w:t>.</w:t>
      </w:r>
      <w:r w:rsidRPr="001815A2">
        <w:rPr>
          <w:sz w:val="24"/>
          <w:szCs w:val="24"/>
        </w:rPr>
        <w:tab/>
        <w:t xml:space="preserve">No notice of appearance was filed with the Commission or served on me.  </w:t>
      </w:r>
    </w:p>
    <w:p w:rsidR="004200A3" w:rsidRPr="001815A2" w:rsidRDefault="004200A3" w:rsidP="00142C32">
      <w:pPr>
        <w:jc w:val="left"/>
        <w:rPr>
          <w:sz w:val="24"/>
          <w:szCs w:val="24"/>
        </w:rPr>
      </w:pPr>
    </w:p>
    <w:p w:rsidR="004200A3" w:rsidRPr="001815A2" w:rsidRDefault="004200A3" w:rsidP="00142C32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AF4CD2" w:rsidRPr="001815A2">
        <w:rPr>
          <w:sz w:val="24"/>
          <w:szCs w:val="24"/>
        </w:rPr>
        <w:t>7</w:t>
      </w:r>
      <w:r w:rsidRPr="001815A2">
        <w:rPr>
          <w:sz w:val="24"/>
          <w:szCs w:val="24"/>
        </w:rPr>
        <w:t>.</w:t>
      </w:r>
      <w:r w:rsidRPr="001815A2">
        <w:rPr>
          <w:sz w:val="24"/>
          <w:szCs w:val="24"/>
        </w:rPr>
        <w:tab/>
        <w:t>By letter received by me on March 10, 2011, Pastor Smalls explained that New Bethlehem is a small congregation with limited funds and that it would not be in a position to secure representation.</w:t>
      </w:r>
    </w:p>
    <w:p w:rsidR="00A05A61" w:rsidRPr="001815A2" w:rsidRDefault="00A05A61" w:rsidP="00142C32">
      <w:pPr>
        <w:jc w:val="left"/>
        <w:rPr>
          <w:sz w:val="24"/>
          <w:szCs w:val="24"/>
        </w:rPr>
      </w:pPr>
    </w:p>
    <w:p w:rsidR="00A05A61" w:rsidRPr="001815A2" w:rsidRDefault="00BC4A8C" w:rsidP="00BC4A8C">
      <w:pPr>
        <w:jc w:val="center"/>
        <w:rPr>
          <w:sz w:val="24"/>
          <w:szCs w:val="24"/>
          <w:u w:val="single"/>
        </w:rPr>
      </w:pPr>
      <w:r w:rsidRPr="001815A2">
        <w:rPr>
          <w:sz w:val="24"/>
          <w:szCs w:val="24"/>
          <w:u w:val="single"/>
        </w:rPr>
        <w:t>DISCUSSIO</w:t>
      </w:r>
      <w:r w:rsidR="00F311B5" w:rsidRPr="001815A2">
        <w:rPr>
          <w:sz w:val="24"/>
          <w:szCs w:val="24"/>
          <w:u w:val="single"/>
        </w:rPr>
        <w:t>N</w:t>
      </w:r>
    </w:p>
    <w:p w:rsidR="00BC4A8C" w:rsidRPr="001815A2" w:rsidRDefault="00BC4A8C" w:rsidP="00BC4A8C">
      <w:pPr>
        <w:jc w:val="left"/>
        <w:rPr>
          <w:b/>
          <w:sz w:val="24"/>
          <w:szCs w:val="24"/>
        </w:rPr>
      </w:pPr>
    </w:p>
    <w:p w:rsidR="00BC4A8C" w:rsidRPr="001815A2" w:rsidRDefault="00BC4A8C" w:rsidP="00BC4A8C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AF4CD2" w:rsidRPr="001815A2">
        <w:rPr>
          <w:sz w:val="24"/>
          <w:szCs w:val="24"/>
        </w:rPr>
        <w:t>In light of New Bethlehem’s own statement that it will not be represented in this adversarial proceeding, t</w:t>
      </w:r>
      <w:r w:rsidRPr="001815A2">
        <w:rPr>
          <w:sz w:val="24"/>
          <w:szCs w:val="24"/>
        </w:rPr>
        <w:t xml:space="preserve">here is no question that the Complaint must be dismissed.  The regulations promulgated by the Commission require that corporate entities be represented by counsel.  52 Pa. </w:t>
      </w:r>
      <w:r w:rsidR="00183890" w:rsidRPr="001815A2">
        <w:rPr>
          <w:sz w:val="24"/>
          <w:szCs w:val="24"/>
        </w:rPr>
        <w:t>Code §</w:t>
      </w:r>
      <w:r w:rsidRPr="001815A2">
        <w:rPr>
          <w:sz w:val="24"/>
          <w:szCs w:val="24"/>
        </w:rPr>
        <w:t>§</w:t>
      </w:r>
      <w:r w:rsidR="00445D9A" w:rsidRPr="001815A2">
        <w:rPr>
          <w:sz w:val="24"/>
          <w:szCs w:val="24"/>
        </w:rPr>
        <w:t xml:space="preserve"> </w:t>
      </w:r>
      <w:r w:rsidRPr="001815A2">
        <w:rPr>
          <w:sz w:val="24"/>
          <w:szCs w:val="24"/>
        </w:rPr>
        <w:t xml:space="preserve">1.21-1.23; </w:t>
      </w:r>
      <w:r w:rsidRPr="001815A2">
        <w:rPr>
          <w:i/>
          <w:sz w:val="24"/>
          <w:szCs w:val="24"/>
        </w:rPr>
        <w:t>Moore v. I. Berman and Cross, Inc.</w:t>
      </w:r>
      <w:r w:rsidRPr="001815A2">
        <w:rPr>
          <w:sz w:val="24"/>
          <w:szCs w:val="24"/>
        </w:rPr>
        <w:t>, 49 Pa</w:t>
      </w:r>
      <w:r w:rsidR="00A262CD">
        <w:rPr>
          <w:sz w:val="24"/>
          <w:szCs w:val="24"/>
        </w:rPr>
        <w:t xml:space="preserve">. </w:t>
      </w:r>
      <w:r w:rsidRPr="001815A2">
        <w:rPr>
          <w:sz w:val="24"/>
          <w:szCs w:val="24"/>
        </w:rPr>
        <w:t>PUC 427, 428 (1975) (</w:t>
      </w:r>
      <w:r w:rsidR="00A262CD">
        <w:rPr>
          <w:sz w:val="24"/>
          <w:szCs w:val="24"/>
        </w:rPr>
        <w:t>o</w:t>
      </w:r>
      <w:r w:rsidRPr="001815A2">
        <w:rPr>
          <w:sz w:val="24"/>
          <w:szCs w:val="24"/>
        </w:rPr>
        <w:t xml:space="preserve">fficer cannot appear on behalf of corporation).  See also, </w:t>
      </w:r>
      <w:r w:rsidRPr="001815A2">
        <w:rPr>
          <w:i/>
          <w:sz w:val="24"/>
          <w:szCs w:val="24"/>
        </w:rPr>
        <w:t>Shortz v. Farrell</w:t>
      </w:r>
      <w:r w:rsidRPr="001815A2">
        <w:rPr>
          <w:sz w:val="24"/>
          <w:szCs w:val="24"/>
        </w:rPr>
        <w:t>, 193 A.</w:t>
      </w:r>
      <w:r w:rsidR="00A262CD">
        <w:rPr>
          <w:sz w:val="24"/>
          <w:szCs w:val="24"/>
        </w:rPr>
        <w:t xml:space="preserve"> </w:t>
      </w:r>
      <w:r w:rsidRPr="001815A2">
        <w:rPr>
          <w:sz w:val="24"/>
          <w:szCs w:val="24"/>
        </w:rPr>
        <w:t>20 (</w:t>
      </w:r>
      <w:r w:rsidR="00445D9A" w:rsidRPr="001815A2">
        <w:rPr>
          <w:sz w:val="24"/>
          <w:szCs w:val="24"/>
        </w:rPr>
        <w:t xml:space="preserve">Pa. </w:t>
      </w:r>
      <w:r w:rsidRPr="001815A2">
        <w:rPr>
          <w:sz w:val="24"/>
          <w:szCs w:val="24"/>
        </w:rPr>
        <w:t>1937</w:t>
      </w:r>
      <w:r w:rsidRPr="001815A2">
        <w:rPr>
          <w:i/>
          <w:sz w:val="24"/>
          <w:szCs w:val="24"/>
        </w:rPr>
        <w:t>);</w:t>
      </w:r>
      <w:r w:rsidRPr="001815A2">
        <w:rPr>
          <w:sz w:val="24"/>
          <w:szCs w:val="24"/>
        </w:rPr>
        <w:t xml:space="preserve"> </w:t>
      </w:r>
      <w:r w:rsidRPr="001815A2">
        <w:rPr>
          <w:i/>
          <w:sz w:val="24"/>
          <w:szCs w:val="24"/>
        </w:rPr>
        <w:t>Smaha v. Landy</w:t>
      </w:r>
      <w:r w:rsidRPr="001815A2">
        <w:rPr>
          <w:sz w:val="24"/>
          <w:szCs w:val="24"/>
        </w:rPr>
        <w:t xml:space="preserve">, 638 A.2d 392 (Pa. Cmwlth. 1994); </w:t>
      </w:r>
      <w:r w:rsidRPr="001815A2">
        <w:rPr>
          <w:i/>
          <w:sz w:val="24"/>
          <w:szCs w:val="24"/>
        </w:rPr>
        <w:t>Pub</w:t>
      </w:r>
      <w:r w:rsidR="00F322FD" w:rsidRPr="001815A2">
        <w:rPr>
          <w:i/>
          <w:sz w:val="24"/>
          <w:szCs w:val="24"/>
        </w:rPr>
        <w:t>lic</w:t>
      </w:r>
      <w:r w:rsidRPr="001815A2">
        <w:rPr>
          <w:i/>
          <w:sz w:val="24"/>
          <w:szCs w:val="24"/>
        </w:rPr>
        <w:t xml:space="preserve"> Serv. Water Co. v.</w:t>
      </w:r>
      <w:r w:rsidR="00445D9A" w:rsidRPr="001815A2">
        <w:rPr>
          <w:i/>
          <w:sz w:val="24"/>
          <w:szCs w:val="24"/>
        </w:rPr>
        <w:t xml:space="preserve"> Pennsylvania Pub. Util. Comm’n</w:t>
      </w:r>
      <w:r w:rsidRPr="001815A2">
        <w:rPr>
          <w:sz w:val="24"/>
          <w:szCs w:val="24"/>
        </w:rPr>
        <w:t xml:space="preserve">, 645 A.2d 423 (Pa. Cmwlth. 1994); </w:t>
      </w:r>
      <w:r w:rsidRPr="001815A2">
        <w:rPr>
          <w:i/>
          <w:sz w:val="24"/>
          <w:szCs w:val="24"/>
        </w:rPr>
        <w:t>LeStat Corp. v. Pennsylvania Power &amp; Light Co.</w:t>
      </w:r>
      <w:r w:rsidRPr="001815A2">
        <w:rPr>
          <w:sz w:val="24"/>
          <w:szCs w:val="24"/>
        </w:rPr>
        <w:t>, Docket No. C-00946284</w:t>
      </w:r>
      <w:r w:rsidR="00244DF2" w:rsidRPr="001815A2">
        <w:rPr>
          <w:sz w:val="24"/>
          <w:szCs w:val="24"/>
        </w:rPr>
        <w:t>,</w:t>
      </w:r>
      <w:r w:rsidRPr="001815A2">
        <w:rPr>
          <w:sz w:val="24"/>
          <w:szCs w:val="24"/>
        </w:rPr>
        <w:t xml:space="preserve"> Commission Opinion and Order entered August 30, 1995.  </w:t>
      </w:r>
      <w:r w:rsidR="00730A81" w:rsidRPr="001815A2">
        <w:rPr>
          <w:sz w:val="24"/>
          <w:szCs w:val="24"/>
        </w:rPr>
        <w:t xml:space="preserve">In </w:t>
      </w:r>
      <w:r w:rsidR="00730A81" w:rsidRPr="001815A2">
        <w:rPr>
          <w:i/>
          <w:sz w:val="24"/>
          <w:szCs w:val="24"/>
        </w:rPr>
        <w:t>The Spirit of the Avenger Ministries v. Commonwealth of P</w:t>
      </w:r>
      <w:r w:rsidR="00A262CD">
        <w:rPr>
          <w:i/>
          <w:sz w:val="24"/>
          <w:szCs w:val="24"/>
        </w:rPr>
        <w:t>a</w:t>
      </w:r>
      <w:r w:rsidR="00730A81" w:rsidRPr="001815A2">
        <w:rPr>
          <w:sz w:val="24"/>
          <w:szCs w:val="24"/>
        </w:rPr>
        <w:t>, 767 A.2d 1130 (</w:t>
      </w:r>
      <w:r w:rsidR="000E7EBC">
        <w:rPr>
          <w:sz w:val="24"/>
          <w:szCs w:val="24"/>
        </w:rPr>
        <w:t xml:space="preserve">Pa. Cmwlth. </w:t>
      </w:r>
      <w:r w:rsidR="00730A81" w:rsidRPr="001815A2">
        <w:rPr>
          <w:sz w:val="24"/>
          <w:szCs w:val="24"/>
        </w:rPr>
        <w:t xml:space="preserve">2001), the Pennsylvania Commonwealth Court specifically ruled that churches could not be represented by their pastors or other non-attorneys.   </w:t>
      </w:r>
    </w:p>
    <w:p w:rsidR="00BC4A8C" w:rsidRPr="001815A2" w:rsidRDefault="00BC4A8C" w:rsidP="00BC4A8C">
      <w:pPr>
        <w:jc w:val="left"/>
        <w:rPr>
          <w:sz w:val="24"/>
          <w:szCs w:val="24"/>
        </w:rPr>
      </w:pPr>
    </w:p>
    <w:p w:rsidR="00BC4A8C" w:rsidRPr="001815A2" w:rsidRDefault="00BC4A8C" w:rsidP="00BC4A8C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</w:r>
      <w:r w:rsidR="00404D6D">
        <w:rPr>
          <w:sz w:val="24"/>
          <w:szCs w:val="24"/>
        </w:rPr>
        <w:t>As a corporate entity, c</w:t>
      </w:r>
      <w:r w:rsidRPr="001815A2">
        <w:rPr>
          <w:sz w:val="24"/>
          <w:szCs w:val="24"/>
        </w:rPr>
        <w:t xml:space="preserve">omplainant </w:t>
      </w:r>
      <w:r w:rsidR="004200A3" w:rsidRPr="001815A2">
        <w:rPr>
          <w:sz w:val="24"/>
          <w:szCs w:val="24"/>
        </w:rPr>
        <w:t>New Bethlehem</w:t>
      </w:r>
      <w:r w:rsidRPr="001815A2">
        <w:rPr>
          <w:sz w:val="24"/>
          <w:szCs w:val="24"/>
        </w:rPr>
        <w:t xml:space="preserve"> is required to be represented by counsel</w:t>
      </w:r>
      <w:r w:rsidR="00404D6D">
        <w:rPr>
          <w:sz w:val="24"/>
          <w:szCs w:val="24"/>
        </w:rPr>
        <w:t xml:space="preserve"> in adversarial proceedings</w:t>
      </w:r>
      <w:r w:rsidRPr="001815A2">
        <w:rPr>
          <w:sz w:val="24"/>
          <w:szCs w:val="24"/>
        </w:rPr>
        <w:t xml:space="preserve">.  No attorney was listed on the Complaint, nor has one entered an appearance.  Complainant obviously is aware of this requirement – not only is it </w:t>
      </w:r>
      <w:r w:rsidRPr="001815A2">
        <w:rPr>
          <w:sz w:val="24"/>
          <w:szCs w:val="24"/>
        </w:rPr>
        <w:lastRenderedPageBreak/>
        <w:t xml:space="preserve">contained within the Commission regulations at 52 Pa. </w:t>
      </w:r>
      <w:r w:rsidR="00404D6D" w:rsidRPr="001815A2">
        <w:rPr>
          <w:sz w:val="24"/>
          <w:szCs w:val="24"/>
        </w:rPr>
        <w:t>Code</w:t>
      </w:r>
      <w:r w:rsidR="00404D6D">
        <w:rPr>
          <w:sz w:val="24"/>
          <w:szCs w:val="24"/>
        </w:rPr>
        <w:t xml:space="preserve"> </w:t>
      </w:r>
      <w:r w:rsidR="00404D6D" w:rsidRPr="001815A2">
        <w:rPr>
          <w:sz w:val="24"/>
          <w:szCs w:val="24"/>
        </w:rPr>
        <w:t>§§</w:t>
      </w:r>
      <w:r w:rsidR="00404D6D">
        <w:rPr>
          <w:sz w:val="24"/>
          <w:szCs w:val="24"/>
        </w:rPr>
        <w:t xml:space="preserve"> </w:t>
      </w:r>
      <w:r w:rsidR="00404D6D" w:rsidRPr="001815A2">
        <w:rPr>
          <w:sz w:val="24"/>
          <w:szCs w:val="24"/>
        </w:rPr>
        <w:t xml:space="preserve">1.21 </w:t>
      </w:r>
      <w:r w:rsidR="00ED5098">
        <w:rPr>
          <w:sz w:val="24"/>
          <w:szCs w:val="24"/>
        </w:rPr>
        <w:t xml:space="preserve">– </w:t>
      </w:r>
      <w:r w:rsidR="00404D6D" w:rsidRPr="001815A2">
        <w:rPr>
          <w:sz w:val="24"/>
          <w:szCs w:val="24"/>
        </w:rPr>
        <w:t>1.2</w:t>
      </w:r>
      <w:r w:rsidR="00404D6D">
        <w:rPr>
          <w:sz w:val="24"/>
          <w:szCs w:val="24"/>
        </w:rPr>
        <w:t>3</w:t>
      </w:r>
      <w:r w:rsidRPr="001815A2">
        <w:rPr>
          <w:sz w:val="24"/>
          <w:szCs w:val="24"/>
        </w:rPr>
        <w:t xml:space="preserve">, it was expressly set out in </w:t>
      </w:r>
      <w:r w:rsidR="00464572" w:rsidRPr="001815A2">
        <w:rPr>
          <w:sz w:val="24"/>
          <w:szCs w:val="24"/>
        </w:rPr>
        <w:t>both my</w:t>
      </w:r>
      <w:r w:rsidRPr="001815A2">
        <w:rPr>
          <w:sz w:val="24"/>
          <w:szCs w:val="24"/>
        </w:rPr>
        <w:t xml:space="preserve"> </w:t>
      </w:r>
      <w:r w:rsidR="00072F09">
        <w:rPr>
          <w:sz w:val="24"/>
          <w:szCs w:val="24"/>
        </w:rPr>
        <w:t>March </w:t>
      </w:r>
      <w:r w:rsidR="00500022" w:rsidRPr="001815A2">
        <w:rPr>
          <w:sz w:val="24"/>
          <w:szCs w:val="24"/>
        </w:rPr>
        <w:t>1, 2011</w:t>
      </w:r>
      <w:r w:rsidR="004200A3" w:rsidRPr="001815A2">
        <w:rPr>
          <w:sz w:val="24"/>
          <w:szCs w:val="24"/>
        </w:rPr>
        <w:t>,</w:t>
      </w:r>
      <w:r w:rsidRPr="001815A2">
        <w:rPr>
          <w:sz w:val="24"/>
          <w:szCs w:val="24"/>
        </w:rPr>
        <w:t xml:space="preserve"> Prehearing Order</w:t>
      </w:r>
      <w:r w:rsidR="00464572" w:rsidRPr="001815A2">
        <w:rPr>
          <w:sz w:val="24"/>
          <w:szCs w:val="24"/>
        </w:rPr>
        <w:t xml:space="preserve"> and the March 1, 2011, Hearing Notice</w:t>
      </w:r>
      <w:r w:rsidR="00A1200F" w:rsidRPr="001815A2">
        <w:rPr>
          <w:sz w:val="24"/>
          <w:szCs w:val="24"/>
        </w:rPr>
        <w:t>– but has stated that it will not comply.</w:t>
      </w:r>
      <w:r w:rsidR="00183890" w:rsidRPr="001815A2">
        <w:rPr>
          <w:sz w:val="24"/>
          <w:szCs w:val="24"/>
        </w:rPr>
        <w:t xml:space="preserve">  </w:t>
      </w:r>
    </w:p>
    <w:p w:rsidR="005B1C3F" w:rsidRPr="001815A2" w:rsidRDefault="005B1C3F" w:rsidP="00BC4A8C">
      <w:pPr>
        <w:jc w:val="left"/>
        <w:rPr>
          <w:sz w:val="24"/>
          <w:szCs w:val="24"/>
        </w:rPr>
      </w:pPr>
    </w:p>
    <w:p w:rsidR="00C40988" w:rsidRPr="001815A2" w:rsidRDefault="005B1C3F" w:rsidP="00C40988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 xml:space="preserve">While the Commission has stated that the preparation and filing of a complaint by itself does not “clearly” constitute the practice of law and may be done by a corporate entity without representation, </w:t>
      </w:r>
      <w:r w:rsidR="00C40988" w:rsidRPr="001815A2">
        <w:rPr>
          <w:sz w:val="24"/>
          <w:szCs w:val="24"/>
        </w:rPr>
        <w:t xml:space="preserve">non-individuals must be represented by counsel at all stages of Commission proceedings once those proceedings become adversarial.  A proceeding becomes adversarial upon the filing of an </w:t>
      </w:r>
      <w:r w:rsidR="00464572" w:rsidRPr="001815A2">
        <w:rPr>
          <w:sz w:val="24"/>
          <w:szCs w:val="24"/>
        </w:rPr>
        <w:t>a</w:t>
      </w:r>
      <w:r w:rsidR="00C40988" w:rsidRPr="001815A2">
        <w:rPr>
          <w:sz w:val="24"/>
          <w:szCs w:val="24"/>
        </w:rPr>
        <w:t>nswer</w:t>
      </w:r>
      <w:r w:rsidR="00464572" w:rsidRPr="001815A2">
        <w:rPr>
          <w:sz w:val="24"/>
          <w:szCs w:val="24"/>
        </w:rPr>
        <w:t xml:space="preserve"> or other responsive pleading</w:t>
      </w:r>
      <w:r w:rsidR="00C40988" w:rsidRPr="001815A2">
        <w:rPr>
          <w:sz w:val="24"/>
          <w:szCs w:val="24"/>
        </w:rPr>
        <w:t xml:space="preserve">.  </w:t>
      </w:r>
      <w:r w:rsidR="00C40988" w:rsidRPr="001815A2">
        <w:rPr>
          <w:i/>
          <w:sz w:val="24"/>
          <w:szCs w:val="24"/>
        </w:rPr>
        <w:t>Cars R Us c/o Holman Copeland v. Philadelphia Gas Works</w:t>
      </w:r>
      <w:r w:rsidR="00C40988" w:rsidRPr="001815A2">
        <w:rPr>
          <w:sz w:val="24"/>
          <w:szCs w:val="24"/>
        </w:rPr>
        <w:t>, Docket No. C-2008-2033437, Commission Opinion and Order entered February 4, 2010</w:t>
      </w:r>
      <w:r w:rsidR="006224BE">
        <w:rPr>
          <w:sz w:val="24"/>
          <w:szCs w:val="24"/>
        </w:rPr>
        <w:t>;</w:t>
      </w:r>
      <w:r w:rsidR="00C40988" w:rsidRPr="001815A2">
        <w:rPr>
          <w:sz w:val="24"/>
          <w:szCs w:val="24"/>
        </w:rPr>
        <w:t xml:space="preserve"> </w:t>
      </w:r>
      <w:r w:rsidR="00C40988" w:rsidRPr="001815A2">
        <w:rPr>
          <w:i/>
          <w:sz w:val="24"/>
          <w:szCs w:val="24"/>
        </w:rPr>
        <w:t>Torino Inc. v. PECO Energy Co.</w:t>
      </w:r>
      <w:r w:rsidR="00C40988" w:rsidRPr="001815A2">
        <w:rPr>
          <w:sz w:val="24"/>
          <w:szCs w:val="24"/>
        </w:rPr>
        <w:t xml:space="preserve">, Docket No. C-2008-2034595, Commission Opinion and Order entered February 2, 2010; </w:t>
      </w:r>
      <w:r w:rsidR="00464572" w:rsidRPr="001815A2">
        <w:rPr>
          <w:i/>
          <w:sz w:val="24"/>
          <w:szCs w:val="24"/>
        </w:rPr>
        <w:t>Application of H.E. Rohrer, Inc. t/d/b/a Rohrer Bus Service for Approval of Abandonment or Discontinuance of Service</w:t>
      </w:r>
      <w:r w:rsidR="00464572" w:rsidRPr="001815A2">
        <w:rPr>
          <w:sz w:val="24"/>
          <w:szCs w:val="24"/>
        </w:rPr>
        <w:t>, Docket No A-00097618F0002, Commission Opinion and</w:t>
      </w:r>
      <w:r w:rsidR="00730A81" w:rsidRPr="001815A2">
        <w:rPr>
          <w:sz w:val="24"/>
          <w:szCs w:val="24"/>
        </w:rPr>
        <w:t xml:space="preserve"> </w:t>
      </w:r>
      <w:r w:rsidR="00464572" w:rsidRPr="001815A2">
        <w:rPr>
          <w:sz w:val="24"/>
          <w:szCs w:val="24"/>
        </w:rPr>
        <w:t>Order entered July 17, 2003 (Application stricken).</w:t>
      </w:r>
      <w:r w:rsidR="00464572" w:rsidRPr="001815A2">
        <w:rPr>
          <w:sz w:val="24"/>
          <w:szCs w:val="24"/>
          <w:vertAlign w:val="superscript"/>
        </w:rPr>
        <w:footnoteReference w:id="1"/>
      </w:r>
      <w:r w:rsidR="00C40988" w:rsidRPr="001815A2">
        <w:rPr>
          <w:sz w:val="24"/>
          <w:szCs w:val="24"/>
        </w:rPr>
        <w:t xml:space="preserve"> </w:t>
      </w:r>
    </w:p>
    <w:p w:rsidR="00C40988" w:rsidRPr="001815A2" w:rsidRDefault="00C40988" w:rsidP="00142C32">
      <w:pPr>
        <w:jc w:val="left"/>
        <w:rPr>
          <w:sz w:val="24"/>
          <w:szCs w:val="24"/>
        </w:rPr>
      </w:pPr>
    </w:p>
    <w:p w:rsidR="00D17DB9" w:rsidRPr="001815A2" w:rsidRDefault="00C40988" w:rsidP="00D17DB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 xml:space="preserve">In addition, </w:t>
      </w:r>
      <w:r w:rsidR="005B1C3F" w:rsidRPr="001815A2">
        <w:rPr>
          <w:sz w:val="24"/>
          <w:szCs w:val="24"/>
        </w:rPr>
        <w:t xml:space="preserve">the failure to comply with </w:t>
      </w:r>
      <w:r w:rsidR="00497545" w:rsidRPr="001815A2">
        <w:rPr>
          <w:sz w:val="24"/>
          <w:szCs w:val="24"/>
        </w:rPr>
        <w:t>a</w:t>
      </w:r>
      <w:r w:rsidRPr="001815A2">
        <w:rPr>
          <w:sz w:val="24"/>
          <w:szCs w:val="24"/>
        </w:rPr>
        <w:t>n</w:t>
      </w:r>
      <w:r w:rsidR="00497545" w:rsidRPr="001815A2">
        <w:rPr>
          <w:sz w:val="24"/>
          <w:szCs w:val="24"/>
        </w:rPr>
        <w:t xml:space="preserve"> order issued by a presiding officer (in this case, my March 1, 2011 Prehearin</w:t>
      </w:r>
      <w:r w:rsidR="006224BE">
        <w:rPr>
          <w:sz w:val="24"/>
          <w:szCs w:val="24"/>
        </w:rPr>
        <w:t>g Order) warrants dismissal of the</w:t>
      </w:r>
      <w:r w:rsidR="00497545" w:rsidRPr="001815A2">
        <w:rPr>
          <w:sz w:val="24"/>
          <w:szCs w:val="24"/>
        </w:rPr>
        <w:t xml:space="preserve"> </w:t>
      </w:r>
      <w:r w:rsidR="006224BE">
        <w:rPr>
          <w:sz w:val="24"/>
          <w:szCs w:val="24"/>
        </w:rPr>
        <w:t>C</w:t>
      </w:r>
      <w:r w:rsidR="00497545" w:rsidRPr="001815A2">
        <w:rPr>
          <w:sz w:val="24"/>
          <w:szCs w:val="24"/>
        </w:rPr>
        <w:t>omplaint</w:t>
      </w:r>
      <w:r w:rsidR="006224BE">
        <w:rPr>
          <w:sz w:val="24"/>
          <w:szCs w:val="24"/>
        </w:rPr>
        <w:t xml:space="preserve">. </w:t>
      </w:r>
      <w:r w:rsidR="00497545" w:rsidRPr="001815A2">
        <w:rPr>
          <w:sz w:val="24"/>
          <w:szCs w:val="24"/>
        </w:rPr>
        <w:t xml:space="preserve"> </w:t>
      </w:r>
      <w:proofErr w:type="gramStart"/>
      <w:r w:rsidR="00497545" w:rsidRPr="001815A2">
        <w:rPr>
          <w:sz w:val="24"/>
          <w:szCs w:val="24"/>
        </w:rPr>
        <w:t xml:space="preserve">See, e.g., </w:t>
      </w:r>
      <w:r w:rsidR="00E5765F" w:rsidRPr="001815A2">
        <w:rPr>
          <w:i/>
          <w:sz w:val="24"/>
          <w:szCs w:val="24"/>
        </w:rPr>
        <w:t>New Fizon Catering, Inc. v. PECO Energy Co.</w:t>
      </w:r>
      <w:r w:rsidR="00E5765F" w:rsidRPr="001815A2">
        <w:rPr>
          <w:sz w:val="24"/>
          <w:szCs w:val="24"/>
        </w:rPr>
        <w:t>, Docket Nos.</w:t>
      </w:r>
      <w:proofErr w:type="gramEnd"/>
      <w:r w:rsidR="00E5765F" w:rsidRPr="001815A2">
        <w:rPr>
          <w:sz w:val="24"/>
          <w:szCs w:val="24"/>
        </w:rPr>
        <w:t xml:space="preserve"> C-2008-2065498 and C-2008-2079076, Commission Opinion and Order entered June 24, 2009; </w:t>
      </w:r>
      <w:r w:rsidR="00497545" w:rsidRPr="001815A2">
        <w:rPr>
          <w:i/>
          <w:sz w:val="24"/>
          <w:szCs w:val="24"/>
        </w:rPr>
        <w:t>Snyderville Community Development Corp</w:t>
      </w:r>
      <w:r w:rsidR="00C43AF0" w:rsidRPr="001815A2">
        <w:rPr>
          <w:i/>
          <w:sz w:val="24"/>
          <w:szCs w:val="24"/>
        </w:rPr>
        <w:t>.</w:t>
      </w:r>
      <w:r w:rsidR="00497545" w:rsidRPr="001815A2">
        <w:rPr>
          <w:i/>
          <w:sz w:val="24"/>
          <w:szCs w:val="24"/>
        </w:rPr>
        <w:t xml:space="preserve"> v. Philadelphia Gas Works</w:t>
      </w:r>
      <w:r w:rsidR="00497545" w:rsidRPr="001815A2">
        <w:rPr>
          <w:sz w:val="24"/>
          <w:szCs w:val="24"/>
        </w:rPr>
        <w:t>, Docket No. C-20055032, Commission Opinion and Order entered July 31, 2006</w:t>
      </w:r>
      <w:r w:rsidR="00C43AF0" w:rsidRPr="001815A2">
        <w:rPr>
          <w:sz w:val="24"/>
          <w:szCs w:val="24"/>
        </w:rPr>
        <w:t xml:space="preserve"> (citing </w:t>
      </w:r>
      <w:r w:rsidR="00C43AF0" w:rsidRPr="001815A2">
        <w:rPr>
          <w:i/>
          <w:sz w:val="24"/>
          <w:szCs w:val="24"/>
        </w:rPr>
        <w:t>Treffinger v. PPL Electric Utilities Corp.</w:t>
      </w:r>
      <w:r w:rsidR="00C43AF0" w:rsidRPr="001815A2">
        <w:rPr>
          <w:sz w:val="24"/>
          <w:szCs w:val="24"/>
        </w:rPr>
        <w:t>, Docket No.</w:t>
      </w:r>
      <w:r w:rsidRPr="001815A2">
        <w:rPr>
          <w:sz w:val="24"/>
          <w:szCs w:val="24"/>
        </w:rPr>
        <w:t xml:space="preserve"> </w:t>
      </w:r>
      <w:r w:rsidR="00872A0B">
        <w:rPr>
          <w:sz w:val="24"/>
          <w:szCs w:val="24"/>
        </w:rPr>
        <w:t>C</w:t>
      </w:r>
      <w:r w:rsidR="00872A0B">
        <w:rPr>
          <w:sz w:val="24"/>
          <w:szCs w:val="24"/>
        </w:rPr>
        <w:noBreakHyphen/>
      </w:r>
      <w:r w:rsidR="00C43AF0" w:rsidRPr="001815A2">
        <w:rPr>
          <w:sz w:val="24"/>
          <w:szCs w:val="24"/>
        </w:rPr>
        <w:t>20027978, 2003 Pa. PUC LEXIS 3 March 3, 2003</w:t>
      </w:r>
      <w:r w:rsidR="00730A81" w:rsidRPr="001815A2">
        <w:rPr>
          <w:sz w:val="24"/>
          <w:szCs w:val="24"/>
        </w:rPr>
        <w:t>);</w:t>
      </w:r>
      <w:r w:rsidR="00BD64CB" w:rsidRPr="001815A2">
        <w:rPr>
          <w:sz w:val="24"/>
          <w:szCs w:val="24"/>
        </w:rPr>
        <w:t xml:space="preserve"> </w:t>
      </w:r>
      <w:r w:rsidR="00BC4A8C" w:rsidRPr="001815A2">
        <w:rPr>
          <w:i/>
          <w:sz w:val="24"/>
          <w:szCs w:val="24"/>
        </w:rPr>
        <w:t>Franconia Mennonite Conference v. Verizon Pennsylvania Inc.</w:t>
      </w:r>
      <w:r w:rsidR="00BC4A8C" w:rsidRPr="001815A2">
        <w:rPr>
          <w:sz w:val="24"/>
          <w:szCs w:val="24"/>
        </w:rPr>
        <w:t xml:space="preserve">, Docket No. </w:t>
      </w:r>
      <w:r w:rsidR="00B95F11" w:rsidRPr="001815A2">
        <w:rPr>
          <w:sz w:val="24"/>
          <w:szCs w:val="24"/>
        </w:rPr>
        <w:t>C-2010-2193709</w:t>
      </w:r>
      <w:r w:rsidR="00BC4A8C" w:rsidRPr="001815A2">
        <w:rPr>
          <w:sz w:val="24"/>
          <w:szCs w:val="24"/>
        </w:rPr>
        <w:t xml:space="preserve">, </w:t>
      </w:r>
      <w:r w:rsidR="00730A81" w:rsidRPr="001815A2">
        <w:rPr>
          <w:sz w:val="24"/>
          <w:szCs w:val="24"/>
        </w:rPr>
        <w:t xml:space="preserve">Commission </w:t>
      </w:r>
      <w:r w:rsidR="00BC4A8C" w:rsidRPr="001815A2">
        <w:rPr>
          <w:sz w:val="24"/>
          <w:szCs w:val="24"/>
        </w:rPr>
        <w:t>F</w:t>
      </w:r>
      <w:r w:rsidR="00872A0B">
        <w:rPr>
          <w:sz w:val="24"/>
          <w:szCs w:val="24"/>
        </w:rPr>
        <w:t>inal Order entered June </w:t>
      </w:r>
      <w:r w:rsidR="00D17DB9" w:rsidRPr="001815A2">
        <w:rPr>
          <w:sz w:val="24"/>
          <w:szCs w:val="24"/>
        </w:rPr>
        <w:t>6, 2003.</w:t>
      </w:r>
    </w:p>
    <w:p w:rsidR="00E5765F" w:rsidRPr="001815A2" w:rsidRDefault="00E5765F" w:rsidP="00D17DB9">
      <w:pPr>
        <w:jc w:val="left"/>
        <w:rPr>
          <w:sz w:val="24"/>
          <w:szCs w:val="24"/>
        </w:rPr>
      </w:pPr>
    </w:p>
    <w:p w:rsidR="00BC4A8C" w:rsidRPr="001815A2" w:rsidRDefault="00BC4A8C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The same result should occur here.</w:t>
      </w:r>
    </w:p>
    <w:p w:rsidR="00334F97" w:rsidRPr="001815A2" w:rsidRDefault="00334F97" w:rsidP="00BC4A8C">
      <w:pPr>
        <w:rPr>
          <w:sz w:val="24"/>
          <w:szCs w:val="24"/>
        </w:rPr>
      </w:pPr>
    </w:p>
    <w:p w:rsidR="00334F97" w:rsidRPr="001815A2" w:rsidRDefault="00ED5098" w:rsidP="00334F97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34F97" w:rsidRPr="001815A2">
        <w:rPr>
          <w:sz w:val="24"/>
          <w:szCs w:val="24"/>
          <w:u w:val="single"/>
        </w:rPr>
        <w:lastRenderedPageBreak/>
        <w:t>CONCLUSIONS OF LAW</w:t>
      </w:r>
    </w:p>
    <w:p w:rsidR="00334F97" w:rsidRPr="001815A2" w:rsidRDefault="00334F97" w:rsidP="00334F97">
      <w:pPr>
        <w:rPr>
          <w:sz w:val="24"/>
          <w:szCs w:val="24"/>
        </w:rPr>
      </w:pPr>
    </w:p>
    <w:p w:rsidR="00334F97" w:rsidRPr="001815A2" w:rsidRDefault="00334F97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1.</w:t>
      </w:r>
      <w:r w:rsidRPr="001815A2">
        <w:rPr>
          <w:sz w:val="24"/>
          <w:szCs w:val="24"/>
        </w:rPr>
        <w:tab/>
        <w:t>The Commission has jurisdiction over the parties and subject-matter of this proceeding.</w:t>
      </w:r>
    </w:p>
    <w:p w:rsidR="00334F97" w:rsidRPr="001815A2" w:rsidRDefault="00334F97" w:rsidP="007C7BD9">
      <w:pPr>
        <w:jc w:val="left"/>
        <w:rPr>
          <w:sz w:val="24"/>
          <w:szCs w:val="24"/>
        </w:rPr>
      </w:pPr>
    </w:p>
    <w:p w:rsidR="00334F97" w:rsidRPr="001815A2" w:rsidRDefault="00334F97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2.</w:t>
      </w:r>
      <w:r w:rsidRPr="001815A2">
        <w:rPr>
          <w:sz w:val="24"/>
          <w:szCs w:val="24"/>
        </w:rPr>
        <w:tab/>
        <w:t>Corporations</w:t>
      </w:r>
      <w:r w:rsidR="00D17DB9" w:rsidRPr="001815A2">
        <w:rPr>
          <w:sz w:val="24"/>
          <w:szCs w:val="24"/>
        </w:rPr>
        <w:t>, including non-profit organizations and churches,</w:t>
      </w:r>
      <w:r w:rsidRPr="001815A2">
        <w:rPr>
          <w:sz w:val="24"/>
          <w:szCs w:val="24"/>
        </w:rPr>
        <w:t xml:space="preserve"> are required to be represented by an attorney admitted to practice law in Pennsylvania in adversarial hearings before the Commission.  </w:t>
      </w:r>
    </w:p>
    <w:p w:rsidR="00244DF2" w:rsidRPr="001815A2" w:rsidRDefault="00244DF2" w:rsidP="007C7BD9">
      <w:pPr>
        <w:jc w:val="left"/>
        <w:rPr>
          <w:sz w:val="24"/>
          <w:szCs w:val="24"/>
        </w:rPr>
      </w:pPr>
    </w:p>
    <w:p w:rsidR="00244DF2" w:rsidRPr="001815A2" w:rsidRDefault="00D17DB9" w:rsidP="00244DF2">
      <w:pPr>
        <w:ind w:firstLine="1440"/>
        <w:rPr>
          <w:sz w:val="24"/>
          <w:szCs w:val="24"/>
        </w:rPr>
      </w:pPr>
      <w:r w:rsidRPr="001815A2">
        <w:rPr>
          <w:sz w:val="24"/>
          <w:szCs w:val="24"/>
        </w:rPr>
        <w:t>3</w:t>
      </w:r>
      <w:r w:rsidR="00244DF2" w:rsidRPr="001815A2">
        <w:rPr>
          <w:sz w:val="24"/>
          <w:szCs w:val="24"/>
        </w:rPr>
        <w:t>.</w:t>
      </w:r>
      <w:r w:rsidR="00244DF2" w:rsidRPr="001815A2">
        <w:rPr>
          <w:sz w:val="24"/>
          <w:szCs w:val="24"/>
        </w:rPr>
        <w:tab/>
        <w:t xml:space="preserve">A lack of compliance with an order issued by an administrative law judge requiring the retention of counsel presents a sufficient basis to dismiss a complaint without a hearing.  </w:t>
      </w:r>
    </w:p>
    <w:p w:rsidR="00244DF2" w:rsidRPr="001815A2" w:rsidRDefault="00244DF2" w:rsidP="007C7BD9">
      <w:pPr>
        <w:jc w:val="left"/>
        <w:rPr>
          <w:sz w:val="24"/>
          <w:szCs w:val="24"/>
        </w:rPr>
      </w:pPr>
    </w:p>
    <w:p w:rsidR="00334F97" w:rsidRPr="001815A2" w:rsidRDefault="00334F97" w:rsidP="006946EF">
      <w:pPr>
        <w:jc w:val="center"/>
        <w:rPr>
          <w:sz w:val="24"/>
          <w:szCs w:val="24"/>
          <w:u w:val="single"/>
        </w:rPr>
      </w:pPr>
      <w:r w:rsidRPr="001815A2">
        <w:rPr>
          <w:sz w:val="24"/>
          <w:szCs w:val="24"/>
          <w:u w:val="single"/>
        </w:rPr>
        <w:t>ORDER</w:t>
      </w:r>
    </w:p>
    <w:p w:rsidR="00334F97" w:rsidRPr="001815A2" w:rsidRDefault="00334F97" w:rsidP="00334F97">
      <w:pPr>
        <w:rPr>
          <w:sz w:val="24"/>
          <w:szCs w:val="24"/>
        </w:rPr>
      </w:pPr>
    </w:p>
    <w:p w:rsidR="00334F97" w:rsidRPr="001815A2" w:rsidRDefault="00334F97" w:rsidP="00334F97">
      <w:pPr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THEREFORE,</w:t>
      </w:r>
    </w:p>
    <w:p w:rsidR="00334F97" w:rsidRPr="001815A2" w:rsidRDefault="00334F97" w:rsidP="00334F97">
      <w:pPr>
        <w:rPr>
          <w:sz w:val="24"/>
          <w:szCs w:val="24"/>
        </w:rPr>
      </w:pPr>
    </w:p>
    <w:p w:rsidR="00334F97" w:rsidRPr="001815A2" w:rsidRDefault="00334F97" w:rsidP="00334F97">
      <w:pPr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IT IS ORDERED:</w:t>
      </w:r>
    </w:p>
    <w:p w:rsidR="00334F97" w:rsidRPr="001815A2" w:rsidRDefault="00334F97" w:rsidP="00334F97">
      <w:pPr>
        <w:rPr>
          <w:sz w:val="24"/>
          <w:szCs w:val="24"/>
        </w:rPr>
      </w:pPr>
    </w:p>
    <w:p w:rsidR="00334F97" w:rsidRPr="001815A2" w:rsidRDefault="00334F97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1.</w:t>
      </w:r>
      <w:r w:rsidRPr="001815A2">
        <w:rPr>
          <w:sz w:val="24"/>
          <w:szCs w:val="24"/>
        </w:rPr>
        <w:tab/>
        <w:t xml:space="preserve">That the Complaint filed </w:t>
      </w:r>
      <w:r w:rsidR="004C1851">
        <w:rPr>
          <w:sz w:val="24"/>
          <w:szCs w:val="24"/>
        </w:rPr>
        <w:t xml:space="preserve">by </w:t>
      </w:r>
      <w:r w:rsidR="00500022" w:rsidRPr="001815A2">
        <w:rPr>
          <w:sz w:val="24"/>
          <w:szCs w:val="24"/>
        </w:rPr>
        <w:t>New Bethlehem Temple Apostolic Faith Church, Inc.</w:t>
      </w:r>
      <w:r w:rsidRPr="001815A2">
        <w:rPr>
          <w:sz w:val="24"/>
          <w:szCs w:val="24"/>
        </w:rPr>
        <w:t xml:space="preserve"> against</w:t>
      </w:r>
      <w:r w:rsidR="00C81851" w:rsidRPr="001815A2">
        <w:rPr>
          <w:sz w:val="24"/>
          <w:szCs w:val="24"/>
        </w:rPr>
        <w:t xml:space="preserve"> Philadelphia Gas Works</w:t>
      </w:r>
      <w:r w:rsidRPr="001815A2">
        <w:rPr>
          <w:sz w:val="24"/>
          <w:szCs w:val="24"/>
        </w:rPr>
        <w:t xml:space="preserve"> at Docket No. </w:t>
      </w:r>
      <w:r w:rsidR="00B95F11" w:rsidRPr="001815A2">
        <w:rPr>
          <w:sz w:val="24"/>
          <w:szCs w:val="24"/>
        </w:rPr>
        <w:t>C-2010-2193709</w:t>
      </w:r>
      <w:r w:rsidRPr="001815A2">
        <w:rPr>
          <w:sz w:val="24"/>
          <w:szCs w:val="24"/>
        </w:rPr>
        <w:t xml:space="preserve"> </w:t>
      </w:r>
      <w:proofErr w:type="gramStart"/>
      <w:r w:rsidR="007F05A8" w:rsidRPr="001815A2">
        <w:rPr>
          <w:sz w:val="24"/>
          <w:szCs w:val="24"/>
        </w:rPr>
        <w:t>be</w:t>
      </w:r>
      <w:proofErr w:type="gramEnd"/>
      <w:r w:rsidRPr="001815A2">
        <w:rPr>
          <w:sz w:val="24"/>
          <w:szCs w:val="24"/>
        </w:rPr>
        <w:t xml:space="preserve"> dismissed;</w:t>
      </w:r>
      <w:r w:rsidR="00C81851" w:rsidRPr="001815A2">
        <w:rPr>
          <w:sz w:val="24"/>
          <w:szCs w:val="24"/>
        </w:rPr>
        <w:t xml:space="preserve"> </w:t>
      </w:r>
    </w:p>
    <w:p w:rsidR="00BD64CB" w:rsidRPr="001815A2" w:rsidRDefault="00BD64CB" w:rsidP="007C7BD9">
      <w:pPr>
        <w:jc w:val="left"/>
        <w:rPr>
          <w:sz w:val="24"/>
          <w:szCs w:val="24"/>
        </w:rPr>
      </w:pPr>
    </w:p>
    <w:p w:rsidR="00BD64CB" w:rsidRPr="001815A2" w:rsidRDefault="00BD64CB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Pr="001815A2">
        <w:rPr>
          <w:sz w:val="24"/>
          <w:szCs w:val="24"/>
        </w:rPr>
        <w:tab/>
        <w:t>2.</w:t>
      </w:r>
      <w:r w:rsidRPr="001815A2">
        <w:rPr>
          <w:sz w:val="24"/>
          <w:szCs w:val="24"/>
        </w:rPr>
        <w:tab/>
        <w:t xml:space="preserve">That the hearing scheduled for March 31, 2011, be cancelled; and </w:t>
      </w:r>
    </w:p>
    <w:p w:rsidR="00BD64CB" w:rsidRPr="001815A2" w:rsidRDefault="00BD64CB" w:rsidP="007C7BD9">
      <w:pPr>
        <w:jc w:val="left"/>
        <w:rPr>
          <w:sz w:val="24"/>
          <w:szCs w:val="24"/>
        </w:rPr>
      </w:pPr>
    </w:p>
    <w:p w:rsidR="00334F97" w:rsidRPr="001815A2" w:rsidRDefault="00334F97" w:rsidP="007C7BD9">
      <w:pPr>
        <w:jc w:val="left"/>
        <w:rPr>
          <w:sz w:val="24"/>
          <w:szCs w:val="24"/>
        </w:rPr>
      </w:pPr>
      <w:r w:rsidRPr="001815A2">
        <w:rPr>
          <w:sz w:val="24"/>
          <w:szCs w:val="24"/>
        </w:rPr>
        <w:tab/>
      </w:r>
      <w:r w:rsidR="006946EF" w:rsidRPr="001815A2">
        <w:rPr>
          <w:sz w:val="24"/>
          <w:szCs w:val="24"/>
        </w:rPr>
        <w:tab/>
      </w:r>
      <w:r w:rsidR="00BD64CB" w:rsidRPr="001815A2">
        <w:rPr>
          <w:sz w:val="24"/>
          <w:szCs w:val="24"/>
        </w:rPr>
        <w:t>3</w:t>
      </w:r>
      <w:r w:rsidRPr="001815A2">
        <w:rPr>
          <w:sz w:val="24"/>
          <w:szCs w:val="24"/>
        </w:rPr>
        <w:t>.</w:t>
      </w:r>
      <w:r w:rsidRPr="001815A2">
        <w:rPr>
          <w:sz w:val="24"/>
          <w:szCs w:val="24"/>
        </w:rPr>
        <w:tab/>
        <w:t xml:space="preserve">That the record at Docket No. </w:t>
      </w:r>
      <w:r w:rsidR="00B95F11" w:rsidRPr="001815A2">
        <w:rPr>
          <w:sz w:val="24"/>
          <w:szCs w:val="24"/>
        </w:rPr>
        <w:t>C-2010-2193709</w:t>
      </w:r>
      <w:r w:rsidRPr="001815A2">
        <w:rPr>
          <w:sz w:val="24"/>
          <w:szCs w:val="24"/>
        </w:rPr>
        <w:t xml:space="preserve"> </w:t>
      </w:r>
      <w:proofErr w:type="gramStart"/>
      <w:r w:rsidRPr="001815A2">
        <w:rPr>
          <w:sz w:val="24"/>
          <w:szCs w:val="24"/>
        </w:rPr>
        <w:t>be</w:t>
      </w:r>
      <w:proofErr w:type="gramEnd"/>
      <w:r w:rsidRPr="001815A2">
        <w:rPr>
          <w:sz w:val="24"/>
          <w:szCs w:val="24"/>
        </w:rPr>
        <w:t xml:space="preserve"> marked closed.</w:t>
      </w:r>
    </w:p>
    <w:p w:rsidR="00334F97" w:rsidRPr="001815A2" w:rsidRDefault="00334F97" w:rsidP="007C7BD9">
      <w:pPr>
        <w:jc w:val="left"/>
        <w:rPr>
          <w:sz w:val="24"/>
          <w:szCs w:val="24"/>
        </w:rPr>
      </w:pPr>
    </w:p>
    <w:p w:rsidR="00334F97" w:rsidRPr="001815A2" w:rsidRDefault="00334F97" w:rsidP="007C7BD9">
      <w:pPr>
        <w:jc w:val="left"/>
        <w:rPr>
          <w:sz w:val="24"/>
          <w:szCs w:val="24"/>
        </w:rPr>
      </w:pPr>
    </w:p>
    <w:p w:rsidR="006946EF" w:rsidRPr="001815A2" w:rsidRDefault="006946EF" w:rsidP="00BC4A8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710"/>
        <w:gridCol w:w="4428"/>
      </w:tblGrid>
      <w:tr w:rsidR="006946EF" w:rsidRPr="001815A2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  <w:r w:rsidRPr="001815A2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6946EF" w:rsidRPr="00872A0B" w:rsidRDefault="006946EF" w:rsidP="00BD64CB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872A0B">
              <w:rPr>
                <w:sz w:val="24"/>
                <w:szCs w:val="24"/>
                <w:u w:val="single"/>
              </w:rPr>
              <w:t>March</w:t>
            </w:r>
            <w:r w:rsidR="00A1200F" w:rsidRPr="00872A0B">
              <w:rPr>
                <w:sz w:val="24"/>
                <w:szCs w:val="24"/>
                <w:u w:val="single"/>
              </w:rPr>
              <w:t xml:space="preserve"> </w:t>
            </w:r>
            <w:r w:rsidR="004C1851" w:rsidRPr="00872A0B">
              <w:rPr>
                <w:sz w:val="24"/>
                <w:szCs w:val="24"/>
                <w:u w:val="single"/>
              </w:rPr>
              <w:t>23</w:t>
            </w:r>
            <w:r w:rsidRPr="00872A0B">
              <w:rPr>
                <w:sz w:val="24"/>
                <w:szCs w:val="24"/>
                <w:u w:val="single"/>
              </w:rPr>
              <w:t>, 20</w:t>
            </w:r>
            <w:r w:rsidR="00BD64CB" w:rsidRPr="00872A0B">
              <w:rPr>
                <w:sz w:val="24"/>
                <w:szCs w:val="24"/>
                <w:u w:val="single"/>
              </w:rPr>
              <w:t>11</w:t>
            </w:r>
          </w:p>
        </w:tc>
        <w:tc>
          <w:tcPr>
            <w:tcW w:w="1710" w:type="dxa"/>
            <w:tcBorders>
              <w:left w:val="nil"/>
            </w:tcBorders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6" w:space="0" w:color="auto"/>
            </w:tcBorders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946EF" w:rsidRPr="001815A2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  <w:r w:rsidRPr="001815A2">
              <w:rPr>
                <w:sz w:val="24"/>
                <w:szCs w:val="24"/>
              </w:rPr>
              <w:t>Marlane R. Chestnut</w:t>
            </w:r>
          </w:p>
          <w:p w:rsidR="006946EF" w:rsidRPr="001815A2" w:rsidRDefault="006946EF" w:rsidP="006946EF">
            <w:pPr>
              <w:spacing w:line="240" w:lineRule="auto"/>
              <w:rPr>
                <w:sz w:val="24"/>
                <w:szCs w:val="24"/>
              </w:rPr>
            </w:pPr>
            <w:r w:rsidRPr="001815A2">
              <w:rPr>
                <w:sz w:val="24"/>
                <w:szCs w:val="24"/>
              </w:rPr>
              <w:t>Administrative Law Judge</w:t>
            </w:r>
          </w:p>
        </w:tc>
      </w:tr>
    </w:tbl>
    <w:p w:rsidR="006946EF" w:rsidRPr="001815A2" w:rsidRDefault="006946EF" w:rsidP="00872A0B">
      <w:pPr>
        <w:rPr>
          <w:sz w:val="24"/>
          <w:szCs w:val="24"/>
        </w:rPr>
      </w:pPr>
    </w:p>
    <w:sectPr w:rsidR="006946EF" w:rsidRPr="001815A2" w:rsidSect="009D22D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0B" w:rsidRDefault="00872A0B">
      <w:r>
        <w:separator/>
      </w:r>
    </w:p>
  </w:endnote>
  <w:endnote w:type="continuationSeparator" w:id="0">
    <w:p w:rsidR="00872A0B" w:rsidRDefault="00872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0B" w:rsidRDefault="00872A0B" w:rsidP="00E963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A0B" w:rsidRDefault="00872A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0B" w:rsidRPr="00872A0B" w:rsidRDefault="00872A0B" w:rsidP="00E9631E">
    <w:pPr>
      <w:pStyle w:val="Footer"/>
      <w:framePr w:wrap="around" w:vAnchor="text" w:hAnchor="margin" w:xAlign="center" w:y="1"/>
      <w:rPr>
        <w:rStyle w:val="PageNumber"/>
        <w:sz w:val="20"/>
      </w:rPr>
    </w:pPr>
    <w:r w:rsidRPr="00872A0B">
      <w:rPr>
        <w:rStyle w:val="PageNumber"/>
        <w:sz w:val="20"/>
      </w:rPr>
      <w:fldChar w:fldCharType="begin"/>
    </w:r>
    <w:r w:rsidRPr="00872A0B">
      <w:rPr>
        <w:rStyle w:val="PageNumber"/>
        <w:sz w:val="20"/>
      </w:rPr>
      <w:instrText xml:space="preserve">PAGE  </w:instrText>
    </w:r>
    <w:r w:rsidRPr="00872A0B">
      <w:rPr>
        <w:rStyle w:val="PageNumber"/>
        <w:sz w:val="20"/>
      </w:rPr>
      <w:fldChar w:fldCharType="separate"/>
    </w:r>
    <w:r w:rsidR="007110FF">
      <w:rPr>
        <w:rStyle w:val="PageNumber"/>
        <w:noProof/>
        <w:sz w:val="20"/>
      </w:rPr>
      <w:t>2</w:t>
    </w:r>
    <w:r w:rsidRPr="00872A0B">
      <w:rPr>
        <w:rStyle w:val="PageNumber"/>
        <w:sz w:val="20"/>
      </w:rPr>
      <w:fldChar w:fldCharType="end"/>
    </w:r>
  </w:p>
  <w:p w:rsidR="00872A0B" w:rsidRDefault="00872A0B" w:rsidP="00711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0B" w:rsidRDefault="00872A0B">
      <w:r>
        <w:separator/>
      </w:r>
    </w:p>
  </w:footnote>
  <w:footnote w:type="continuationSeparator" w:id="0">
    <w:p w:rsidR="00872A0B" w:rsidRDefault="00872A0B">
      <w:r>
        <w:continuationSeparator/>
      </w:r>
    </w:p>
  </w:footnote>
  <w:footnote w:id="1">
    <w:p w:rsidR="00872A0B" w:rsidRDefault="00872A0B" w:rsidP="00464572">
      <w:pPr>
        <w:pStyle w:val="FootnoteText"/>
        <w:spacing w:line="240" w:lineRule="auto"/>
        <w:ind w:left="720" w:hanging="720"/>
        <w:jc w:val="left"/>
      </w:pPr>
      <w:r w:rsidRPr="00CF64AA">
        <w:rPr>
          <w:rStyle w:val="FootnoteReference"/>
        </w:rPr>
        <w:footnoteRef/>
      </w:r>
      <w:r w:rsidRPr="00CF64AA">
        <w:tab/>
        <w:t>In a statement, Commission</w:t>
      </w:r>
      <w:r>
        <w:t>er</w:t>
      </w:r>
      <w:r w:rsidRPr="00CF64AA">
        <w:t xml:space="preserve"> Thomas stated: </w:t>
      </w:r>
      <w:r>
        <w:t xml:space="preserve"> </w:t>
      </w:r>
      <w:r w:rsidRPr="00CF64AA">
        <w:t xml:space="preserve">“The fact that the Commission is an administrative agency does not excuse the unauthorized practice of law, as the courts have indicated that Commission proceedings involve the Supreme Court-regulated practice of law.  </w:t>
      </w:r>
      <w:r w:rsidRPr="00CF64AA">
        <w:rPr>
          <w:i/>
        </w:rPr>
        <w:t xml:space="preserve">See </w:t>
      </w:r>
      <w:smartTag w:uri="urn:schemas-microsoft-com:office:smarttags" w:element="State">
        <w:smartTag w:uri="urn:schemas-microsoft-com:office:smarttags" w:element="place">
          <w:r w:rsidRPr="00CF64AA">
            <w:rPr>
              <w:i/>
            </w:rPr>
            <w:t>Pa.</w:t>
          </w:r>
        </w:smartTag>
      </w:smartTag>
      <w:r w:rsidRPr="00CF64AA">
        <w:rPr>
          <w:i/>
        </w:rPr>
        <w:t xml:space="preserve"> Pub. Util. Comm’n Bar Ass’n v. Thornburgh</w:t>
      </w:r>
      <w:r w:rsidRPr="00CF64AA">
        <w:t xml:space="preserve">, 434 A.2d 1327 (Pa. Cmwlth. 1981), </w:t>
      </w:r>
      <w:r w:rsidRPr="00CF64AA">
        <w:rPr>
          <w:i/>
        </w:rPr>
        <w:t>aff’d per curium</w:t>
      </w:r>
      <w:r w:rsidRPr="00CF64AA">
        <w:t>, 450 A.2d 613 (</w:t>
      </w:r>
      <w:smartTag w:uri="urn:schemas-microsoft-com:office:smarttags" w:element="State">
        <w:smartTag w:uri="urn:schemas-microsoft-com:office:smarttags" w:element="place">
          <w:r w:rsidRPr="00CF64AA">
            <w:t>Pa.</w:t>
          </w:r>
        </w:smartTag>
      </w:smartTag>
      <w:r w:rsidRPr="00CF64AA">
        <w:t xml:space="preserve"> 1982).”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1D92"/>
    <w:multiLevelType w:val="hybridMultilevel"/>
    <w:tmpl w:val="F10015CA"/>
    <w:lvl w:ilvl="0" w:tplc="3000F2DE">
      <w:start w:val="1"/>
      <w:numFmt w:val="lowerLetter"/>
      <w:lvlText w:val="(%1)"/>
      <w:lvlJc w:val="left"/>
      <w:pPr>
        <w:ind w:left="54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9ED"/>
    <w:rsid w:val="000108C8"/>
    <w:rsid w:val="00012ABF"/>
    <w:rsid w:val="00047AEE"/>
    <w:rsid w:val="00057DEE"/>
    <w:rsid w:val="00072F09"/>
    <w:rsid w:val="000779CD"/>
    <w:rsid w:val="00080856"/>
    <w:rsid w:val="000856AE"/>
    <w:rsid w:val="000A04AC"/>
    <w:rsid w:val="000A45EE"/>
    <w:rsid w:val="000B3C03"/>
    <w:rsid w:val="000D125D"/>
    <w:rsid w:val="000D3411"/>
    <w:rsid w:val="000E7EBC"/>
    <w:rsid w:val="000F7E22"/>
    <w:rsid w:val="00114C6E"/>
    <w:rsid w:val="001419B1"/>
    <w:rsid w:val="00142C32"/>
    <w:rsid w:val="00160000"/>
    <w:rsid w:val="00171A4C"/>
    <w:rsid w:val="00174DCB"/>
    <w:rsid w:val="001815A2"/>
    <w:rsid w:val="00183890"/>
    <w:rsid w:val="00190491"/>
    <w:rsid w:val="0019107B"/>
    <w:rsid w:val="00192DDF"/>
    <w:rsid w:val="001B79ED"/>
    <w:rsid w:val="001C041C"/>
    <w:rsid w:val="0020113D"/>
    <w:rsid w:val="002112B6"/>
    <w:rsid w:val="00243CD7"/>
    <w:rsid w:val="00244DF2"/>
    <w:rsid w:val="002500DA"/>
    <w:rsid w:val="00264E06"/>
    <w:rsid w:val="00274D3E"/>
    <w:rsid w:val="00275DAD"/>
    <w:rsid w:val="00283636"/>
    <w:rsid w:val="002B082B"/>
    <w:rsid w:val="002B4434"/>
    <w:rsid w:val="002D46D8"/>
    <w:rsid w:val="00311BDC"/>
    <w:rsid w:val="00326C5A"/>
    <w:rsid w:val="00334F97"/>
    <w:rsid w:val="00375102"/>
    <w:rsid w:val="003752D6"/>
    <w:rsid w:val="003907FB"/>
    <w:rsid w:val="003C31FC"/>
    <w:rsid w:val="003D33ED"/>
    <w:rsid w:val="003F1E47"/>
    <w:rsid w:val="004047F4"/>
    <w:rsid w:val="00404D6D"/>
    <w:rsid w:val="00406577"/>
    <w:rsid w:val="004123D8"/>
    <w:rsid w:val="004200A3"/>
    <w:rsid w:val="00427591"/>
    <w:rsid w:val="00441820"/>
    <w:rsid w:val="00445D9A"/>
    <w:rsid w:val="00457BB7"/>
    <w:rsid w:val="00462A9A"/>
    <w:rsid w:val="00464572"/>
    <w:rsid w:val="00464FCB"/>
    <w:rsid w:val="00473286"/>
    <w:rsid w:val="00493F0A"/>
    <w:rsid w:val="004955DF"/>
    <w:rsid w:val="00497545"/>
    <w:rsid w:val="004A765E"/>
    <w:rsid w:val="004B3032"/>
    <w:rsid w:val="004C0BE6"/>
    <w:rsid w:val="004C0EE5"/>
    <w:rsid w:val="004C1851"/>
    <w:rsid w:val="004F263A"/>
    <w:rsid w:val="004F47A6"/>
    <w:rsid w:val="00500022"/>
    <w:rsid w:val="00517B04"/>
    <w:rsid w:val="0054352F"/>
    <w:rsid w:val="0056305A"/>
    <w:rsid w:val="00573A6A"/>
    <w:rsid w:val="005813A2"/>
    <w:rsid w:val="00583297"/>
    <w:rsid w:val="00585A56"/>
    <w:rsid w:val="00587EEE"/>
    <w:rsid w:val="00594E39"/>
    <w:rsid w:val="00597838"/>
    <w:rsid w:val="005B1C3F"/>
    <w:rsid w:val="005B59FB"/>
    <w:rsid w:val="005C3085"/>
    <w:rsid w:val="005C41B7"/>
    <w:rsid w:val="005E211E"/>
    <w:rsid w:val="005E4500"/>
    <w:rsid w:val="006224BE"/>
    <w:rsid w:val="00625543"/>
    <w:rsid w:val="006355C8"/>
    <w:rsid w:val="0063583A"/>
    <w:rsid w:val="00642FC7"/>
    <w:rsid w:val="00656D9F"/>
    <w:rsid w:val="00671896"/>
    <w:rsid w:val="00676847"/>
    <w:rsid w:val="00682C82"/>
    <w:rsid w:val="00685FBE"/>
    <w:rsid w:val="006946EF"/>
    <w:rsid w:val="006E3401"/>
    <w:rsid w:val="006F5B5A"/>
    <w:rsid w:val="007110FF"/>
    <w:rsid w:val="0071205E"/>
    <w:rsid w:val="0072357F"/>
    <w:rsid w:val="00730A81"/>
    <w:rsid w:val="00766349"/>
    <w:rsid w:val="007A0C33"/>
    <w:rsid w:val="007A44F7"/>
    <w:rsid w:val="007A57C7"/>
    <w:rsid w:val="007B1410"/>
    <w:rsid w:val="007B68E3"/>
    <w:rsid w:val="007C7BD9"/>
    <w:rsid w:val="007F05A8"/>
    <w:rsid w:val="0080150F"/>
    <w:rsid w:val="00805BB1"/>
    <w:rsid w:val="00807777"/>
    <w:rsid w:val="00825DB4"/>
    <w:rsid w:val="0083260C"/>
    <w:rsid w:val="00833C03"/>
    <w:rsid w:val="0085149B"/>
    <w:rsid w:val="0085331D"/>
    <w:rsid w:val="00872A0B"/>
    <w:rsid w:val="008745A3"/>
    <w:rsid w:val="00890B5E"/>
    <w:rsid w:val="008A05A5"/>
    <w:rsid w:val="008A0F50"/>
    <w:rsid w:val="008B07B5"/>
    <w:rsid w:val="008B2760"/>
    <w:rsid w:val="008B473C"/>
    <w:rsid w:val="008E71D9"/>
    <w:rsid w:val="008F00EC"/>
    <w:rsid w:val="009043B2"/>
    <w:rsid w:val="009206F5"/>
    <w:rsid w:val="009238CC"/>
    <w:rsid w:val="00924699"/>
    <w:rsid w:val="00933368"/>
    <w:rsid w:val="009921DC"/>
    <w:rsid w:val="00997E74"/>
    <w:rsid w:val="009D22D7"/>
    <w:rsid w:val="00A05A61"/>
    <w:rsid w:val="00A07146"/>
    <w:rsid w:val="00A1200F"/>
    <w:rsid w:val="00A262CD"/>
    <w:rsid w:val="00A5455A"/>
    <w:rsid w:val="00A70395"/>
    <w:rsid w:val="00A855ED"/>
    <w:rsid w:val="00A86505"/>
    <w:rsid w:val="00A90309"/>
    <w:rsid w:val="00AB0C48"/>
    <w:rsid w:val="00AB2F42"/>
    <w:rsid w:val="00AD646E"/>
    <w:rsid w:val="00AF4CD2"/>
    <w:rsid w:val="00B01812"/>
    <w:rsid w:val="00B05B70"/>
    <w:rsid w:val="00B14906"/>
    <w:rsid w:val="00B643E0"/>
    <w:rsid w:val="00B65AB1"/>
    <w:rsid w:val="00B84B76"/>
    <w:rsid w:val="00B85060"/>
    <w:rsid w:val="00B93B1B"/>
    <w:rsid w:val="00B95F11"/>
    <w:rsid w:val="00B96B74"/>
    <w:rsid w:val="00BA41C3"/>
    <w:rsid w:val="00BA4D66"/>
    <w:rsid w:val="00BA70D8"/>
    <w:rsid w:val="00BB6C12"/>
    <w:rsid w:val="00BC4A8C"/>
    <w:rsid w:val="00BC655E"/>
    <w:rsid w:val="00BD64CB"/>
    <w:rsid w:val="00BF12A0"/>
    <w:rsid w:val="00C0796A"/>
    <w:rsid w:val="00C23C22"/>
    <w:rsid w:val="00C27004"/>
    <w:rsid w:val="00C40988"/>
    <w:rsid w:val="00C43AF0"/>
    <w:rsid w:val="00C55E42"/>
    <w:rsid w:val="00C73632"/>
    <w:rsid w:val="00C8025F"/>
    <w:rsid w:val="00C81851"/>
    <w:rsid w:val="00C82CBB"/>
    <w:rsid w:val="00C94AF0"/>
    <w:rsid w:val="00CA275D"/>
    <w:rsid w:val="00CA5497"/>
    <w:rsid w:val="00CA6188"/>
    <w:rsid w:val="00CB549D"/>
    <w:rsid w:val="00CE40E3"/>
    <w:rsid w:val="00CF429A"/>
    <w:rsid w:val="00D06820"/>
    <w:rsid w:val="00D17DB9"/>
    <w:rsid w:val="00D362C6"/>
    <w:rsid w:val="00D74C24"/>
    <w:rsid w:val="00DB266D"/>
    <w:rsid w:val="00DD4286"/>
    <w:rsid w:val="00DD4E2E"/>
    <w:rsid w:val="00DD69FC"/>
    <w:rsid w:val="00E018DB"/>
    <w:rsid w:val="00E20534"/>
    <w:rsid w:val="00E34036"/>
    <w:rsid w:val="00E55D4A"/>
    <w:rsid w:val="00E5765F"/>
    <w:rsid w:val="00E57C5F"/>
    <w:rsid w:val="00E74C4C"/>
    <w:rsid w:val="00E924EA"/>
    <w:rsid w:val="00E9631E"/>
    <w:rsid w:val="00EA43CA"/>
    <w:rsid w:val="00EA6255"/>
    <w:rsid w:val="00EB6919"/>
    <w:rsid w:val="00EC0496"/>
    <w:rsid w:val="00ED5098"/>
    <w:rsid w:val="00ED7B2A"/>
    <w:rsid w:val="00EF4692"/>
    <w:rsid w:val="00F311B5"/>
    <w:rsid w:val="00F322FD"/>
    <w:rsid w:val="00FA4A63"/>
    <w:rsid w:val="00FA5A49"/>
    <w:rsid w:val="00FB3693"/>
    <w:rsid w:val="00FB6886"/>
    <w:rsid w:val="00FE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9ED"/>
    <w:pPr>
      <w:spacing w:line="360" w:lineRule="auto"/>
      <w:jc w:val="both"/>
    </w:pPr>
    <w:rPr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B79ED"/>
    <w:pPr>
      <w:spacing w:line="240" w:lineRule="auto"/>
      <w:jc w:val="center"/>
    </w:pPr>
    <w:rPr>
      <w:b/>
    </w:rPr>
  </w:style>
  <w:style w:type="paragraph" w:styleId="FootnoteText">
    <w:name w:val="footnote text"/>
    <w:basedOn w:val="Normal"/>
    <w:semiHidden/>
    <w:rsid w:val="000F7E22"/>
    <w:rPr>
      <w:sz w:val="20"/>
    </w:rPr>
  </w:style>
  <w:style w:type="character" w:styleId="FootnoteReference">
    <w:name w:val="footnote reference"/>
    <w:basedOn w:val="DefaultParagraphFont"/>
    <w:semiHidden/>
    <w:rsid w:val="000F7E22"/>
    <w:rPr>
      <w:vertAlign w:val="superscript"/>
    </w:rPr>
  </w:style>
  <w:style w:type="paragraph" w:styleId="Footer">
    <w:name w:val="footer"/>
    <w:basedOn w:val="Normal"/>
    <w:rsid w:val="009D22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2D7"/>
  </w:style>
  <w:style w:type="paragraph" w:styleId="NoSpacing">
    <w:name w:val="No Spacing"/>
    <w:uiPriority w:val="1"/>
    <w:qFormat/>
    <w:rsid w:val="00D17DB9"/>
    <w:pPr>
      <w:jc w:val="both"/>
    </w:pPr>
    <w:rPr>
      <w:sz w:val="26"/>
    </w:rPr>
  </w:style>
  <w:style w:type="paragraph" w:styleId="EndnoteText">
    <w:name w:val="endnote text"/>
    <w:basedOn w:val="Normal"/>
    <w:link w:val="EndnoteTextChar"/>
    <w:rsid w:val="004C1851"/>
    <w:pPr>
      <w:spacing w:line="240" w:lineRule="auto"/>
      <w:jc w:val="left"/>
    </w:pPr>
  </w:style>
  <w:style w:type="character" w:customStyle="1" w:styleId="EndnoteTextChar">
    <w:name w:val="Endnote Text Char"/>
    <w:basedOn w:val="DefaultParagraphFont"/>
    <w:link w:val="EndnoteText"/>
    <w:rsid w:val="004C1851"/>
    <w:rPr>
      <w:sz w:val="26"/>
    </w:rPr>
  </w:style>
  <w:style w:type="paragraph" w:styleId="ListParagraph">
    <w:name w:val="List Paragraph"/>
    <w:basedOn w:val="Normal"/>
    <w:uiPriority w:val="34"/>
    <w:qFormat/>
    <w:rsid w:val="004C1851"/>
    <w:pPr>
      <w:spacing w:line="240" w:lineRule="auto"/>
      <w:ind w:left="720"/>
      <w:contextualSpacing/>
      <w:jc w:val="lef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872A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72A0B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CHESTNUT</dc:creator>
  <cp:keywords/>
  <dc:description/>
  <cp:lastModifiedBy>shoffner</cp:lastModifiedBy>
  <cp:revision>3</cp:revision>
  <cp:lastPrinted>2011-03-28T13:18:00Z</cp:lastPrinted>
  <dcterms:created xsi:type="dcterms:W3CDTF">2011-03-28T13:15:00Z</dcterms:created>
  <dcterms:modified xsi:type="dcterms:W3CDTF">2011-03-28T13:19:00Z</dcterms:modified>
</cp:coreProperties>
</file>