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C373A0" w:rsidRDefault="00C373A0" w:rsidP="003B1503">
      <w:pPr>
        <w:rPr>
          <w:sz w:val="24"/>
          <w:szCs w:val="24"/>
        </w:rPr>
      </w:pPr>
    </w:p>
    <w:p w:rsidR="00C373A0" w:rsidRDefault="00C373A0" w:rsidP="00C373A0">
      <w:pPr>
        <w:rPr>
          <w:sz w:val="24"/>
          <w:szCs w:val="24"/>
        </w:rPr>
      </w:pPr>
      <w:r>
        <w:rPr>
          <w:sz w:val="24"/>
          <w:szCs w:val="24"/>
        </w:rPr>
        <w:t>Emerson V. Phillips</w:t>
      </w:r>
      <w:r>
        <w:rPr>
          <w:sz w:val="24"/>
          <w:szCs w:val="24"/>
        </w:rPr>
        <w:tab/>
      </w:r>
      <w:r>
        <w:rPr>
          <w:sz w:val="24"/>
          <w:szCs w:val="24"/>
        </w:rPr>
        <w:tab/>
      </w:r>
      <w:r>
        <w:rPr>
          <w:sz w:val="24"/>
          <w:szCs w:val="24"/>
        </w:rPr>
        <w:tab/>
      </w:r>
      <w:r>
        <w:rPr>
          <w:sz w:val="24"/>
          <w:szCs w:val="24"/>
        </w:rPr>
        <w:tab/>
      </w:r>
      <w:r>
        <w:rPr>
          <w:sz w:val="24"/>
          <w:szCs w:val="24"/>
        </w:rPr>
        <w:tab/>
        <w:t>:</w:t>
      </w:r>
    </w:p>
    <w:p w:rsidR="00C373A0" w:rsidRDefault="00C373A0" w:rsidP="00C373A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373A0" w:rsidRDefault="00C373A0" w:rsidP="00C373A0">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Pr="008745A3">
        <w:rPr>
          <w:sz w:val="24"/>
          <w:szCs w:val="24"/>
        </w:rPr>
        <w:t xml:space="preserve">Docket No. </w:t>
      </w:r>
      <w:r>
        <w:rPr>
          <w:sz w:val="24"/>
          <w:szCs w:val="24"/>
        </w:rPr>
        <w:t>F-2010-2215171</w:t>
      </w:r>
    </w:p>
    <w:p w:rsidR="00C373A0" w:rsidRPr="00FA6483" w:rsidRDefault="00C373A0" w:rsidP="00C373A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1F790B">
        <w:rPr>
          <w:sz w:val="24"/>
          <w:szCs w:val="24"/>
        </w:rPr>
        <w:t xml:space="preserve"> </w:t>
      </w:r>
      <w:r>
        <w:rPr>
          <w:sz w:val="24"/>
          <w:szCs w:val="24"/>
        </w:rPr>
        <w:tab/>
      </w:r>
    </w:p>
    <w:p w:rsidR="00C373A0" w:rsidRDefault="00C373A0" w:rsidP="00C373A0">
      <w:pPr>
        <w:rPr>
          <w:sz w:val="24"/>
          <w:szCs w:val="24"/>
        </w:rPr>
      </w:pPr>
      <w:r>
        <w:rPr>
          <w:sz w:val="24"/>
          <w:szCs w:val="24"/>
        </w:rPr>
        <w:t>PPL Electric Utilities Corp</w:t>
      </w:r>
      <w:r>
        <w:rPr>
          <w:sz w:val="24"/>
          <w:szCs w:val="24"/>
        </w:rPr>
        <w:tab/>
      </w:r>
      <w:r>
        <w:rPr>
          <w:sz w:val="24"/>
          <w:szCs w:val="24"/>
        </w:rPr>
        <w:tab/>
      </w:r>
      <w:r>
        <w:rPr>
          <w:sz w:val="24"/>
          <w:szCs w:val="24"/>
        </w:rPr>
        <w:tab/>
      </w:r>
      <w:r>
        <w:rPr>
          <w:sz w:val="24"/>
          <w:szCs w:val="24"/>
        </w:rPr>
        <w:tab/>
        <w:t>:</w:t>
      </w:r>
    </w:p>
    <w:p w:rsidR="00C373A0" w:rsidRDefault="00C373A0" w:rsidP="003B1503">
      <w:pPr>
        <w:rPr>
          <w:sz w:val="24"/>
          <w:szCs w:val="24"/>
        </w:rPr>
      </w:pPr>
    </w:p>
    <w:p w:rsidR="00A01330" w:rsidRDefault="00A01330" w:rsidP="00C81100">
      <w:pPr>
        <w:rPr>
          <w:sz w:val="24"/>
          <w:szCs w:val="24"/>
        </w:rPr>
      </w:pPr>
    </w:p>
    <w:p w:rsidR="00C373A0" w:rsidRPr="00C81100" w:rsidRDefault="00C373A0" w:rsidP="00C81100">
      <w:pPr>
        <w:rPr>
          <w:sz w:val="24"/>
          <w:szCs w:val="24"/>
        </w:rPr>
      </w:pPr>
    </w:p>
    <w:p w:rsidR="003F2C43" w:rsidRDefault="003F2C43" w:rsidP="00C81100">
      <w:pPr>
        <w:jc w:val="center"/>
        <w:rPr>
          <w:b/>
          <w:sz w:val="24"/>
          <w:szCs w:val="24"/>
          <w:u w:val="single"/>
        </w:rPr>
      </w:pPr>
      <w:r>
        <w:rPr>
          <w:b/>
          <w:sz w:val="24"/>
          <w:szCs w:val="24"/>
          <w:u w:val="single"/>
        </w:rPr>
        <w:t>ORDER CONTINUING AND</w:t>
      </w:r>
    </w:p>
    <w:p w:rsidR="00A01330" w:rsidRPr="00C81100" w:rsidRDefault="003F2C43" w:rsidP="00C81100">
      <w:pPr>
        <w:jc w:val="center"/>
        <w:rPr>
          <w:b/>
          <w:sz w:val="24"/>
          <w:szCs w:val="24"/>
          <w:u w:val="single"/>
        </w:rPr>
      </w:pPr>
      <w:r>
        <w:rPr>
          <w:b/>
          <w:sz w:val="24"/>
          <w:szCs w:val="24"/>
          <w:u w:val="single"/>
        </w:rPr>
        <w:t xml:space="preserve"> RESCHEDULING HEARING</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C373A0" w:rsidRDefault="003F2C43" w:rsidP="003F2C43">
      <w:pPr>
        <w:spacing w:line="360" w:lineRule="auto"/>
        <w:rPr>
          <w:sz w:val="24"/>
          <w:szCs w:val="24"/>
        </w:rPr>
      </w:pPr>
      <w:r>
        <w:rPr>
          <w:sz w:val="24"/>
          <w:szCs w:val="24"/>
        </w:rPr>
        <w:tab/>
      </w:r>
      <w:r>
        <w:rPr>
          <w:sz w:val="24"/>
          <w:szCs w:val="24"/>
        </w:rPr>
        <w:tab/>
      </w:r>
      <w:r w:rsidR="00C373A0">
        <w:rPr>
          <w:sz w:val="24"/>
          <w:szCs w:val="24"/>
        </w:rPr>
        <w:t>This case began as an appeal of a decision by the Commission’s Bureau of Consumer Services (BCS) with respect to a request for a payment arrangement from Emerson V. Phillips (Complainant).</w:t>
      </w:r>
      <w:r w:rsidR="00C373A0">
        <w:rPr>
          <w:rStyle w:val="FootnoteReference"/>
          <w:sz w:val="24"/>
          <w:szCs w:val="24"/>
        </w:rPr>
        <w:footnoteReference w:id="1"/>
      </w:r>
      <w:r w:rsidR="00C373A0">
        <w:rPr>
          <w:sz w:val="24"/>
          <w:szCs w:val="24"/>
        </w:rPr>
        <w:t xml:space="preserve">  The appeal, in the form of a formal Complaint, was filed December 14, 2010.  On December 15, 2010, the Secretary of the Commission served a copy of the Complaint on PPL Electric Utilities Corporation (Respondent or PPL).  PPL filed an Answer to the Complaint on January 4, 2011.</w:t>
      </w:r>
    </w:p>
    <w:p w:rsidR="00C373A0" w:rsidRDefault="00C373A0" w:rsidP="003F2C43">
      <w:pPr>
        <w:spacing w:line="360" w:lineRule="auto"/>
        <w:rPr>
          <w:sz w:val="24"/>
          <w:szCs w:val="24"/>
        </w:rPr>
      </w:pPr>
    </w:p>
    <w:p w:rsidR="00C373A0" w:rsidRDefault="00C373A0" w:rsidP="003F2C43">
      <w:pPr>
        <w:spacing w:line="360" w:lineRule="auto"/>
        <w:rPr>
          <w:sz w:val="24"/>
          <w:szCs w:val="24"/>
        </w:rPr>
      </w:pPr>
      <w:r>
        <w:rPr>
          <w:sz w:val="24"/>
          <w:szCs w:val="24"/>
        </w:rPr>
        <w:tab/>
      </w:r>
      <w:r>
        <w:rPr>
          <w:sz w:val="24"/>
          <w:szCs w:val="24"/>
        </w:rPr>
        <w:tab/>
        <w:t>On February 18, 2011, the undersigned was designated as the Presiding Officer in this case, and a hearing in this case was scheduled for March 28, 2011</w:t>
      </w:r>
      <w:r w:rsidR="00007CAA">
        <w:rPr>
          <w:sz w:val="24"/>
          <w:szCs w:val="24"/>
        </w:rPr>
        <w:t>,</w:t>
      </w:r>
      <w:r>
        <w:rPr>
          <w:sz w:val="24"/>
          <w:szCs w:val="24"/>
        </w:rPr>
        <w:t xml:space="preserve"> as confirmed by written notice from the Office of Administrative Law Judge (OALJ).</w:t>
      </w:r>
    </w:p>
    <w:p w:rsidR="00C373A0" w:rsidRDefault="00C373A0" w:rsidP="003F2C43">
      <w:pPr>
        <w:spacing w:line="360" w:lineRule="auto"/>
        <w:rPr>
          <w:sz w:val="24"/>
          <w:szCs w:val="24"/>
        </w:rPr>
      </w:pPr>
    </w:p>
    <w:p w:rsidR="00C373A0" w:rsidRDefault="00C373A0" w:rsidP="003F2C43">
      <w:pPr>
        <w:spacing w:line="360" w:lineRule="auto"/>
        <w:rPr>
          <w:sz w:val="24"/>
          <w:szCs w:val="24"/>
        </w:rPr>
      </w:pPr>
      <w:r>
        <w:rPr>
          <w:sz w:val="24"/>
          <w:szCs w:val="24"/>
        </w:rPr>
        <w:tab/>
      </w:r>
      <w:r>
        <w:rPr>
          <w:sz w:val="24"/>
          <w:szCs w:val="24"/>
        </w:rPr>
        <w:tab/>
        <w:t>On March 9, 2011, PPL, acting in good faith, filed a Certificate of Satisfaction pursuant to 52 Pa. Code § 5.24(b) indicating that the parties had resolved this matter.  On March 10, 2011, the Complainant sent a hand-written note to the OALJ asking that the hearing of March 28, 2011 be cancelled.   On March 11, 2011, the Complainant contacted the OALJ by telephone and stated that he was invoking his right under 52 Pa. Code § 5.24(b) to object to the Certificate of Satisfaction.  That objection should have been confirmed in writing but was not.  However, the Commission or a presiding officer may “</w:t>
      </w:r>
      <w:r w:rsidRPr="00C373A0">
        <w:rPr>
          <w:sz w:val="24"/>
          <w:szCs w:val="24"/>
        </w:rPr>
        <w:t xml:space="preserve">at any stage of an action or proceeding may waive a requirement of this subpart when necessary or appropriate, if the waiver does not adversely </w:t>
      </w:r>
      <w:r w:rsidRPr="00C373A0">
        <w:rPr>
          <w:sz w:val="24"/>
          <w:szCs w:val="24"/>
        </w:rPr>
        <w:lastRenderedPageBreak/>
        <w:t>affect a substantive right of a party.</w:t>
      </w:r>
      <w:r>
        <w:rPr>
          <w:sz w:val="24"/>
          <w:szCs w:val="24"/>
        </w:rPr>
        <w:t xml:space="preserve">”  </w:t>
      </w:r>
      <w:proofErr w:type="gramStart"/>
      <w:r>
        <w:rPr>
          <w:sz w:val="24"/>
          <w:szCs w:val="24"/>
        </w:rPr>
        <w:t>52 Pa. Code § 1.2(c).</w:t>
      </w:r>
      <w:proofErr w:type="gramEnd"/>
      <w:r>
        <w:rPr>
          <w:sz w:val="24"/>
          <w:szCs w:val="24"/>
        </w:rPr>
        <w:t xml:space="preserve">  The Complainant is representing himself in this matter, so the requirement of a written objection was waived and the hearing s</w:t>
      </w:r>
      <w:r w:rsidR="00007CAA">
        <w:rPr>
          <w:sz w:val="24"/>
          <w:szCs w:val="24"/>
        </w:rPr>
        <w:t>cheduled</w:t>
      </w:r>
      <w:r>
        <w:rPr>
          <w:sz w:val="24"/>
          <w:szCs w:val="24"/>
        </w:rPr>
        <w:t xml:space="preserve"> for March 28, 2011, was not removed from the scheduling docket and no notice cancelling the hearing was issued.</w:t>
      </w:r>
    </w:p>
    <w:p w:rsidR="00C373A0" w:rsidRDefault="00C373A0" w:rsidP="003F2C43">
      <w:pPr>
        <w:spacing w:line="360" w:lineRule="auto"/>
        <w:rPr>
          <w:sz w:val="24"/>
          <w:szCs w:val="24"/>
        </w:rPr>
      </w:pPr>
    </w:p>
    <w:p w:rsidR="00C373A0" w:rsidRDefault="00C373A0" w:rsidP="003F2C43">
      <w:pPr>
        <w:spacing w:line="360" w:lineRule="auto"/>
        <w:rPr>
          <w:sz w:val="24"/>
          <w:szCs w:val="24"/>
        </w:rPr>
      </w:pPr>
      <w:r>
        <w:rPr>
          <w:sz w:val="24"/>
          <w:szCs w:val="24"/>
        </w:rPr>
        <w:tab/>
      </w:r>
      <w:r>
        <w:rPr>
          <w:sz w:val="24"/>
          <w:szCs w:val="24"/>
        </w:rPr>
        <w:tab/>
      </w:r>
      <w:r w:rsidR="003F2C43">
        <w:rPr>
          <w:sz w:val="24"/>
          <w:szCs w:val="24"/>
        </w:rPr>
        <w:t xml:space="preserve">On </w:t>
      </w:r>
      <w:r>
        <w:rPr>
          <w:sz w:val="24"/>
          <w:szCs w:val="24"/>
        </w:rPr>
        <w:t>March 24, 2011</w:t>
      </w:r>
      <w:r w:rsidR="003F2C43">
        <w:rPr>
          <w:sz w:val="24"/>
          <w:szCs w:val="24"/>
        </w:rPr>
        <w:t xml:space="preserve">, </w:t>
      </w:r>
      <w:r>
        <w:rPr>
          <w:sz w:val="24"/>
          <w:szCs w:val="24"/>
        </w:rPr>
        <w:t xml:space="preserve">the OALJ scheduling staff </w:t>
      </w:r>
      <w:r w:rsidR="003F2C43" w:rsidRPr="00E16C06">
        <w:rPr>
          <w:sz w:val="24"/>
          <w:szCs w:val="24"/>
        </w:rPr>
        <w:t>received a</w:t>
      </w:r>
      <w:r>
        <w:rPr>
          <w:sz w:val="24"/>
          <w:szCs w:val="24"/>
        </w:rPr>
        <w:t>nother</w:t>
      </w:r>
      <w:r w:rsidR="003F2C43" w:rsidRPr="00E16C06">
        <w:rPr>
          <w:sz w:val="24"/>
          <w:szCs w:val="24"/>
        </w:rPr>
        <w:t xml:space="preserve"> </w:t>
      </w:r>
      <w:r>
        <w:rPr>
          <w:sz w:val="24"/>
          <w:szCs w:val="24"/>
        </w:rPr>
        <w:t xml:space="preserve">telephone call </w:t>
      </w:r>
      <w:r w:rsidR="003F2C43" w:rsidRPr="00E16C06">
        <w:rPr>
          <w:sz w:val="24"/>
          <w:szCs w:val="24"/>
        </w:rPr>
        <w:t xml:space="preserve">from </w:t>
      </w:r>
      <w:r>
        <w:rPr>
          <w:sz w:val="24"/>
          <w:szCs w:val="24"/>
        </w:rPr>
        <w:t xml:space="preserve">the Complainant, this time asking that the hearing be continued due to his wife’s indisposition and a related medical appointment.  The OALJ staff correctly suggested to Mr. Phillips that he contact counsel for PPL, Ms. </w:t>
      </w:r>
      <w:r w:rsidR="003F2C43">
        <w:rPr>
          <w:sz w:val="24"/>
          <w:szCs w:val="24"/>
        </w:rPr>
        <w:t xml:space="preserve">Kimberly G. Krupka, </w:t>
      </w:r>
      <w:proofErr w:type="gramStart"/>
      <w:r w:rsidR="003F2C43">
        <w:rPr>
          <w:sz w:val="24"/>
          <w:szCs w:val="24"/>
        </w:rPr>
        <w:t>Esquire</w:t>
      </w:r>
      <w:proofErr w:type="gramEnd"/>
      <w:r w:rsidR="003F2C43">
        <w:rPr>
          <w:sz w:val="24"/>
          <w:szCs w:val="24"/>
        </w:rPr>
        <w:t>,</w:t>
      </w:r>
      <w:r>
        <w:rPr>
          <w:sz w:val="24"/>
          <w:szCs w:val="24"/>
        </w:rPr>
        <w:t xml:space="preserve"> to ascertain PPL’s position with respect to the requested continuance</w:t>
      </w:r>
      <w:r w:rsidR="003F2C43">
        <w:rPr>
          <w:sz w:val="24"/>
          <w:szCs w:val="24"/>
        </w:rPr>
        <w:t xml:space="preserve">.  </w:t>
      </w:r>
      <w:r>
        <w:rPr>
          <w:sz w:val="24"/>
          <w:szCs w:val="24"/>
        </w:rPr>
        <w:t>Mr. Phillips did so, and called the OALJ staff once again stating that PPL has no objection to the requested continuance.</w:t>
      </w:r>
    </w:p>
    <w:p w:rsidR="00C373A0" w:rsidRDefault="00C373A0" w:rsidP="003F2C43">
      <w:pPr>
        <w:spacing w:line="360" w:lineRule="auto"/>
        <w:rPr>
          <w:sz w:val="24"/>
          <w:szCs w:val="24"/>
        </w:rPr>
      </w:pPr>
    </w:p>
    <w:p w:rsidR="003F2C43" w:rsidRDefault="003F2C43" w:rsidP="003F2C43">
      <w:pPr>
        <w:spacing w:line="360" w:lineRule="auto"/>
        <w:rPr>
          <w:sz w:val="24"/>
          <w:szCs w:val="24"/>
        </w:rPr>
      </w:pPr>
      <w:r w:rsidRPr="00E16C06">
        <w:rPr>
          <w:sz w:val="24"/>
          <w:szCs w:val="24"/>
        </w:rPr>
        <w:tab/>
      </w:r>
      <w:r w:rsidRPr="00E16C06">
        <w:rPr>
          <w:sz w:val="24"/>
          <w:szCs w:val="24"/>
        </w:rPr>
        <w:tab/>
      </w:r>
      <w:proofErr w:type="gramStart"/>
      <w:r w:rsidRPr="00E16C06">
        <w:rPr>
          <w:sz w:val="24"/>
          <w:szCs w:val="24"/>
        </w:rPr>
        <w:t>The Commission’s Rules of Administrative Practice and Procedure at 52 Pa. Code § 1.15(b) state that</w:t>
      </w:r>
      <w:r w:rsidR="00C373A0">
        <w:rPr>
          <w:sz w:val="24"/>
          <w:szCs w:val="24"/>
        </w:rPr>
        <w:t xml:space="preserve"> a request for continuance “shall be </w:t>
      </w:r>
      <w:r w:rsidR="00C373A0" w:rsidRPr="00C373A0">
        <w:rPr>
          <w:sz w:val="24"/>
          <w:szCs w:val="24"/>
        </w:rPr>
        <w:t xml:space="preserve">by motion </w:t>
      </w:r>
      <w:r w:rsidR="00C373A0" w:rsidRPr="00007CAA">
        <w:rPr>
          <w:i/>
          <w:sz w:val="24"/>
          <w:szCs w:val="24"/>
        </w:rPr>
        <w:t>in writing</w:t>
      </w:r>
      <w:r w:rsidR="00C373A0" w:rsidRPr="00C373A0">
        <w:rPr>
          <w:sz w:val="24"/>
          <w:szCs w:val="24"/>
        </w:rPr>
        <w:t>, timely filed with the Commission, stating the facts on which the application rests</w:t>
      </w:r>
      <w:r w:rsidR="00C373A0">
        <w:rPr>
          <w:sz w:val="24"/>
          <w:szCs w:val="24"/>
        </w:rPr>
        <w:t>.”</w:t>
      </w:r>
      <w:proofErr w:type="gramEnd"/>
      <w:r w:rsidR="00007CAA">
        <w:rPr>
          <w:sz w:val="24"/>
          <w:szCs w:val="24"/>
        </w:rPr>
        <w:t xml:space="preserve"> (</w:t>
      </w:r>
      <w:proofErr w:type="gramStart"/>
      <w:r w:rsidR="00007CAA">
        <w:rPr>
          <w:sz w:val="24"/>
          <w:szCs w:val="24"/>
        </w:rPr>
        <w:t>emphasis</w:t>
      </w:r>
      <w:proofErr w:type="gramEnd"/>
      <w:r w:rsidR="00007CAA">
        <w:rPr>
          <w:sz w:val="24"/>
          <w:szCs w:val="24"/>
        </w:rPr>
        <w:t xml:space="preserve"> added)</w:t>
      </w:r>
      <w:r w:rsidR="00C373A0">
        <w:rPr>
          <w:sz w:val="24"/>
          <w:szCs w:val="24"/>
        </w:rPr>
        <w:t xml:space="preserve">  As noted, above, the Commission or a presiding officer may </w:t>
      </w:r>
      <w:r w:rsidR="00C373A0" w:rsidRPr="00C373A0">
        <w:rPr>
          <w:sz w:val="24"/>
          <w:szCs w:val="24"/>
        </w:rPr>
        <w:t>waive a requirement of th</w:t>
      </w:r>
      <w:r w:rsidR="00C373A0">
        <w:rPr>
          <w:sz w:val="24"/>
          <w:szCs w:val="24"/>
        </w:rPr>
        <w:t xml:space="preserve">e procedural rules </w:t>
      </w:r>
      <w:r w:rsidR="00C373A0" w:rsidRPr="00C373A0">
        <w:rPr>
          <w:sz w:val="24"/>
          <w:szCs w:val="24"/>
        </w:rPr>
        <w:t>when necessary or appropriate, if the waiver does not adversely affect a substantive right of a party.</w:t>
      </w:r>
      <w:r w:rsidR="00C373A0">
        <w:rPr>
          <w:sz w:val="24"/>
          <w:szCs w:val="24"/>
        </w:rPr>
        <w:t xml:space="preserve">  </w:t>
      </w:r>
      <w:proofErr w:type="gramStart"/>
      <w:r w:rsidR="00C373A0">
        <w:rPr>
          <w:sz w:val="24"/>
          <w:szCs w:val="24"/>
        </w:rPr>
        <w:t>52 Pa. Code § 1.2(c).</w:t>
      </w:r>
      <w:proofErr w:type="gramEnd"/>
      <w:r w:rsidR="00C373A0">
        <w:rPr>
          <w:sz w:val="24"/>
          <w:szCs w:val="24"/>
        </w:rPr>
        <w:t xml:space="preserve">  Once again, the Complainant is representing himself in this matter, and while an oral request for a continuance (outside of a hearing that is actually taking place) is unusual, the requirement for a written Motion for Continuance is waived on this occasion.  The Commission’s procedural rules </w:t>
      </w:r>
      <w:r w:rsidR="00C373A0" w:rsidRPr="00E16C06">
        <w:rPr>
          <w:sz w:val="24"/>
          <w:szCs w:val="24"/>
        </w:rPr>
        <w:t xml:space="preserve">at 52 Pa. Code § 1.15(b) </w:t>
      </w:r>
      <w:r w:rsidR="00C373A0">
        <w:rPr>
          <w:sz w:val="24"/>
          <w:szCs w:val="24"/>
        </w:rPr>
        <w:t xml:space="preserve">also provide that </w:t>
      </w:r>
      <w:r w:rsidRPr="00E16C06">
        <w:rPr>
          <w:sz w:val="24"/>
          <w:szCs w:val="24"/>
        </w:rPr>
        <w:t>“Only for good cause shown will requests for continuance be considered.”</w:t>
      </w:r>
      <w:r>
        <w:rPr>
          <w:sz w:val="24"/>
          <w:szCs w:val="24"/>
        </w:rPr>
        <w:t xml:space="preserve">   In this case, </w:t>
      </w:r>
      <w:r w:rsidR="00C373A0">
        <w:rPr>
          <w:sz w:val="24"/>
          <w:szCs w:val="24"/>
        </w:rPr>
        <w:t>Mr. Phillips will be unavailable due to his wife’s medical appointment on Monday, March 28, 2011.  Therefore, the requested continuance will be granted and this case relisted for hearing on Wednesday, April 13, 2011, at 10:00 a.m.</w:t>
      </w:r>
    </w:p>
    <w:p w:rsidR="00C373A0" w:rsidRDefault="00C373A0" w:rsidP="003F2C43">
      <w:pPr>
        <w:spacing w:line="360" w:lineRule="auto"/>
        <w:rPr>
          <w:sz w:val="24"/>
          <w:szCs w:val="24"/>
        </w:rPr>
      </w:pPr>
    </w:p>
    <w:p w:rsidR="00C373A0" w:rsidRPr="00C373A0" w:rsidRDefault="00C373A0" w:rsidP="003F2C43">
      <w:pPr>
        <w:spacing w:line="360" w:lineRule="auto"/>
        <w:rPr>
          <w:b/>
          <w:smallCaps/>
          <w:sz w:val="24"/>
          <w:szCs w:val="24"/>
        </w:rPr>
      </w:pPr>
      <w:r w:rsidRPr="00C373A0">
        <w:rPr>
          <w:b/>
          <w:smallCaps/>
          <w:sz w:val="24"/>
          <w:szCs w:val="24"/>
        </w:rPr>
        <w:t>NOTE:</w:t>
      </w:r>
      <w:r w:rsidRPr="00C373A0">
        <w:rPr>
          <w:smallCaps/>
          <w:sz w:val="24"/>
          <w:szCs w:val="24"/>
        </w:rPr>
        <w:t xml:space="preserve">  </w:t>
      </w:r>
      <w:r w:rsidRPr="00C373A0">
        <w:rPr>
          <w:b/>
          <w:smallCaps/>
          <w:sz w:val="24"/>
          <w:szCs w:val="24"/>
        </w:rPr>
        <w:t xml:space="preserve">The Commission’s procedural rules are in place to protect the rights of all parties and to assure the orderly resolution of litigated cases consistent with the requirements of due process of law.  Going forward, any communication with the OALJ </w:t>
      </w:r>
      <w:r w:rsidRPr="00C373A0">
        <w:rPr>
          <w:b/>
          <w:smallCaps/>
          <w:sz w:val="24"/>
          <w:szCs w:val="24"/>
          <w:u w:val="single"/>
        </w:rPr>
        <w:t>must</w:t>
      </w:r>
      <w:r w:rsidRPr="00C373A0">
        <w:rPr>
          <w:b/>
          <w:smallCaps/>
          <w:sz w:val="24"/>
          <w:szCs w:val="24"/>
        </w:rPr>
        <w:t xml:space="preserve"> be in writing or confirmed in writing.  The parties are on </w:t>
      </w:r>
      <w:r w:rsidRPr="00C373A0">
        <w:rPr>
          <w:b/>
          <w:smallCaps/>
          <w:sz w:val="24"/>
          <w:szCs w:val="24"/>
        </w:rPr>
        <w:lastRenderedPageBreak/>
        <w:t>notice that April 13, 2011 is the date for the hearing in this matter, and they are expected to arrange their schedules to accommodate that date.</w:t>
      </w:r>
    </w:p>
    <w:p w:rsidR="00C373A0" w:rsidRDefault="00C373A0" w:rsidP="003F2C43">
      <w:pPr>
        <w:spacing w:line="360" w:lineRule="auto"/>
        <w:rPr>
          <w:sz w:val="24"/>
          <w:szCs w:val="24"/>
        </w:rPr>
      </w:pPr>
    </w:p>
    <w:p w:rsidR="00FB53E6" w:rsidRDefault="00C373A0" w:rsidP="003F2C43">
      <w:pPr>
        <w:spacing w:line="360" w:lineRule="auto"/>
        <w:rPr>
          <w:sz w:val="24"/>
          <w:szCs w:val="24"/>
        </w:rPr>
      </w:pPr>
      <w:r>
        <w:rPr>
          <w:sz w:val="24"/>
          <w:szCs w:val="24"/>
        </w:rPr>
        <w:tab/>
      </w:r>
      <w:r>
        <w:rPr>
          <w:sz w:val="24"/>
          <w:szCs w:val="24"/>
        </w:rPr>
        <w:tab/>
      </w:r>
      <w:r w:rsidR="003F2C43" w:rsidRPr="00E16C06">
        <w:rPr>
          <w:sz w:val="24"/>
          <w:szCs w:val="24"/>
        </w:rPr>
        <w:t xml:space="preserve">I </w:t>
      </w:r>
      <w:r>
        <w:rPr>
          <w:sz w:val="24"/>
          <w:szCs w:val="24"/>
        </w:rPr>
        <w:t xml:space="preserve">also </w:t>
      </w:r>
      <w:r w:rsidR="003F2C43" w:rsidRPr="00E16C06">
        <w:rPr>
          <w:sz w:val="24"/>
          <w:szCs w:val="24"/>
        </w:rPr>
        <w:t xml:space="preserve">urge the parties to use this opportunity to </w:t>
      </w:r>
      <w:r>
        <w:rPr>
          <w:sz w:val="24"/>
          <w:szCs w:val="24"/>
        </w:rPr>
        <w:t xml:space="preserve">continue to </w:t>
      </w:r>
      <w:r w:rsidR="003F2C43" w:rsidRPr="00E16C06">
        <w:rPr>
          <w:sz w:val="24"/>
          <w:szCs w:val="24"/>
        </w:rPr>
        <w:t xml:space="preserve">try to resolve </w:t>
      </w:r>
      <w:r w:rsidR="003F2C43">
        <w:rPr>
          <w:sz w:val="24"/>
          <w:szCs w:val="24"/>
        </w:rPr>
        <w:t>all issues to</w:t>
      </w:r>
      <w:r w:rsidR="003F2C43" w:rsidRPr="00E16C06">
        <w:rPr>
          <w:sz w:val="24"/>
          <w:szCs w:val="24"/>
        </w:rPr>
        <w:t xml:space="preserve"> avoid the necessity of the expenditure of further time and legal expense.</w:t>
      </w:r>
    </w:p>
    <w:p w:rsidR="00C373A0" w:rsidRDefault="00C373A0" w:rsidP="003F2C43">
      <w:pPr>
        <w:spacing w:line="360" w:lineRule="auto"/>
        <w:rPr>
          <w:sz w:val="24"/>
          <w:szCs w:val="24"/>
        </w:rPr>
      </w:pPr>
    </w:p>
    <w:p w:rsidR="00C373A0" w:rsidRDefault="00C373A0" w:rsidP="003F2C43">
      <w:pPr>
        <w:spacing w:line="360" w:lineRule="auto"/>
        <w:rPr>
          <w:sz w:val="24"/>
          <w:szCs w:val="24"/>
        </w:rPr>
      </w:pPr>
    </w:p>
    <w:p w:rsidR="003F2C43" w:rsidRPr="00E16C06" w:rsidRDefault="003F2C43" w:rsidP="003F2C43">
      <w:pPr>
        <w:rPr>
          <w:sz w:val="24"/>
          <w:szCs w:val="24"/>
        </w:rPr>
      </w:pPr>
      <w:r w:rsidRPr="00E16C06">
        <w:rPr>
          <w:sz w:val="24"/>
          <w:szCs w:val="24"/>
        </w:rPr>
        <w:tab/>
      </w:r>
      <w:r w:rsidRPr="00E16C06">
        <w:rPr>
          <w:sz w:val="24"/>
          <w:szCs w:val="24"/>
        </w:rPr>
        <w:tab/>
        <w:t>THEREFORE,</w:t>
      </w:r>
    </w:p>
    <w:p w:rsidR="003F2C43" w:rsidRPr="00E16C06" w:rsidRDefault="003F2C43" w:rsidP="003F2C43">
      <w:pPr>
        <w:rPr>
          <w:sz w:val="24"/>
          <w:szCs w:val="24"/>
        </w:rPr>
      </w:pPr>
    </w:p>
    <w:p w:rsidR="003F2C43" w:rsidRDefault="003F2C43" w:rsidP="003F2C43">
      <w:pPr>
        <w:rPr>
          <w:sz w:val="24"/>
          <w:szCs w:val="24"/>
        </w:rPr>
      </w:pPr>
      <w:r w:rsidRPr="00E16C06">
        <w:rPr>
          <w:sz w:val="24"/>
          <w:szCs w:val="24"/>
        </w:rPr>
        <w:tab/>
      </w:r>
      <w:r w:rsidRPr="00E16C06">
        <w:rPr>
          <w:sz w:val="24"/>
          <w:szCs w:val="24"/>
        </w:rPr>
        <w:tab/>
        <w:t>IT IS ORDERED:</w:t>
      </w:r>
    </w:p>
    <w:p w:rsidR="00C373A0" w:rsidRPr="00E16C06" w:rsidRDefault="00C373A0" w:rsidP="003F2C43">
      <w:pPr>
        <w:rPr>
          <w:sz w:val="24"/>
          <w:szCs w:val="24"/>
        </w:rPr>
      </w:pPr>
    </w:p>
    <w:p w:rsidR="003F2C43" w:rsidRPr="00E16C06" w:rsidRDefault="003F2C43" w:rsidP="003F2C43">
      <w:pPr>
        <w:rPr>
          <w:sz w:val="24"/>
          <w:szCs w:val="24"/>
        </w:rPr>
      </w:pPr>
    </w:p>
    <w:p w:rsidR="003F2C43" w:rsidRDefault="003F2C43" w:rsidP="00C373A0">
      <w:pPr>
        <w:spacing w:line="360" w:lineRule="auto"/>
        <w:rPr>
          <w:sz w:val="24"/>
          <w:szCs w:val="24"/>
        </w:rPr>
      </w:pPr>
      <w:r w:rsidRPr="00E16C06">
        <w:rPr>
          <w:sz w:val="24"/>
          <w:szCs w:val="24"/>
        </w:rPr>
        <w:tab/>
      </w:r>
      <w:r w:rsidRPr="00E16C06">
        <w:rPr>
          <w:sz w:val="24"/>
          <w:szCs w:val="24"/>
        </w:rPr>
        <w:tab/>
        <w:t>1.</w:t>
      </w:r>
      <w:r w:rsidRPr="00E16C06">
        <w:rPr>
          <w:sz w:val="24"/>
          <w:szCs w:val="24"/>
        </w:rPr>
        <w:tab/>
        <w:t xml:space="preserve">That the Motion for Continuance of Hearing made by </w:t>
      </w:r>
      <w:r w:rsidR="00C373A0">
        <w:rPr>
          <w:sz w:val="24"/>
          <w:szCs w:val="24"/>
        </w:rPr>
        <w:t>Emerson V. Phillips</w:t>
      </w:r>
      <w:r w:rsidR="00007CAA">
        <w:rPr>
          <w:sz w:val="24"/>
          <w:szCs w:val="24"/>
        </w:rPr>
        <w:t xml:space="preserve"> on M</w:t>
      </w:r>
      <w:r w:rsidR="00C373A0">
        <w:rPr>
          <w:sz w:val="24"/>
          <w:szCs w:val="24"/>
        </w:rPr>
        <w:t>arch 24, 2011,</w:t>
      </w:r>
      <w:r w:rsidR="00FB53E6">
        <w:rPr>
          <w:sz w:val="24"/>
          <w:szCs w:val="24"/>
        </w:rPr>
        <w:t xml:space="preserve"> </w:t>
      </w:r>
      <w:r>
        <w:rPr>
          <w:sz w:val="24"/>
          <w:szCs w:val="24"/>
        </w:rPr>
        <w:t>at</w:t>
      </w:r>
      <w:r w:rsidRPr="00E16C06">
        <w:rPr>
          <w:sz w:val="24"/>
          <w:szCs w:val="24"/>
        </w:rPr>
        <w:t xml:space="preserve"> Docket No. </w:t>
      </w:r>
      <w:r w:rsidR="00C373A0">
        <w:rPr>
          <w:sz w:val="24"/>
          <w:szCs w:val="24"/>
        </w:rPr>
        <w:t>F</w:t>
      </w:r>
      <w:r w:rsidRPr="00E16C06">
        <w:rPr>
          <w:sz w:val="24"/>
          <w:szCs w:val="24"/>
        </w:rPr>
        <w:t>-2010-</w:t>
      </w:r>
      <w:r w:rsidR="00C373A0">
        <w:rPr>
          <w:sz w:val="24"/>
          <w:szCs w:val="24"/>
        </w:rPr>
        <w:t>2215171</w:t>
      </w:r>
      <w:r>
        <w:rPr>
          <w:sz w:val="24"/>
          <w:szCs w:val="24"/>
        </w:rPr>
        <w:t xml:space="preserve"> </w:t>
      </w:r>
      <w:r w:rsidRPr="00E16C06">
        <w:rPr>
          <w:sz w:val="24"/>
          <w:szCs w:val="24"/>
        </w:rPr>
        <w:t xml:space="preserve">is granted; and </w:t>
      </w:r>
    </w:p>
    <w:p w:rsidR="003F2C43" w:rsidRDefault="003F2C43" w:rsidP="00C373A0">
      <w:pPr>
        <w:spacing w:line="360" w:lineRule="auto"/>
        <w:rPr>
          <w:sz w:val="24"/>
          <w:szCs w:val="24"/>
        </w:rPr>
      </w:pPr>
    </w:p>
    <w:p w:rsidR="003F2C43" w:rsidRPr="00E16C06" w:rsidRDefault="003F2C43" w:rsidP="00C373A0">
      <w:pPr>
        <w:spacing w:line="360" w:lineRule="auto"/>
        <w:rPr>
          <w:sz w:val="24"/>
          <w:szCs w:val="24"/>
        </w:rPr>
      </w:pPr>
      <w:r w:rsidRPr="00E16C06">
        <w:rPr>
          <w:sz w:val="24"/>
          <w:szCs w:val="24"/>
        </w:rPr>
        <w:tab/>
      </w:r>
      <w:r w:rsidRPr="00E16C06">
        <w:rPr>
          <w:sz w:val="24"/>
          <w:szCs w:val="24"/>
        </w:rPr>
        <w:tab/>
        <w:t>2.</w:t>
      </w:r>
      <w:r w:rsidRPr="00E16C06">
        <w:rPr>
          <w:sz w:val="24"/>
          <w:szCs w:val="24"/>
        </w:rPr>
        <w:tab/>
        <w:t xml:space="preserve">That the hearing scheduled for </w:t>
      </w:r>
      <w:r w:rsidR="00C373A0">
        <w:rPr>
          <w:sz w:val="24"/>
          <w:szCs w:val="24"/>
        </w:rPr>
        <w:t>March 28, 2011</w:t>
      </w:r>
      <w:r w:rsidRPr="00E16C06">
        <w:rPr>
          <w:sz w:val="24"/>
          <w:szCs w:val="24"/>
        </w:rPr>
        <w:t xml:space="preserve">, be </w:t>
      </w:r>
      <w:r>
        <w:rPr>
          <w:sz w:val="24"/>
          <w:szCs w:val="24"/>
        </w:rPr>
        <w:t xml:space="preserve">and hereby is </w:t>
      </w:r>
      <w:r w:rsidRPr="00E16C06">
        <w:rPr>
          <w:sz w:val="24"/>
          <w:szCs w:val="24"/>
        </w:rPr>
        <w:t xml:space="preserve">continued and </w:t>
      </w:r>
      <w:r>
        <w:rPr>
          <w:sz w:val="24"/>
          <w:szCs w:val="24"/>
        </w:rPr>
        <w:t xml:space="preserve">will be </w:t>
      </w:r>
      <w:r w:rsidRPr="00E16C06">
        <w:rPr>
          <w:sz w:val="24"/>
          <w:szCs w:val="24"/>
        </w:rPr>
        <w:t>rescheduled</w:t>
      </w:r>
      <w:r w:rsidR="00C373A0">
        <w:rPr>
          <w:sz w:val="24"/>
          <w:szCs w:val="24"/>
        </w:rPr>
        <w:t xml:space="preserve"> for April 13, 2011</w:t>
      </w:r>
      <w:r w:rsidRPr="00E16C06">
        <w:rPr>
          <w:sz w:val="24"/>
          <w:szCs w:val="24"/>
        </w:rPr>
        <w:t>.</w:t>
      </w:r>
    </w:p>
    <w:p w:rsidR="003F2C43" w:rsidRPr="00E16C06" w:rsidRDefault="003F2C43" w:rsidP="003F2C43">
      <w:pPr>
        <w:rPr>
          <w:sz w:val="24"/>
          <w:szCs w:val="24"/>
        </w:rPr>
      </w:pPr>
    </w:p>
    <w:p w:rsidR="003F2C43" w:rsidRPr="00E16C06" w:rsidRDefault="003F2C43" w:rsidP="003F2C43">
      <w:pPr>
        <w:rPr>
          <w:sz w:val="24"/>
          <w:szCs w:val="24"/>
        </w:rPr>
      </w:pPr>
    </w:p>
    <w:p w:rsidR="003F2C43" w:rsidRPr="00E16C06" w:rsidRDefault="003F2C43" w:rsidP="003F2C43">
      <w:pPr>
        <w:rPr>
          <w:sz w:val="24"/>
          <w:szCs w:val="24"/>
        </w:rPr>
      </w:pPr>
    </w:p>
    <w:tbl>
      <w:tblPr>
        <w:tblW w:w="0" w:type="auto"/>
        <w:tblLayout w:type="fixed"/>
        <w:tblLook w:val="0000"/>
      </w:tblPr>
      <w:tblGrid>
        <w:gridCol w:w="1098"/>
        <w:gridCol w:w="2340"/>
        <w:gridCol w:w="1890"/>
        <w:gridCol w:w="4248"/>
      </w:tblGrid>
      <w:tr w:rsidR="003F2C43" w:rsidRPr="00E16C06" w:rsidTr="00F94D52">
        <w:tc>
          <w:tcPr>
            <w:tcW w:w="1098" w:type="dxa"/>
          </w:tcPr>
          <w:p w:rsidR="003F2C43" w:rsidRPr="00E16C06" w:rsidRDefault="003F2C43" w:rsidP="00F94D52">
            <w:pPr>
              <w:rPr>
                <w:sz w:val="24"/>
                <w:szCs w:val="24"/>
              </w:rPr>
            </w:pPr>
            <w:r w:rsidRPr="00E16C06">
              <w:rPr>
                <w:sz w:val="24"/>
                <w:szCs w:val="24"/>
              </w:rPr>
              <w:t>Date:</w:t>
            </w:r>
          </w:p>
        </w:tc>
        <w:tc>
          <w:tcPr>
            <w:tcW w:w="2340" w:type="dxa"/>
          </w:tcPr>
          <w:p w:rsidR="003F2C43" w:rsidRPr="00E16C06" w:rsidRDefault="00C373A0" w:rsidP="00C373A0">
            <w:pPr>
              <w:rPr>
                <w:sz w:val="24"/>
                <w:szCs w:val="24"/>
              </w:rPr>
            </w:pPr>
            <w:r>
              <w:rPr>
                <w:sz w:val="24"/>
                <w:szCs w:val="24"/>
              </w:rPr>
              <w:t>March 24, 2011</w:t>
            </w:r>
          </w:p>
        </w:tc>
        <w:tc>
          <w:tcPr>
            <w:tcW w:w="1890" w:type="dxa"/>
            <w:tcBorders>
              <w:left w:val="nil"/>
            </w:tcBorders>
          </w:tcPr>
          <w:p w:rsidR="003F2C43" w:rsidRPr="00E16C06" w:rsidRDefault="003F2C43" w:rsidP="00F94D52">
            <w:pPr>
              <w:rPr>
                <w:sz w:val="24"/>
                <w:szCs w:val="24"/>
              </w:rPr>
            </w:pPr>
          </w:p>
        </w:tc>
        <w:tc>
          <w:tcPr>
            <w:tcW w:w="4248" w:type="dxa"/>
            <w:tcBorders>
              <w:bottom w:val="single" w:sz="6" w:space="0" w:color="auto"/>
            </w:tcBorders>
          </w:tcPr>
          <w:p w:rsidR="003F2C43" w:rsidRPr="00E16C06" w:rsidRDefault="003F2C43" w:rsidP="00F94D52">
            <w:pPr>
              <w:rPr>
                <w:sz w:val="24"/>
                <w:szCs w:val="24"/>
              </w:rPr>
            </w:pPr>
          </w:p>
        </w:tc>
      </w:tr>
      <w:tr w:rsidR="003F2C43" w:rsidRPr="00E16C06" w:rsidTr="00F94D52">
        <w:tc>
          <w:tcPr>
            <w:tcW w:w="1098" w:type="dxa"/>
          </w:tcPr>
          <w:p w:rsidR="003F2C43" w:rsidRPr="00E16C06" w:rsidRDefault="003F2C43" w:rsidP="00F94D52">
            <w:pPr>
              <w:rPr>
                <w:sz w:val="24"/>
                <w:szCs w:val="24"/>
              </w:rPr>
            </w:pPr>
          </w:p>
        </w:tc>
        <w:tc>
          <w:tcPr>
            <w:tcW w:w="2340" w:type="dxa"/>
          </w:tcPr>
          <w:p w:rsidR="003F2C43" w:rsidRPr="00E16C06" w:rsidRDefault="003F2C43" w:rsidP="00F94D52">
            <w:pPr>
              <w:rPr>
                <w:sz w:val="24"/>
                <w:szCs w:val="24"/>
              </w:rPr>
            </w:pPr>
          </w:p>
        </w:tc>
        <w:tc>
          <w:tcPr>
            <w:tcW w:w="1890" w:type="dxa"/>
          </w:tcPr>
          <w:p w:rsidR="003F2C43" w:rsidRPr="00E16C06" w:rsidRDefault="003F2C43" w:rsidP="00F94D52">
            <w:pPr>
              <w:rPr>
                <w:sz w:val="24"/>
                <w:szCs w:val="24"/>
              </w:rPr>
            </w:pPr>
          </w:p>
        </w:tc>
        <w:tc>
          <w:tcPr>
            <w:tcW w:w="4248" w:type="dxa"/>
          </w:tcPr>
          <w:p w:rsidR="003F2C43" w:rsidRPr="00E16C06" w:rsidRDefault="003F2C43" w:rsidP="00F94D52">
            <w:pPr>
              <w:rPr>
                <w:sz w:val="24"/>
                <w:szCs w:val="24"/>
              </w:rPr>
            </w:pPr>
            <w:r w:rsidRPr="00E16C06">
              <w:rPr>
                <w:sz w:val="24"/>
                <w:szCs w:val="24"/>
              </w:rPr>
              <w:t>Dennis J. Buckley</w:t>
            </w:r>
          </w:p>
          <w:p w:rsidR="003F2C43" w:rsidRPr="00E16C06" w:rsidRDefault="003F2C43" w:rsidP="00F94D52">
            <w:pPr>
              <w:rPr>
                <w:sz w:val="24"/>
                <w:szCs w:val="24"/>
              </w:rPr>
            </w:pPr>
            <w:r w:rsidRPr="00E16C06">
              <w:rPr>
                <w:sz w:val="24"/>
                <w:szCs w:val="24"/>
              </w:rPr>
              <w:t>Administrative Law Judge</w:t>
            </w:r>
          </w:p>
        </w:tc>
      </w:tr>
    </w:tbl>
    <w:p w:rsidR="0064464D" w:rsidRDefault="0064464D" w:rsidP="00405714">
      <w:pPr>
        <w:pStyle w:val="BodyTextIndent"/>
        <w:rPr>
          <w:sz w:val="24"/>
          <w:szCs w:val="24"/>
        </w:rPr>
        <w:sectPr w:rsidR="0064464D" w:rsidSect="006B08C2">
          <w:footerReference w:type="even" r:id="rId8"/>
          <w:footerReference w:type="default" r:id="rId9"/>
          <w:type w:val="continuous"/>
          <w:pgSz w:w="12240" w:h="15840"/>
          <w:pgMar w:top="1440" w:right="1440" w:bottom="1440" w:left="1440" w:header="720" w:footer="720" w:gutter="0"/>
          <w:cols w:space="720"/>
          <w:noEndnote/>
          <w:titlePg/>
        </w:sectPr>
      </w:pPr>
    </w:p>
    <w:p w:rsidR="0064464D" w:rsidRPr="0064464D" w:rsidRDefault="0064464D" w:rsidP="0064464D">
      <w:pPr>
        <w:rPr>
          <w:rFonts w:ascii="Microsoft Sans Serif" w:hAnsi="Microsoft Sans Serif" w:cs="Microsoft Sans Serif"/>
          <w:b/>
          <w:caps/>
          <w:sz w:val="24"/>
          <w:szCs w:val="24"/>
          <w:u w:val="single"/>
        </w:rPr>
      </w:pPr>
      <w:r w:rsidRPr="0064464D">
        <w:rPr>
          <w:rFonts w:ascii="Microsoft Sans Serif" w:hAnsi="Microsoft Sans Serif" w:cs="Microsoft Sans Serif"/>
          <w:b/>
          <w:caps/>
          <w:noProof/>
          <w:sz w:val="24"/>
          <w:szCs w:val="24"/>
          <w:u w:val="single"/>
        </w:rPr>
        <w:lastRenderedPageBreak/>
        <w:t>F-2010-2215171</w:t>
      </w:r>
      <w:r w:rsidRPr="0064464D">
        <w:rPr>
          <w:rFonts w:ascii="Microsoft Sans Serif" w:hAnsi="Microsoft Sans Serif" w:cs="Microsoft Sans Serif"/>
          <w:b/>
          <w:caps/>
          <w:sz w:val="24"/>
          <w:szCs w:val="24"/>
          <w:u w:val="single"/>
        </w:rPr>
        <w:t xml:space="preserve"> - </w:t>
      </w:r>
      <w:r w:rsidRPr="0064464D">
        <w:rPr>
          <w:rFonts w:ascii="Microsoft Sans Serif" w:hAnsi="Microsoft Sans Serif" w:cs="Microsoft Sans Serif"/>
          <w:b/>
          <w:caps/>
          <w:noProof/>
          <w:sz w:val="24"/>
          <w:szCs w:val="24"/>
          <w:u w:val="single"/>
        </w:rPr>
        <w:t>Emerson V Phillips</w:t>
      </w:r>
      <w:r w:rsidRPr="0064464D">
        <w:rPr>
          <w:rFonts w:ascii="Microsoft Sans Serif" w:hAnsi="Microsoft Sans Serif" w:cs="Microsoft Sans Serif"/>
          <w:b/>
          <w:caps/>
          <w:sz w:val="24"/>
          <w:szCs w:val="24"/>
          <w:u w:val="single"/>
        </w:rPr>
        <w:t xml:space="preserve"> </w:t>
      </w:r>
      <w:r w:rsidRPr="0064464D">
        <w:rPr>
          <w:rFonts w:ascii="Microsoft Sans Serif" w:hAnsi="Microsoft Sans Serif" w:cs="Microsoft Sans Serif"/>
          <w:b/>
          <w:smallCaps/>
          <w:sz w:val="24"/>
          <w:szCs w:val="24"/>
          <w:u w:val="single"/>
        </w:rPr>
        <w:t>v</w:t>
      </w:r>
      <w:r w:rsidRPr="0064464D">
        <w:rPr>
          <w:rFonts w:ascii="Microsoft Sans Serif" w:hAnsi="Microsoft Sans Serif" w:cs="Microsoft Sans Serif"/>
          <w:b/>
          <w:caps/>
          <w:sz w:val="24"/>
          <w:szCs w:val="24"/>
          <w:u w:val="single"/>
        </w:rPr>
        <w:t xml:space="preserve">. </w:t>
      </w:r>
      <w:r w:rsidRPr="0064464D">
        <w:rPr>
          <w:rFonts w:ascii="Microsoft Sans Serif" w:hAnsi="Microsoft Sans Serif" w:cs="Microsoft Sans Serif"/>
          <w:b/>
          <w:caps/>
          <w:noProof/>
          <w:sz w:val="24"/>
          <w:szCs w:val="24"/>
          <w:u w:val="single"/>
        </w:rPr>
        <w:t>PPL Electric Utilities Corporation</w:t>
      </w:r>
    </w:p>
    <w:p w:rsidR="0064464D" w:rsidRPr="0064464D" w:rsidRDefault="0064464D" w:rsidP="0064464D">
      <w:pPr>
        <w:rPr>
          <w:rFonts w:ascii="Microsoft Sans Serif" w:hAnsi="Microsoft Sans Serif" w:cs="Microsoft Sans Serif"/>
          <w:caps/>
          <w:sz w:val="24"/>
          <w:szCs w:val="24"/>
        </w:rPr>
      </w:pPr>
    </w:p>
    <w:p w:rsidR="0064464D" w:rsidRPr="0064464D" w:rsidRDefault="0064464D" w:rsidP="0064464D">
      <w:pPr>
        <w:rPr>
          <w:rFonts w:ascii="Microsoft Sans Serif" w:hAnsi="Microsoft Sans Serif" w:cs="Microsoft Sans Serif"/>
          <w:caps/>
          <w:sz w:val="24"/>
          <w:szCs w:val="24"/>
        </w:rPr>
      </w:pP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Emerson V</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Phillips</w:t>
      </w:r>
      <w:r w:rsidRPr="0064464D">
        <w:rPr>
          <w:rFonts w:ascii="Microsoft Sans Serif" w:hAnsi="Microsoft Sans Serif" w:cs="Microsoft Sans Serif"/>
          <w:caps/>
          <w:sz w:val="24"/>
          <w:szCs w:val="24"/>
        </w:rPr>
        <w:t xml:space="preserve"> </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7937 E-Town Road</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Elizabethtown</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PA</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17022</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b/>
          <w:caps/>
          <w:noProof/>
          <w:sz w:val="24"/>
          <w:szCs w:val="24"/>
        </w:rPr>
        <w:t>717-689-3279</w:t>
      </w:r>
    </w:p>
    <w:p w:rsidR="0064464D" w:rsidRPr="0064464D" w:rsidRDefault="0064464D" w:rsidP="0064464D">
      <w:pPr>
        <w:rPr>
          <w:rFonts w:ascii="Microsoft Sans Serif" w:hAnsi="Microsoft Sans Serif" w:cs="Microsoft Sans Serif"/>
          <w:caps/>
          <w:sz w:val="24"/>
          <w:szCs w:val="24"/>
        </w:rPr>
      </w:pPr>
    </w:p>
    <w:p w:rsidR="0064464D" w:rsidRPr="0064464D" w:rsidRDefault="0064464D" w:rsidP="0064464D">
      <w:pPr>
        <w:rPr>
          <w:rFonts w:ascii="Microsoft Sans Serif" w:hAnsi="Microsoft Sans Serif" w:cs="Microsoft Sans Serif"/>
          <w:caps/>
          <w:sz w:val="24"/>
          <w:szCs w:val="24"/>
        </w:rPr>
      </w:pP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Kimberly G</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Krupka</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Esquire</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Gross McGinley  LLP</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33 South Seventh Street</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P O Box 4060</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caps/>
          <w:noProof/>
          <w:sz w:val="24"/>
          <w:szCs w:val="24"/>
        </w:rPr>
        <w:t>Allentown</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PA</w:t>
      </w:r>
      <w:r w:rsidRPr="0064464D">
        <w:rPr>
          <w:rFonts w:ascii="Microsoft Sans Serif" w:hAnsi="Microsoft Sans Serif" w:cs="Microsoft Sans Serif"/>
          <w:caps/>
          <w:sz w:val="24"/>
          <w:szCs w:val="24"/>
        </w:rPr>
        <w:t xml:space="preserve">  </w:t>
      </w:r>
      <w:r w:rsidRPr="0064464D">
        <w:rPr>
          <w:rFonts w:ascii="Microsoft Sans Serif" w:hAnsi="Microsoft Sans Serif" w:cs="Microsoft Sans Serif"/>
          <w:caps/>
          <w:noProof/>
          <w:sz w:val="24"/>
          <w:szCs w:val="24"/>
        </w:rPr>
        <w:t>18105-4060</w:t>
      </w:r>
    </w:p>
    <w:p w:rsidR="0064464D" w:rsidRPr="0064464D" w:rsidRDefault="0064464D" w:rsidP="0064464D">
      <w:pPr>
        <w:rPr>
          <w:rFonts w:ascii="Microsoft Sans Serif" w:hAnsi="Microsoft Sans Serif" w:cs="Microsoft Sans Serif"/>
          <w:caps/>
          <w:sz w:val="24"/>
          <w:szCs w:val="24"/>
        </w:rPr>
      </w:pPr>
      <w:r w:rsidRPr="0064464D">
        <w:rPr>
          <w:rFonts w:ascii="Microsoft Sans Serif" w:hAnsi="Microsoft Sans Serif" w:cs="Microsoft Sans Serif"/>
          <w:b/>
          <w:caps/>
          <w:noProof/>
          <w:sz w:val="24"/>
          <w:szCs w:val="24"/>
        </w:rPr>
        <w:t>610.820.5450</w:t>
      </w:r>
    </w:p>
    <w:p w:rsidR="003F2C43" w:rsidRDefault="003F2C43" w:rsidP="00405714">
      <w:pPr>
        <w:pStyle w:val="BodyTextIndent"/>
        <w:rPr>
          <w:sz w:val="24"/>
          <w:szCs w:val="24"/>
        </w:rPr>
      </w:pPr>
    </w:p>
    <w:p w:rsidR="003F2C43" w:rsidRDefault="003F2C43" w:rsidP="00405714">
      <w:pPr>
        <w:pStyle w:val="BodyTextIndent"/>
        <w:rPr>
          <w:sz w:val="24"/>
          <w:szCs w:val="24"/>
        </w:rPr>
      </w:pPr>
    </w:p>
    <w:p w:rsidR="003F2C43" w:rsidRDefault="003F2C43" w:rsidP="00405714">
      <w:pPr>
        <w:pStyle w:val="BodyTextIndent"/>
        <w:rPr>
          <w:sz w:val="24"/>
          <w:szCs w:val="24"/>
        </w:rPr>
      </w:pPr>
    </w:p>
    <w:sectPr w:rsidR="003F2C43" w:rsidSect="0064464D">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9E1" w:rsidRDefault="009F39E1">
      <w:r>
        <w:separator/>
      </w:r>
    </w:p>
  </w:endnote>
  <w:endnote w:type="continuationSeparator" w:id="0">
    <w:p w:rsidR="009F39E1" w:rsidRDefault="009F3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D1172"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D1172"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4464D">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9E1" w:rsidRDefault="009F39E1">
      <w:r>
        <w:separator/>
      </w:r>
    </w:p>
  </w:footnote>
  <w:footnote w:type="continuationSeparator" w:id="0">
    <w:p w:rsidR="009F39E1" w:rsidRDefault="009F39E1">
      <w:r>
        <w:continuationSeparator/>
      </w:r>
    </w:p>
  </w:footnote>
  <w:footnote w:id="1">
    <w:p w:rsidR="00C373A0" w:rsidRDefault="00C373A0">
      <w:pPr>
        <w:pStyle w:val="FootnoteText"/>
      </w:pPr>
      <w:r>
        <w:rPr>
          <w:rStyle w:val="FootnoteReference"/>
        </w:rPr>
        <w:footnoteRef/>
      </w:r>
      <w:r>
        <w:t xml:space="preserve"> </w:t>
      </w:r>
      <w:r>
        <w:tab/>
      </w:r>
      <w:r w:rsidRPr="00C373A0">
        <w:rPr>
          <w:sz w:val="24"/>
          <w:szCs w:val="24"/>
        </w:rPr>
        <w:t>BCS No. 2759118.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07CAA"/>
    <w:rsid w:val="000145A1"/>
    <w:rsid w:val="00026F22"/>
    <w:rsid w:val="000B40DB"/>
    <w:rsid w:val="000C29CA"/>
    <w:rsid w:val="000D39CD"/>
    <w:rsid w:val="000E64D7"/>
    <w:rsid w:val="001109E2"/>
    <w:rsid w:val="00115DAF"/>
    <w:rsid w:val="00122DFB"/>
    <w:rsid w:val="0015099F"/>
    <w:rsid w:val="00150EB1"/>
    <w:rsid w:val="001600B8"/>
    <w:rsid w:val="0016688B"/>
    <w:rsid w:val="00166B0E"/>
    <w:rsid w:val="001765C3"/>
    <w:rsid w:val="001C5B6F"/>
    <w:rsid w:val="001E1C95"/>
    <w:rsid w:val="001F7F8A"/>
    <w:rsid w:val="00212490"/>
    <w:rsid w:val="00251B56"/>
    <w:rsid w:val="002B0937"/>
    <w:rsid w:val="002C7DB6"/>
    <w:rsid w:val="003112BF"/>
    <w:rsid w:val="003212B2"/>
    <w:rsid w:val="00337F8B"/>
    <w:rsid w:val="00354229"/>
    <w:rsid w:val="00355692"/>
    <w:rsid w:val="00361125"/>
    <w:rsid w:val="003A6970"/>
    <w:rsid w:val="003B1503"/>
    <w:rsid w:val="003C1F8F"/>
    <w:rsid w:val="003F2366"/>
    <w:rsid w:val="003F2C43"/>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6E76"/>
    <w:rsid w:val="005A7648"/>
    <w:rsid w:val="005B1756"/>
    <w:rsid w:val="0064464D"/>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B3727"/>
    <w:rsid w:val="009D205E"/>
    <w:rsid w:val="009D67F1"/>
    <w:rsid w:val="009E7BFB"/>
    <w:rsid w:val="009F1C01"/>
    <w:rsid w:val="009F39E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A0601"/>
    <w:rsid w:val="00BB63B5"/>
    <w:rsid w:val="00BD2D47"/>
    <w:rsid w:val="00BE5464"/>
    <w:rsid w:val="00BF0ABC"/>
    <w:rsid w:val="00C07D26"/>
    <w:rsid w:val="00C170D9"/>
    <w:rsid w:val="00C373A0"/>
    <w:rsid w:val="00C743BB"/>
    <w:rsid w:val="00C751CE"/>
    <w:rsid w:val="00C81100"/>
    <w:rsid w:val="00C851DD"/>
    <w:rsid w:val="00C85CA5"/>
    <w:rsid w:val="00CC2590"/>
    <w:rsid w:val="00CD1172"/>
    <w:rsid w:val="00CD312E"/>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51625"/>
    <w:rsid w:val="00F81994"/>
    <w:rsid w:val="00F9166E"/>
    <w:rsid w:val="00FB53E6"/>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373A0"/>
  </w:style>
  <w:style w:type="character" w:customStyle="1" w:styleId="FootnoteTextChar">
    <w:name w:val="Footnote Text Char"/>
    <w:basedOn w:val="DefaultParagraphFont"/>
    <w:link w:val="FootnoteText"/>
    <w:rsid w:val="00C373A0"/>
  </w:style>
  <w:style w:type="character" w:styleId="FootnoteReference">
    <w:name w:val="footnote reference"/>
    <w:basedOn w:val="DefaultParagraphFont"/>
    <w:rsid w:val="00C373A0"/>
    <w:rPr>
      <w:vertAlign w:val="superscript"/>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9B52-5F45-49FD-9A51-A7BF0C4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4940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2010-11-16T16:35:00Z</cp:lastPrinted>
  <dcterms:created xsi:type="dcterms:W3CDTF">2011-04-04T18:20:00Z</dcterms:created>
  <dcterms:modified xsi:type="dcterms:W3CDTF">2011-04-04T18:20:00Z</dcterms:modified>
</cp:coreProperties>
</file>