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02706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Default="00643C7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M-2009</w:t>
            </w:r>
            <w:r w:rsidR="0002706C" w:rsidRPr="0002706C">
              <w:rPr>
                <w:rFonts w:ascii="Arial" w:hAnsi="Arial"/>
                <w:sz w:val="16"/>
                <w:szCs w:val="16"/>
              </w:rPr>
              <w:t>-20</w:t>
            </w:r>
            <w:r w:rsidR="00574A9E">
              <w:rPr>
                <w:rFonts w:ascii="Arial" w:hAnsi="Arial"/>
                <w:sz w:val="16"/>
                <w:szCs w:val="16"/>
              </w:rPr>
              <w:t>9</w:t>
            </w:r>
            <w:r w:rsidR="00FF6845">
              <w:rPr>
                <w:rFonts w:ascii="Arial" w:hAnsi="Arial"/>
                <w:sz w:val="16"/>
                <w:szCs w:val="16"/>
              </w:rPr>
              <w:t>2222</w:t>
            </w:r>
          </w:p>
          <w:p w:rsidR="00FF6845" w:rsidRDefault="00FF684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M-2009-2112952</w:t>
            </w:r>
          </w:p>
          <w:p w:rsidR="00FF6845" w:rsidRPr="0002706C" w:rsidRDefault="00FF684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M-2009-2112956</w:t>
            </w:r>
          </w:p>
        </w:tc>
      </w:tr>
    </w:tbl>
    <w:p w:rsidR="00C74A51" w:rsidRDefault="00C74A51">
      <w:pPr>
        <w:rPr>
          <w:sz w:val="24"/>
        </w:rPr>
        <w:sectPr w:rsidR="00C74A51" w:rsidSect="009E40EC">
          <w:footerReference w:type="even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Pr="006D3697" w:rsidRDefault="00007DAB" w:rsidP="00FA0E37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April 5, 2011</w:t>
      </w:r>
    </w:p>
    <w:p w:rsidR="001E1BF3" w:rsidRPr="009E40EC" w:rsidRDefault="001E1BF3" w:rsidP="00FA0E37">
      <w:pPr>
        <w:jc w:val="center"/>
        <w:rPr>
          <w:b/>
          <w:sz w:val="26"/>
          <w:szCs w:val="26"/>
        </w:rPr>
      </w:pPr>
    </w:p>
    <w:p w:rsidR="0002706C" w:rsidRPr="00707F3E" w:rsidRDefault="0002706C" w:rsidP="00BE4A72">
      <w:pPr>
        <w:rPr>
          <w:sz w:val="24"/>
          <w:szCs w:val="24"/>
        </w:rPr>
      </w:pPr>
      <w:r w:rsidRPr="00707F3E">
        <w:rPr>
          <w:sz w:val="24"/>
          <w:szCs w:val="24"/>
        </w:rPr>
        <w:t>TO ALL INTERESTED PARTIES:</w:t>
      </w:r>
    </w:p>
    <w:p w:rsidR="00C90506" w:rsidRPr="00707F3E" w:rsidRDefault="00C90506" w:rsidP="00BE4A72">
      <w:pPr>
        <w:rPr>
          <w:sz w:val="24"/>
          <w:szCs w:val="24"/>
        </w:rPr>
      </w:pPr>
    </w:p>
    <w:p w:rsidR="009B23D8" w:rsidRPr="0031561B" w:rsidRDefault="009B23D8" w:rsidP="008834E0">
      <w:pPr>
        <w:ind w:left="1440" w:right="720" w:hanging="1440"/>
        <w:rPr>
          <w:sz w:val="24"/>
          <w:szCs w:val="24"/>
        </w:rPr>
      </w:pPr>
      <w:r w:rsidRPr="00707F3E">
        <w:rPr>
          <w:sz w:val="24"/>
          <w:szCs w:val="24"/>
        </w:rPr>
        <w:t>Re:</w:t>
      </w:r>
      <w:r w:rsidR="00C77F29" w:rsidRPr="00707F3E">
        <w:rPr>
          <w:sz w:val="24"/>
          <w:szCs w:val="24"/>
        </w:rPr>
        <w:tab/>
      </w:r>
      <w:r w:rsidR="00FD1F5A" w:rsidRPr="0031561B">
        <w:rPr>
          <w:sz w:val="24"/>
          <w:szCs w:val="24"/>
        </w:rPr>
        <w:t xml:space="preserve">Joint </w:t>
      </w:r>
      <w:r w:rsidR="006B4577" w:rsidRPr="0031561B">
        <w:rPr>
          <w:spacing w:val="-3"/>
          <w:sz w:val="24"/>
          <w:szCs w:val="24"/>
        </w:rPr>
        <w:t>Petition of</w:t>
      </w:r>
      <w:r w:rsidR="00FD1F5A" w:rsidRPr="0031561B">
        <w:rPr>
          <w:spacing w:val="-3"/>
          <w:sz w:val="24"/>
          <w:szCs w:val="24"/>
        </w:rPr>
        <w:t xml:space="preserve"> Metropolitan Edison Company, Pennsylvania Electric Company and Pennsylvania Power Company</w:t>
      </w:r>
      <w:r w:rsidR="006B4577" w:rsidRPr="0031561B">
        <w:rPr>
          <w:spacing w:val="-3"/>
          <w:sz w:val="24"/>
          <w:szCs w:val="24"/>
        </w:rPr>
        <w:t xml:space="preserve"> for </w:t>
      </w:r>
      <w:r w:rsidR="00FD1F5A" w:rsidRPr="0031561B">
        <w:rPr>
          <w:spacing w:val="-3"/>
          <w:sz w:val="24"/>
          <w:szCs w:val="24"/>
        </w:rPr>
        <w:t xml:space="preserve">Amendment of the Orders Approving </w:t>
      </w:r>
      <w:r w:rsidR="00927CC5">
        <w:rPr>
          <w:spacing w:val="-3"/>
          <w:sz w:val="24"/>
          <w:szCs w:val="24"/>
        </w:rPr>
        <w:t>E</w:t>
      </w:r>
      <w:r w:rsidR="00FD1F5A" w:rsidRPr="0031561B">
        <w:rPr>
          <w:spacing w:val="-3"/>
          <w:sz w:val="24"/>
          <w:szCs w:val="24"/>
        </w:rPr>
        <w:t>nergy Efficiency and Conservation Plans and Petition for Approval of First Amended Energy Efficiency and Conservation Plans</w:t>
      </w:r>
    </w:p>
    <w:p w:rsidR="0002706C" w:rsidRPr="0031561B" w:rsidRDefault="001540BA" w:rsidP="009E40EC">
      <w:pPr>
        <w:rPr>
          <w:sz w:val="24"/>
          <w:szCs w:val="24"/>
        </w:rPr>
      </w:pPr>
      <w:r w:rsidRPr="0031561B">
        <w:rPr>
          <w:sz w:val="24"/>
          <w:szCs w:val="24"/>
        </w:rPr>
        <w:tab/>
      </w:r>
      <w:r w:rsidRPr="0031561B">
        <w:rPr>
          <w:sz w:val="24"/>
          <w:szCs w:val="24"/>
        </w:rPr>
        <w:tab/>
        <w:t>Docket No</w:t>
      </w:r>
      <w:r w:rsidR="00FD1F5A" w:rsidRPr="0031561B">
        <w:rPr>
          <w:sz w:val="24"/>
          <w:szCs w:val="24"/>
        </w:rPr>
        <w:t>s</w:t>
      </w:r>
      <w:r w:rsidRPr="0031561B">
        <w:rPr>
          <w:sz w:val="24"/>
          <w:szCs w:val="24"/>
        </w:rPr>
        <w:t>. M-</w:t>
      </w:r>
      <w:r w:rsidR="00FC0647" w:rsidRPr="0031561B">
        <w:rPr>
          <w:sz w:val="24"/>
          <w:szCs w:val="24"/>
        </w:rPr>
        <w:t>2009-209</w:t>
      </w:r>
      <w:r w:rsidR="00FD1F5A" w:rsidRPr="0031561B">
        <w:rPr>
          <w:sz w:val="24"/>
          <w:szCs w:val="24"/>
        </w:rPr>
        <w:t>2222; M-2009-2112952; M-2009-2112956</w:t>
      </w:r>
    </w:p>
    <w:p w:rsidR="00C90506" w:rsidRPr="0031561B" w:rsidRDefault="00C90506" w:rsidP="009E40EC">
      <w:pPr>
        <w:rPr>
          <w:sz w:val="24"/>
          <w:szCs w:val="24"/>
        </w:rPr>
      </w:pPr>
    </w:p>
    <w:p w:rsidR="00914A4A" w:rsidRPr="0031561B" w:rsidRDefault="00B477BB" w:rsidP="00B477BB">
      <w:pPr>
        <w:rPr>
          <w:sz w:val="24"/>
          <w:szCs w:val="24"/>
        </w:rPr>
      </w:pPr>
      <w:r w:rsidRPr="0031561B">
        <w:rPr>
          <w:sz w:val="24"/>
          <w:szCs w:val="24"/>
        </w:rPr>
        <w:tab/>
      </w:r>
      <w:r w:rsidRPr="0031561B">
        <w:rPr>
          <w:sz w:val="24"/>
          <w:szCs w:val="24"/>
        </w:rPr>
        <w:tab/>
      </w:r>
      <w:r w:rsidR="008834E0" w:rsidRPr="0031561B">
        <w:rPr>
          <w:sz w:val="24"/>
          <w:szCs w:val="24"/>
        </w:rPr>
        <w:t xml:space="preserve">On February 18, 2011, </w:t>
      </w:r>
      <w:r w:rsidRPr="0031561B">
        <w:rPr>
          <w:spacing w:val="-3"/>
          <w:sz w:val="24"/>
          <w:szCs w:val="24"/>
        </w:rPr>
        <w:t>Metropolitan Edison Company, Pennsylvania Electric Company and Pennsylvania Power Company filed a Joint Petition for Amendment o</w:t>
      </w:r>
      <w:r w:rsidR="000C467D" w:rsidRPr="0031561B">
        <w:rPr>
          <w:spacing w:val="-3"/>
          <w:sz w:val="24"/>
          <w:szCs w:val="24"/>
        </w:rPr>
        <w:t>f the Orders entered February 26</w:t>
      </w:r>
      <w:r w:rsidRPr="0031561B">
        <w:rPr>
          <w:spacing w:val="-3"/>
          <w:sz w:val="24"/>
          <w:szCs w:val="24"/>
        </w:rPr>
        <w:t>, 2010, approving their Energy Efficiency and Conservation Plans at the above docket numbers.</w:t>
      </w:r>
    </w:p>
    <w:p w:rsidR="007C3A75" w:rsidRPr="0031561B" w:rsidRDefault="007C3A75" w:rsidP="007C3A75">
      <w:pPr>
        <w:ind w:firstLine="1440"/>
        <w:rPr>
          <w:sz w:val="24"/>
          <w:szCs w:val="24"/>
        </w:rPr>
      </w:pPr>
    </w:p>
    <w:p w:rsidR="00C77DCA" w:rsidRPr="0031561B" w:rsidRDefault="0044773F" w:rsidP="001C7DFE">
      <w:pPr>
        <w:ind w:firstLine="1440"/>
        <w:rPr>
          <w:sz w:val="24"/>
          <w:szCs w:val="24"/>
        </w:rPr>
      </w:pPr>
      <w:r w:rsidRPr="0031561B">
        <w:rPr>
          <w:sz w:val="24"/>
          <w:szCs w:val="24"/>
        </w:rPr>
        <w:t>In this pro</w:t>
      </w:r>
      <w:r w:rsidR="00C77DCA" w:rsidRPr="0031561B">
        <w:rPr>
          <w:sz w:val="24"/>
          <w:szCs w:val="24"/>
        </w:rPr>
        <w:t xml:space="preserve">ceeding, the Office of </w:t>
      </w:r>
      <w:r w:rsidR="00FD1F5A" w:rsidRPr="0031561B">
        <w:rPr>
          <w:sz w:val="24"/>
          <w:szCs w:val="24"/>
        </w:rPr>
        <w:t>Consumer</w:t>
      </w:r>
      <w:r w:rsidR="00707022" w:rsidRPr="0031561B">
        <w:rPr>
          <w:sz w:val="24"/>
          <w:szCs w:val="24"/>
        </w:rPr>
        <w:t xml:space="preserve"> Advocate, the Met-Ed Industrial Users Group, the Penelec Industrial Customer Alliance, and the Penn Power Users Group have</w:t>
      </w:r>
      <w:r w:rsidR="00C77DCA" w:rsidRPr="0031561B">
        <w:rPr>
          <w:sz w:val="24"/>
          <w:szCs w:val="24"/>
        </w:rPr>
        <w:t xml:space="preserve"> explicitly requested hearings</w:t>
      </w:r>
      <w:r w:rsidR="001C7DFE" w:rsidRPr="0031561B">
        <w:rPr>
          <w:sz w:val="24"/>
          <w:szCs w:val="24"/>
        </w:rPr>
        <w:t>.</w:t>
      </w:r>
      <w:r w:rsidR="00C77DCA" w:rsidRPr="0031561B">
        <w:rPr>
          <w:sz w:val="24"/>
          <w:szCs w:val="24"/>
        </w:rPr>
        <w:t xml:space="preserve">  The Commission hereby grants this request and </w:t>
      </w:r>
      <w:r w:rsidR="002755CB" w:rsidRPr="0031561B">
        <w:rPr>
          <w:sz w:val="24"/>
          <w:szCs w:val="24"/>
        </w:rPr>
        <w:t xml:space="preserve">refers this matter </w:t>
      </w:r>
      <w:r w:rsidR="00C77DCA" w:rsidRPr="0031561B">
        <w:rPr>
          <w:sz w:val="24"/>
          <w:szCs w:val="24"/>
        </w:rPr>
        <w:t xml:space="preserve">to the Office of Administrative Law Judge </w:t>
      </w:r>
      <w:r w:rsidR="004E0E80" w:rsidRPr="0031561B">
        <w:rPr>
          <w:sz w:val="24"/>
          <w:szCs w:val="24"/>
        </w:rPr>
        <w:t>(OALJ)</w:t>
      </w:r>
      <w:r w:rsidR="003626F3" w:rsidRPr="0031561B">
        <w:rPr>
          <w:sz w:val="24"/>
          <w:szCs w:val="24"/>
        </w:rPr>
        <w:t xml:space="preserve"> for further proceedings</w:t>
      </w:r>
      <w:r w:rsidR="00C77DCA" w:rsidRPr="0031561B">
        <w:rPr>
          <w:sz w:val="24"/>
          <w:szCs w:val="24"/>
        </w:rPr>
        <w:t>.</w:t>
      </w:r>
    </w:p>
    <w:p w:rsidR="00C77DCA" w:rsidRPr="0031561B" w:rsidRDefault="00C77DCA" w:rsidP="001C7DFE">
      <w:pPr>
        <w:ind w:firstLine="1440"/>
        <w:rPr>
          <w:sz w:val="24"/>
          <w:szCs w:val="24"/>
        </w:rPr>
      </w:pPr>
    </w:p>
    <w:p w:rsidR="00707F3E" w:rsidRPr="0031561B" w:rsidRDefault="00C77DCA" w:rsidP="001C7DFE">
      <w:pPr>
        <w:ind w:firstLine="1440"/>
        <w:rPr>
          <w:sz w:val="24"/>
          <w:szCs w:val="24"/>
        </w:rPr>
      </w:pPr>
      <w:r w:rsidRPr="0031561B">
        <w:rPr>
          <w:sz w:val="24"/>
          <w:szCs w:val="24"/>
        </w:rPr>
        <w:t xml:space="preserve">The Commission recognizes </w:t>
      </w:r>
      <w:r w:rsidR="005B4696" w:rsidRPr="0031561B">
        <w:rPr>
          <w:sz w:val="24"/>
          <w:szCs w:val="24"/>
        </w:rPr>
        <w:t xml:space="preserve">the need </w:t>
      </w:r>
      <w:r w:rsidR="001055DD" w:rsidRPr="0031561B">
        <w:rPr>
          <w:sz w:val="24"/>
          <w:szCs w:val="24"/>
        </w:rPr>
        <w:t xml:space="preserve">to resolve </w:t>
      </w:r>
      <w:r w:rsidR="005B4696" w:rsidRPr="0031561B">
        <w:rPr>
          <w:sz w:val="24"/>
          <w:szCs w:val="24"/>
        </w:rPr>
        <w:t>this proceeding</w:t>
      </w:r>
      <w:r w:rsidR="00707022" w:rsidRPr="0031561B">
        <w:rPr>
          <w:sz w:val="24"/>
          <w:szCs w:val="24"/>
        </w:rPr>
        <w:t xml:space="preserve"> in a timely fashion</w:t>
      </w:r>
      <w:r w:rsidR="005B4696" w:rsidRPr="0031561B">
        <w:rPr>
          <w:sz w:val="24"/>
          <w:szCs w:val="24"/>
        </w:rPr>
        <w:t>, cons</w:t>
      </w:r>
      <w:r w:rsidR="003626F3" w:rsidRPr="0031561B">
        <w:rPr>
          <w:sz w:val="24"/>
          <w:szCs w:val="24"/>
        </w:rPr>
        <w:t xml:space="preserve">istent with </w:t>
      </w:r>
      <w:r w:rsidR="005B4696" w:rsidRPr="0031561B">
        <w:rPr>
          <w:sz w:val="24"/>
          <w:szCs w:val="24"/>
        </w:rPr>
        <w:t xml:space="preserve">due process.  </w:t>
      </w:r>
      <w:r w:rsidR="00A86595" w:rsidRPr="0031561B">
        <w:rPr>
          <w:sz w:val="24"/>
          <w:szCs w:val="24"/>
        </w:rPr>
        <w:t xml:space="preserve">The </w:t>
      </w:r>
      <w:r w:rsidR="004E0E80" w:rsidRPr="0031561B">
        <w:rPr>
          <w:sz w:val="24"/>
          <w:szCs w:val="24"/>
        </w:rPr>
        <w:t xml:space="preserve">OALJ is directed to </w:t>
      </w:r>
      <w:r w:rsidR="001055DD" w:rsidRPr="0031561B">
        <w:rPr>
          <w:sz w:val="24"/>
          <w:szCs w:val="24"/>
        </w:rPr>
        <w:t xml:space="preserve">proceed </w:t>
      </w:r>
      <w:r w:rsidR="00927CC5">
        <w:rPr>
          <w:sz w:val="24"/>
          <w:szCs w:val="24"/>
        </w:rPr>
        <w:t xml:space="preserve">expeditiously </w:t>
      </w:r>
      <w:r w:rsidR="001055DD" w:rsidRPr="0031561B">
        <w:rPr>
          <w:sz w:val="24"/>
          <w:szCs w:val="24"/>
        </w:rPr>
        <w:t>in t</w:t>
      </w:r>
      <w:r w:rsidR="005B4696" w:rsidRPr="0031561B">
        <w:rPr>
          <w:sz w:val="24"/>
          <w:szCs w:val="24"/>
        </w:rPr>
        <w:t>his matter</w:t>
      </w:r>
      <w:r w:rsidR="004E0E80" w:rsidRPr="0031561B">
        <w:rPr>
          <w:sz w:val="24"/>
          <w:szCs w:val="24"/>
        </w:rPr>
        <w:t xml:space="preserve">, </w:t>
      </w:r>
      <w:r w:rsidR="001055DD" w:rsidRPr="0031561B">
        <w:rPr>
          <w:sz w:val="24"/>
          <w:szCs w:val="24"/>
        </w:rPr>
        <w:t>such</w:t>
      </w:r>
      <w:r w:rsidR="00707F3E" w:rsidRPr="0031561B">
        <w:rPr>
          <w:sz w:val="24"/>
          <w:szCs w:val="24"/>
        </w:rPr>
        <w:t xml:space="preserve"> that the </w:t>
      </w:r>
      <w:r w:rsidR="005A1F77" w:rsidRPr="0031561B">
        <w:rPr>
          <w:sz w:val="24"/>
          <w:szCs w:val="24"/>
        </w:rPr>
        <w:t xml:space="preserve">Parties can engage in settlement discussions and the </w:t>
      </w:r>
      <w:r w:rsidR="00707F3E" w:rsidRPr="0031561B">
        <w:rPr>
          <w:sz w:val="24"/>
          <w:szCs w:val="24"/>
        </w:rPr>
        <w:t xml:space="preserve">Administrative Law Judge </w:t>
      </w:r>
      <w:r w:rsidR="001055DD" w:rsidRPr="0031561B">
        <w:rPr>
          <w:sz w:val="24"/>
          <w:szCs w:val="24"/>
        </w:rPr>
        <w:t>can</w:t>
      </w:r>
      <w:r w:rsidR="00A86595" w:rsidRPr="0031561B">
        <w:rPr>
          <w:sz w:val="24"/>
          <w:szCs w:val="24"/>
        </w:rPr>
        <w:t xml:space="preserve"> </w:t>
      </w:r>
      <w:r w:rsidR="00FE78D0" w:rsidRPr="0031561B">
        <w:rPr>
          <w:sz w:val="24"/>
          <w:szCs w:val="24"/>
        </w:rPr>
        <w:t>issu</w:t>
      </w:r>
      <w:r w:rsidR="001055DD" w:rsidRPr="0031561B">
        <w:rPr>
          <w:sz w:val="24"/>
          <w:szCs w:val="24"/>
        </w:rPr>
        <w:t>e</w:t>
      </w:r>
      <w:r w:rsidR="00FE78D0" w:rsidRPr="0031561B">
        <w:rPr>
          <w:sz w:val="24"/>
          <w:szCs w:val="24"/>
        </w:rPr>
        <w:t xml:space="preserve"> a Recommended Decision.  Exceptions will be due not later than </w:t>
      </w:r>
      <w:r w:rsidR="0031561B" w:rsidRPr="0031561B">
        <w:rPr>
          <w:sz w:val="24"/>
          <w:szCs w:val="24"/>
        </w:rPr>
        <w:t>10</w:t>
      </w:r>
      <w:r w:rsidR="000C467D" w:rsidRPr="0031561B">
        <w:rPr>
          <w:sz w:val="24"/>
          <w:szCs w:val="24"/>
        </w:rPr>
        <w:t xml:space="preserve"> days subsequent to the Issuance of the Recommended Decision</w:t>
      </w:r>
      <w:r w:rsidR="003626F3" w:rsidRPr="0031561B">
        <w:rPr>
          <w:sz w:val="24"/>
          <w:szCs w:val="24"/>
        </w:rPr>
        <w:t xml:space="preserve">.  </w:t>
      </w:r>
      <w:r w:rsidR="00FE78D0" w:rsidRPr="0031561B">
        <w:rPr>
          <w:sz w:val="24"/>
          <w:szCs w:val="24"/>
        </w:rPr>
        <w:t>Reply Exceptions will not be accepted.</w:t>
      </w:r>
      <w:r w:rsidR="00707F3E" w:rsidRPr="0031561B">
        <w:rPr>
          <w:sz w:val="24"/>
          <w:szCs w:val="24"/>
        </w:rPr>
        <w:t xml:space="preserve"> </w:t>
      </w:r>
      <w:r w:rsidR="001B758F" w:rsidRPr="0031561B">
        <w:rPr>
          <w:sz w:val="24"/>
          <w:szCs w:val="24"/>
        </w:rPr>
        <w:t xml:space="preserve"> The Commission will thereafter consider the matter at a public meeting.</w:t>
      </w:r>
      <w:r w:rsidR="00707F3E" w:rsidRPr="0031561B">
        <w:rPr>
          <w:sz w:val="24"/>
          <w:szCs w:val="24"/>
        </w:rPr>
        <w:t xml:space="preserve"> </w:t>
      </w:r>
    </w:p>
    <w:p w:rsidR="00707F3E" w:rsidRDefault="00707F3E" w:rsidP="001C7DFE">
      <w:pPr>
        <w:ind w:firstLine="1440"/>
        <w:rPr>
          <w:sz w:val="24"/>
          <w:szCs w:val="24"/>
        </w:rPr>
      </w:pPr>
    </w:p>
    <w:p w:rsidR="007C3A75" w:rsidRPr="00707F3E" w:rsidRDefault="00166AC1" w:rsidP="001C7DFE">
      <w:pPr>
        <w:ind w:firstLine="1440"/>
        <w:rPr>
          <w:sz w:val="24"/>
          <w:szCs w:val="24"/>
        </w:rPr>
      </w:pPr>
      <w:r w:rsidRPr="00707F3E">
        <w:rPr>
          <w:sz w:val="24"/>
          <w:szCs w:val="24"/>
        </w:rPr>
        <w:t>Any Party</w:t>
      </w:r>
      <w:r w:rsidR="00707F3E" w:rsidRPr="00707F3E">
        <w:rPr>
          <w:sz w:val="24"/>
          <w:szCs w:val="24"/>
        </w:rPr>
        <w:t xml:space="preserve"> having </w:t>
      </w:r>
      <w:r w:rsidRPr="00707F3E">
        <w:rPr>
          <w:sz w:val="24"/>
          <w:szCs w:val="24"/>
        </w:rPr>
        <w:t xml:space="preserve">questions </w:t>
      </w:r>
      <w:r w:rsidR="00707F3E" w:rsidRPr="00707F3E">
        <w:rPr>
          <w:sz w:val="24"/>
          <w:szCs w:val="24"/>
        </w:rPr>
        <w:t xml:space="preserve">about this matter </w:t>
      </w:r>
      <w:r w:rsidRPr="00707F3E">
        <w:rPr>
          <w:sz w:val="24"/>
          <w:szCs w:val="24"/>
        </w:rPr>
        <w:t xml:space="preserve">may contact Jonathan Nase in the Office of Special Assistants at (717) 787-3490 or </w:t>
      </w:r>
      <w:hyperlink r:id="rId11" w:history="1">
        <w:r w:rsidRPr="00707F3E">
          <w:rPr>
            <w:rStyle w:val="Hyperlink"/>
            <w:sz w:val="24"/>
            <w:szCs w:val="24"/>
          </w:rPr>
          <w:t>jnase@state.pa.us</w:t>
        </w:r>
      </w:hyperlink>
      <w:r w:rsidRPr="00707F3E">
        <w:rPr>
          <w:sz w:val="24"/>
          <w:szCs w:val="24"/>
        </w:rPr>
        <w:t>.</w:t>
      </w:r>
      <w:r w:rsidR="00707F3E" w:rsidRPr="00707F3E">
        <w:rPr>
          <w:sz w:val="24"/>
          <w:szCs w:val="24"/>
        </w:rPr>
        <w:t xml:space="preserve">  </w:t>
      </w:r>
      <w:r w:rsidR="005B4696" w:rsidRPr="00707F3E">
        <w:rPr>
          <w:sz w:val="24"/>
          <w:szCs w:val="24"/>
        </w:rPr>
        <w:t xml:space="preserve"> </w:t>
      </w:r>
      <w:r w:rsidR="00C77DCA" w:rsidRPr="00707F3E">
        <w:rPr>
          <w:sz w:val="24"/>
          <w:szCs w:val="24"/>
        </w:rPr>
        <w:t xml:space="preserve"> </w:t>
      </w:r>
      <w:r w:rsidR="001C7DFE" w:rsidRPr="00707F3E">
        <w:rPr>
          <w:sz w:val="24"/>
          <w:szCs w:val="24"/>
        </w:rPr>
        <w:t xml:space="preserve">  </w:t>
      </w:r>
    </w:p>
    <w:p w:rsidR="004D2698" w:rsidRPr="00707F3E" w:rsidRDefault="00C77F29" w:rsidP="00BE4A72">
      <w:pPr>
        <w:rPr>
          <w:sz w:val="24"/>
          <w:szCs w:val="24"/>
        </w:rPr>
      </w:pPr>
      <w:r w:rsidRPr="00707F3E">
        <w:rPr>
          <w:sz w:val="24"/>
          <w:szCs w:val="24"/>
        </w:rPr>
        <w:t xml:space="preserve">  </w:t>
      </w:r>
    </w:p>
    <w:p w:rsidR="001C0D21" w:rsidRDefault="00BE4A72" w:rsidP="00BE4A72">
      <w:pPr>
        <w:ind w:left="3600"/>
        <w:rPr>
          <w:sz w:val="24"/>
          <w:szCs w:val="24"/>
        </w:rPr>
      </w:pPr>
      <w:r w:rsidRPr="00707F3E">
        <w:rPr>
          <w:sz w:val="24"/>
          <w:szCs w:val="24"/>
        </w:rPr>
        <w:tab/>
      </w:r>
    </w:p>
    <w:p w:rsidR="001C0D21" w:rsidRDefault="001C0D21" w:rsidP="00BE4A72">
      <w:pPr>
        <w:ind w:left="3600"/>
        <w:rPr>
          <w:sz w:val="24"/>
          <w:szCs w:val="24"/>
        </w:rPr>
      </w:pPr>
    </w:p>
    <w:p w:rsidR="001C0D21" w:rsidRDefault="001C0D21" w:rsidP="00BE4A72">
      <w:pPr>
        <w:ind w:left="3600"/>
        <w:rPr>
          <w:sz w:val="24"/>
          <w:szCs w:val="24"/>
        </w:rPr>
      </w:pPr>
    </w:p>
    <w:p w:rsidR="00BE4A72" w:rsidRPr="00707F3E" w:rsidRDefault="00007DAB" w:rsidP="00BE4A72">
      <w:pPr>
        <w:ind w:left="360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68580</wp:posOffset>
            </wp:positionV>
            <wp:extent cx="2200275" cy="838200"/>
            <wp:effectExtent l="19050" t="0" r="9525" b="0"/>
            <wp:wrapNone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D21">
        <w:rPr>
          <w:sz w:val="24"/>
          <w:szCs w:val="24"/>
        </w:rPr>
        <w:tab/>
      </w:r>
      <w:r w:rsidR="00BE4A72" w:rsidRPr="00707F3E">
        <w:rPr>
          <w:sz w:val="24"/>
          <w:szCs w:val="24"/>
        </w:rPr>
        <w:t>Sincerely,</w:t>
      </w:r>
    </w:p>
    <w:p w:rsidR="00BE4A72" w:rsidRPr="00707F3E" w:rsidRDefault="00BE4A72" w:rsidP="00BE4A72">
      <w:pPr>
        <w:ind w:left="3600"/>
        <w:rPr>
          <w:sz w:val="24"/>
          <w:szCs w:val="24"/>
        </w:rPr>
      </w:pPr>
    </w:p>
    <w:p w:rsidR="00BE4A72" w:rsidRPr="00707F3E" w:rsidRDefault="00BE4A72" w:rsidP="00BE4A72">
      <w:pPr>
        <w:ind w:left="3600"/>
        <w:rPr>
          <w:sz w:val="24"/>
          <w:szCs w:val="24"/>
        </w:rPr>
      </w:pPr>
    </w:p>
    <w:p w:rsidR="005A1F77" w:rsidRDefault="00C77F29" w:rsidP="00707F3E">
      <w:pPr>
        <w:ind w:left="3600"/>
        <w:jc w:val="both"/>
        <w:rPr>
          <w:sz w:val="24"/>
          <w:szCs w:val="24"/>
        </w:rPr>
      </w:pPr>
      <w:r w:rsidRPr="00707F3E">
        <w:rPr>
          <w:sz w:val="24"/>
          <w:szCs w:val="24"/>
        </w:rPr>
        <w:tab/>
      </w:r>
    </w:p>
    <w:p w:rsidR="005A1F77" w:rsidRDefault="005A1F77" w:rsidP="00707F3E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C6561" w:rsidRPr="00707F3E" w:rsidRDefault="005A1F77" w:rsidP="00707F3E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C6561" w:rsidRPr="00707F3E">
        <w:rPr>
          <w:color w:val="000000"/>
          <w:sz w:val="24"/>
          <w:szCs w:val="24"/>
        </w:rPr>
        <w:t xml:space="preserve">Rosemary Chiavetta </w:t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B2209E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>Secretary</w:t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</w:p>
    <w:sectPr w:rsidR="005C6561" w:rsidRPr="00707F3E" w:rsidSect="00B92745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8DC" w:rsidRDefault="00AC38DC">
      <w:r>
        <w:separator/>
      </w:r>
    </w:p>
  </w:endnote>
  <w:endnote w:type="continuationSeparator" w:id="0">
    <w:p w:rsidR="00AC38DC" w:rsidRDefault="00AC3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4E0" w:rsidRDefault="00185BE7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34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34E0" w:rsidRDefault="008834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4E0" w:rsidRDefault="00185BE7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34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34E0" w:rsidRDefault="008834E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4E0" w:rsidRDefault="00185B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34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34E0">
      <w:rPr>
        <w:rStyle w:val="PageNumber"/>
        <w:noProof/>
      </w:rPr>
      <w:t>2</w:t>
    </w:r>
    <w:r>
      <w:rPr>
        <w:rStyle w:val="PageNumber"/>
      </w:rPr>
      <w:fldChar w:fldCharType="end"/>
    </w:r>
  </w:p>
  <w:p w:rsidR="008834E0" w:rsidRDefault="008834E0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4E0" w:rsidRDefault="008834E0">
    <w:pPr>
      <w:pStyle w:val="Footer"/>
      <w:framePr w:wrap="around" w:vAnchor="text" w:hAnchor="margin" w:xAlign="center" w:y="1"/>
      <w:rPr>
        <w:rStyle w:val="PageNumber"/>
      </w:rPr>
    </w:pPr>
  </w:p>
  <w:p w:rsidR="008834E0" w:rsidRDefault="008834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8DC" w:rsidRDefault="00AC38DC">
      <w:r>
        <w:separator/>
      </w:r>
    </w:p>
  </w:footnote>
  <w:footnote w:type="continuationSeparator" w:id="0">
    <w:p w:rsidR="00AC38DC" w:rsidRDefault="00AC38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07DAB"/>
    <w:rsid w:val="0002706C"/>
    <w:rsid w:val="0007052C"/>
    <w:rsid w:val="000C0C7F"/>
    <w:rsid w:val="000C467D"/>
    <w:rsid w:val="000C7F7A"/>
    <w:rsid w:val="000E3B78"/>
    <w:rsid w:val="001055DD"/>
    <w:rsid w:val="00107F5F"/>
    <w:rsid w:val="001176C2"/>
    <w:rsid w:val="001209F1"/>
    <w:rsid w:val="00131C40"/>
    <w:rsid w:val="00133C0F"/>
    <w:rsid w:val="00142AF6"/>
    <w:rsid w:val="0015371B"/>
    <w:rsid w:val="001540BA"/>
    <w:rsid w:val="00166AC1"/>
    <w:rsid w:val="0017109D"/>
    <w:rsid w:val="00171E64"/>
    <w:rsid w:val="00185BE7"/>
    <w:rsid w:val="00190837"/>
    <w:rsid w:val="001A0CA5"/>
    <w:rsid w:val="001B6451"/>
    <w:rsid w:val="001B758F"/>
    <w:rsid w:val="001C0D21"/>
    <w:rsid w:val="001C4A1C"/>
    <w:rsid w:val="001C7DFE"/>
    <w:rsid w:val="001E1BF3"/>
    <w:rsid w:val="001F22DF"/>
    <w:rsid w:val="002229C3"/>
    <w:rsid w:val="0023689D"/>
    <w:rsid w:val="0025139E"/>
    <w:rsid w:val="002755CB"/>
    <w:rsid w:val="00282731"/>
    <w:rsid w:val="0029471C"/>
    <w:rsid w:val="002F0138"/>
    <w:rsid w:val="002F443E"/>
    <w:rsid w:val="0030651D"/>
    <w:rsid w:val="0031561B"/>
    <w:rsid w:val="00331E7F"/>
    <w:rsid w:val="0034289A"/>
    <w:rsid w:val="003558C3"/>
    <w:rsid w:val="003569E8"/>
    <w:rsid w:val="003626F3"/>
    <w:rsid w:val="00363CC5"/>
    <w:rsid w:val="003872E4"/>
    <w:rsid w:val="003D01E6"/>
    <w:rsid w:val="003D1D38"/>
    <w:rsid w:val="0040171A"/>
    <w:rsid w:val="0044773F"/>
    <w:rsid w:val="00447911"/>
    <w:rsid w:val="00447BB7"/>
    <w:rsid w:val="00451C0E"/>
    <w:rsid w:val="0045381E"/>
    <w:rsid w:val="00482676"/>
    <w:rsid w:val="0049706D"/>
    <w:rsid w:val="004A609C"/>
    <w:rsid w:val="004D2698"/>
    <w:rsid w:val="004E0E80"/>
    <w:rsid w:val="004E0EDD"/>
    <w:rsid w:val="00504873"/>
    <w:rsid w:val="0051639C"/>
    <w:rsid w:val="00525681"/>
    <w:rsid w:val="00527A2A"/>
    <w:rsid w:val="005372E4"/>
    <w:rsid w:val="005748D5"/>
    <w:rsid w:val="00574A9E"/>
    <w:rsid w:val="00595468"/>
    <w:rsid w:val="005A1F77"/>
    <w:rsid w:val="005B4696"/>
    <w:rsid w:val="005C6561"/>
    <w:rsid w:val="005E25C5"/>
    <w:rsid w:val="00643C76"/>
    <w:rsid w:val="0067110D"/>
    <w:rsid w:val="006755C0"/>
    <w:rsid w:val="006B4577"/>
    <w:rsid w:val="006D3697"/>
    <w:rsid w:val="00704308"/>
    <w:rsid w:val="00707022"/>
    <w:rsid w:val="00707F3E"/>
    <w:rsid w:val="00712678"/>
    <w:rsid w:val="007617B1"/>
    <w:rsid w:val="00782052"/>
    <w:rsid w:val="007C3A75"/>
    <w:rsid w:val="007C497E"/>
    <w:rsid w:val="007D4E28"/>
    <w:rsid w:val="007E248C"/>
    <w:rsid w:val="007E6D1C"/>
    <w:rsid w:val="00843AB6"/>
    <w:rsid w:val="008834E0"/>
    <w:rsid w:val="00894FF9"/>
    <w:rsid w:val="00897E1C"/>
    <w:rsid w:val="009147F8"/>
    <w:rsid w:val="00914A4A"/>
    <w:rsid w:val="00927CC5"/>
    <w:rsid w:val="00937CE6"/>
    <w:rsid w:val="00961BCA"/>
    <w:rsid w:val="009B23D8"/>
    <w:rsid w:val="009B51EB"/>
    <w:rsid w:val="009E40EC"/>
    <w:rsid w:val="009E5D90"/>
    <w:rsid w:val="009E7520"/>
    <w:rsid w:val="009F5F66"/>
    <w:rsid w:val="00A205AF"/>
    <w:rsid w:val="00A25085"/>
    <w:rsid w:val="00A31B01"/>
    <w:rsid w:val="00A50D88"/>
    <w:rsid w:val="00A86595"/>
    <w:rsid w:val="00A95CEA"/>
    <w:rsid w:val="00AC38DC"/>
    <w:rsid w:val="00AF4BA0"/>
    <w:rsid w:val="00B2209E"/>
    <w:rsid w:val="00B477BB"/>
    <w:rsid w:val="00B566FC"/>
    <w:rsid w:val="00B644AB"/>
    <w:rsid w:val="00B92745"/>
    <w:rsid w:val="00BA3CDC"/>
    <w:rsid w:val="00BA444D"/>
    <w:rsid w:val="00BE13FF"/>
    <w:rsid w:val="00BE4A72"/>
    <w:rsid w:val="00BE5119"/>
    <w:rsid w:val="00BF4868"/>
    <w:rsid w:val="00BF52B0"/>
    <w:rsid w:val="00C11607"/>
    <w:rsid w:val="00C30B4E"/>
    <w:rsid w:val="00C37DB9"/>
    <w:rsid w:val="00C74382"/>
    <w:rsid w:val="00C74A51"/>
    <w:rsid w:val="00C77DCA"/>
    <w:rsid w:val="00C77F29"/>
    <w:rsid w:val="00C8742A"/>
    <w:rsid w:val="00C90506"/>
    <w:rsid w:val="00CB476A"/>
    <w:rsid w:val="00CB5738"/>
    <w:rsid w:val="00CC1A5A"/>
    <w:rsid w:val="00CF047C"/>
    <w:rsid w:val="00D65C94"/>
    <w:rsid w:val="00D76315"/>
    <w:rsid w:val="00D878A9"/>
    <w:rsid w:val="00D97295"/>
    <w:rsid w:val="00DE7F43"/>
    <w:rsid w:val="00DF1A6C"/>
    <w:rsid w:val="00E07C84"/>
    <w:rsid w:val="00E349DA"/>
    <w:rsid w:val="00E51A2C"/>
    <w:rsid w:val="00E5366B"/>
    <w:rsid w:val="00EA1721"/>
    <w:rsid w:val="00EA6E61"/>
    <w:rsid w:val="00EF623C"/>
    <w:rsid w:val="00F032F0"/>
    <w:rsid w:val="00F119E7"/>
    <w:rsid w:val="00F3213C"/>
    <w:rsid w:val="00F531C5"/>
    <w:rsid w:val="00F6767A"/>
    <w:rsid w:val="00F7094C"/>
    <w:rsid w:val="00FA0E37"/>
    <w:rsid w:val="00FB5B27"/>
    <w:rsid w:val="00FC0647"/>
    <w:rsid w:val="00FC50BC"/>
    <w:rsid w:val="00FD1F5A"/>
    <w:rsid w:val="00FE78D0"/>
    <w:rsid w:val="00FF01AF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315"/>
  </w:style>
  <w:style w:type="paragraph" w:styleId="Heading1">
    <w:name w:val="heading 1"/>
    <w:basedOn w:val="Normal"/>
    <w:next w:val="Normal"/>
    <w:qFormat/>
    <w:rsid w:val="00D7631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6315"/>
    <w:pPr>
      <w:ind w:left="360"/>
    </w:pPr>
    <w:rPr>
      <w:sz w:val="24"/>
    </w:rPr>
  </w:style>
  <w:style w:type="paragraph" w:styleId="Header">
    <w:name w:val="header"/>
    <w:basedOn w:val="Normal"/>
    <w:rsid w:val="00D763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631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451C0E"/>
  </w:style>
  <w:style w:type="character" w:customStyle="1" w:styleId="FootnoteTextChar">
    <w:name w:val="Footnote Text Char"/>
    <w:basedOn w:val="DefaultParagraphFont"/>
    <w:link w:val="FootnoteText"/>
    <w:rsid w:val="00451C0E"/>
  </w:style>
  <w:style w:type="character" w:styleId="FootnoteReference">
    <w:name w:val="footnote reference"/>
    <w:basedOn w:val="DefaultParagraphFont"/>
    <w:rsid w:val="00451C0E"/>
    <w:rPr>
      <w:vertAlign w:val="superscript"/>
    </w:rPr>
  </w:style>
  <w:style w:type="character" w:styleId="Hyperlink">
    <w:name w:val="Hyperlink"/>
    <w:basedOn w:val="DefaultParagraphFont"/>
    <w:rsid w:val="00166A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nase@state.pa.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1509-15BD-4B5C-922E-0B121D74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Secretarial Letter</dc:title>
  <dc:subject>FirstEnergy Amended EE&amp;C Plan</dc:subject>
  <dc:creator>T Maher</dc:creator>
  <cp:keywords/>
  <dc:description/>
  <cp:lastModifiedBy>Administrator</cp:lastModifiedBy>
  <cp:revision>3</cp:revision>
  <cp:lastPrinted>2011-04-05T17:53:00Z</cp:lastPrinted>
  <dcterms:created xsi:type="dcterms:W3CDTF">2011-04-05T15:50:00Z</dcterms:created>
  <dcterms:modified xsi:type="dcterms:W3CDTF">2011-04-05T17:53:00Z</dcterms:modified>
  <cp:category>Electric Distribution</cp:category>
</cp:coreProperties>
</file>