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State">
        <w:smartTag w:uri="urn:schemas-microsoft-com:office:smarttags" w:element="place">
          <w:r w:rsidRPr="00482CB5">
            <w:rPr>
              <w:b/>
              <w:spacing w:val="-3"/>
            </w:rPr>
            <w:t>PENNSYLVANIA</w:t>
          </w:r>
        </w:smartTag>
      </w:smartTag>
      <w:r w:rsidR="005623BA" w:rsidRPr="00482CB5">
        <w:rPr>
          <w:b/>
          <w:spacing w:val="-3"/>
        </w:rPr>
        <w:fldChar w:fldCharType="begin"/>
      </w:r>
      <w:r w:rsidRPr="00482CB5">
        <w:rPr>
          <w:b/>
          <w:spacing w:val="-3"/>
        </w:rPr>
        <w:instrText xml:space="preserve">PRIVATE </w:instrText>
      </w:r>
      <w:r w:rsidR="005623BA" w:rsidRPr="00482CB5">
        <w:rPr>
          <w:b/>
          <w:spacing w:val="-3"/>
        </w:rPr>
        <w:fldChar w:fldCharType="end"/>
      </w:r>
    </w:p>
    <w:p w:rsidR="00475AC7" w:rsidRPr="00482CB5" w:rsidRDefault="00475AC7" w:rsidP="00475AC7">
      <w:pPr>
        <w:tabs>
          <w:tab w:val="center" w:pos="4680"/>
        </w:tabs>
        <w:suppressAutoHyphens/>
        <w:jc w:val="both"/>
        <w:rPr>
          <w:b/>
          <w:spacing w:val="-3"/>
        </w:rPr>
      </w:pPr>
      <w:r w:rsidRPr="00482CB5">
        <w:rPr>
          <w:b/>
          <w:spacing w:val="-3"/>
        </w:rPr>
        <w:tab/>
        <w:t>PUBLIC UTILITY COMMISSION</w:t>
      </w:r>
    </w:p>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place">
        <w:smartTag w:uri="urn:schemas-microsoft-com:office:smarttags" w:element="City">
          <w:r w:rsidRPr="00482CB5">
            <w:rPr>
              <w:b/>
              <w:spacing w:val="-3"/>
            </w:rPr>
            <w:t>Harrisburg</w:t>
          </w:r>
        </w:smartTag>
        <w:r w:rsidRPr="00482CB5">
          <w:rPr>
            <w:b/>
            <w:spacing w:val="-3"/>
          </w:rPr>
          <w:t xml:space="preserve">, </w:t>
        </w:r>
        <w:smartTag w:uri="urn:schemas-microsoft-com:office:smarttags" w:element="State">
          <w:r w:rsidRPr="00482CB5">
            <w:rPr>
              <w:b/>
              <w:spacing w:val="-3"/>
            </w:rPr>
            <w:t>PA</w:t>
          </w:r>
        </w:smartTag>
        <w:r w:rsidRPr="00482CB5">
          <w:rPr>
            <w:b/>
            <w:spacing w:val="-3"/>
          </w:rPr>
          <w:t xml:space="preserve"> </w:t>
        </w:r>
        <w:smartTag w:uri="urn:schemas-microsoft-com:office:smarttags" w:element="PostalCode">
          <w:r w:rsidRPr="00482CB5">
            <w:rPr>
              <w:b/>
              <w:spacing w:val="-3"/>
            </w:rPr>
            <w:t>17105-3265</w:t>
          </w:r>
        </w:smartTag>
      </w:smartTag>
    </w:p>
    <w:p w:rsidR="00475AC7" w:rsidRPr="00482CB5" w:rsidRDefault="00475AC7" w:rsidP="00475AC7">
      <w:pPr>
        <w:tabs>
          <w:tab w:val="left" w:pos="-720"/>
        </w:tabs>
        <w:suppressAutoHyphens/>
        <w:jc w:val="both"/>
        <w:rPr>
          <w:spacing w:val="-3"/>
        </w:rPr>
      </w:pPr>
    </w:p>
    <w:p w:rsidR="00475AC7" w:rsidRPr="00482CB5" w:rsidRDefault="00475AC7" w:rsidP="00475AC7">
      <w:pPr>
        <w:tabs>
          <w:tab w:val="left" w:pos="-720"/>
        </w:tabs>
        <w:suppressAutoHyphens/>
        <w:jc w:val="right"/>
      </w:pPr>
      <w:r w:rsidRPr="00482CB5">
        <w:t xml:space="preserve">Public Meeting held </w:t>
      </w:r>
      <w:r w:rsidR="000B6BDD">
        <w:t>March 31, 2011</w:t>
      </w:r>
    </w:p>
    <w:p w:rsidR="00475AC7" w:rsidRPr="00482CB5" w:rsidRDefault="00475AC7" w:rsidP="00475AC7">
      <w:pPr>
        <w:tabs>
          <w:tab w:val="left" w:pos="-720"/>
        </w:tabs>
        <w:suppressAutoHyphens/>
      </w:pPr>
    </w:p>
    <w:p w:rsidR="00475AC7" w:rsidRPr="00482CB5" w:rsidRDefault="00475AC7" w:rsidP="00475AC7">
      <w:pPr>
        <w:tabs>
          <w:tab w:val="left" w:pos="-720"/>
        </w:tabs>
        <w:suppressAutoHyphens/>
      </w:pPr>
      <w:r w:rsidRPr="00482CB5">
        <w:t xml:space="preserve">Commissioners Present: </w:t>
      </w:r>
    </w:p>
    <w:p w:rsidR="00475AC7" w:rsidRPr="00482CB5" w:rsidRDefault="00475AC7" w:rsidP="00475AC7">
      <w:pPr>
        <w:tabs>
          <w:tab w:val="left" w:pos="-720"/>
        </w:tabs>
        <w:suppressAutoHyphens/>
      </w:pPr>
    </w:p>
    <w:p w:rsidR="00475AC7" w:rsidRDefault="000B6BDD" w:rsidP="00475AC7">
      <w:pPr>
        <w:tabs>
          <w:tab w:val="left" w:pos="-720"/>
        </w:tabs>
        <w:suppressAutoHyphens/>
      </w:pPr>
      <w:r>
        <w:tab/>
        <w:t>Robert F. Powelson</w:t>
      </w:r>
      <w:r w:rsidR="00475AC7" w:rsidRPr="00482CB5">
        <w:t>, Chairman</w:t>
      </w:r>
    </w:p>
    <w:p w:rsidR="00475AC7" w:rsidRDefault="00475AC7" w:rsidP="00475AC7">
      <w:pPr>
        <w:tabs>
          <w:tab w:val="left" w:pos="-720"/>
        </w:tabs>
        <w:suppressAutoHyphens/>
      </w:pPr>
      <w:r>
        <w:tab/>
      </w:r>
      <w:r w:rsidR="000B6BDD">
        <w:t>John F. Coleman, Jr.</w:t>
      </w:r>
      <w:r>
        <w:t>, Vice Chairman</w:t>
      </w:r>
    </w:p>
    <w:p w:rsidR="00475AC7" w:rsidRDefault="00475AC7" w:rsidP="00475AC7">
      <w:pPr>
        <w:tabs>
          <w:tab w:val="left" w:pos="-720"/>
        </w:tabs>
        <w:suppressAutoHyphens/>
      </w:pPr>
      <w:r>
        <w:tab/>
      </w:r>
      <w:r w:rsidR="000B6BDD">
        <w:t>Tyrone J. Christy</w:t>
      </w:r>
    </w:p>
    <w:p w:rsidR="00475AC7" w:rsidRDefault="00475AC7" w:rsidP="00475AC7">
      <w:pPr>
        <w:tabs>
          <w:tab w:val="left" w:pos="-720"/>
        </w:tabs>
        <w:suppressAutoHyphens/>
      </w:pPr>
      <w:r>
        <w:tab/>
        <w:t>Wayne E. Gardner</w:t>
      </w:r>
    </w:p>
    <w:p w:rsidR="00475AC7" w:rsidRDefault="00475AC7" w:rsidP="00475AC7">
      <w:pPr>
        <w:tabs>
          <w:tab w:val="left" w:pos="-720"/>
        </w:tabs>
        <w:suppressAutoHyphens/>
      </w:pPr>
      <w:r>
        <w:tab/>
      </w:r>
      <w:r w:rsidR="000B6BDD">
        <w:t>James H. Cawley</w:t>
      </w:r>
    </w:p>
    <w:p w:rsidR="00475AC7" w:rsidRDefault="00475AC7" w:rsidP="00475AC7">
      <w:pPr>
        <w:tabs>
          <w:tab w:val="left" w:pos="-720"/>
        </w:tabs>
        <w:suppressAutoHyphens/>
      </w:pPr>
    </w:p>
    <w:p w:rsidR="00475AC7" w:rsidRDefault="00475AC7" w:rsidP="00475AC7">
      <w:pPr>
        <w:jc w:val="center"/>
        <w:rPr>
          <w:b/>
        </w:rPr>
      </w:pPr>
    </w:p>
    <w:p w:rsidR="00343E59" w:rsidRDefault="00343E59" w:rsidP="00475AC7">
      <w:pPr>
        <w:rPr>
          <w:szCs w:val="24"/>
        </w:rPr>
      </w:pPr>
      <w:r>
        <w:rPr>
          <w:szCs w:val="24"/>
        </w:rPr>
        <w:t>Tim Warrenfeltz</w:t>
      </w:r>
    </w:p>
    <w:p w:rsidR="00343E59" w:rsidRDefault="00343E59" w:rsidP="00475AC7">
      <w:pPr>
        <w:rPr>
          <w:szCs w:val="24"/>
        </w:rPr>
      </w:pPr>
    </w:p>
    <w:p w:rsidR="00343E59" w:rsidRDefault="00343E59" w:rsidP="00475AC7">
      <w:pPr>
        <w:rPr>
          <w:szCs w:val="24"/>
        </w:rPr>
      </w:pPr>
      <w:r>
        <w:rPr>
          <w:szCs w:val="24"/>
        </w:rPr>
        <w:tab/>
        <w:t>v.</w:t>
      </w:r>
      <w:r>
        <w:rPr>
          <w:szCs w:val="24"/>
        </w:rPr>
        <w:tab/>
      </w:r>
      <w:r>
        <w:rPr>
          <w:szCs w:val="24"/>
        </w:rPr>
        <w:tab/>
      </w:r>
      <w:r>
        <w:rPr>
          <w:szCs w:val="24"/>
        </w:rPr>
        <w:tab/>
      </w:r>
      <w:r>
        <w:rPr>
          <w:szCs w:val="24"/>
        </w:rPr>
        <w:tab/>
      </w:r>
      <w:r>
        <w:rPr>
          <w:szCs w:val="24"/>
        </w:rPr>
        <w:tab/>
      </w:r>
      <w:r>
        <w:rPr>
          <w:szCs w:val="24"/>
        </w:rPr>
        <w:tab/>
      </w:r>
      <w:r>
        <w:rPr>
          <w:szCs w:val="24"/>
        </w:rPr>
        <w:tab/>
        <w:t>C-2009-2143302</w:t>
      </w:r>
    </w:p>
    <w:p w:rsidR="00343E59" w:rsidRDefault="00343E59" w:rsidP="00475AC7">
      <w:pPr>
        <w:rPr>
          <w:szCs w:val="24"/>
        </w:rPr>
      </w:pPr>
    </w:p>
    <w:p w:rsidR="00475AC7" w:rsidRPr="00475AC7" w:rsidRDefault="00343E59" w:rsidP="00475AC7">
      <w:r>
        <w:rPr>
          <w:szCs w:val="24"/>
        </w:rPr>
        <w:t xml:space="preserve">PPL Electric Utilities </w:t>
      </w:r>
      <w:r w:rsidR="003A248F">
        <w:rPr>
          <w:szCs w:val="24"/>
        </w:rPr>
        <w:t>Corporation</w:t>
      </w:r>
      <w:r w:rsidR="00475AC7" w:rsidRPr="00475AC7">
        <w:rPr>
          <w:szCs w:val="24"/>
        </w:rPr>
        <w:tab/>
      </w:r>
    </w:p>
    <w:p w:rsidR="00475AC7" w:rsidRPr="00475AC7" w:rsidRDefault="00475AC7" w:rsidP="00475AC7">
      <w:pPr>
        <w:pStyle w:val="Heading1"/>
        <w:spacing w:line="360" w:lineRule="auto"/>
        <w:rPr>
          <w:rFonts w:ascii="Times New Roman" w:hAnsi="Times New Roman"/>
          <w:szCs w:val="26"/>
        </w:rPr>
      </w:pPr>
    </w:p>
    <w:p w:rsidR="00475AC7" w:rsidRPr="00F81D18" w:rsidRDefault="00475AC7" w:rsidP="00475AC7">
      <w:pPr>
        <w:pStyle w:val="Heading1"/>
        <w:spacing w:line="360" w:lineRule="auto"/>
        <w:rPr>
          <w:rFonts w:ascii="Times New Roman" w:hAnsi="Times New Roman"/>
          <w:b w:val="0"/>
          <w:szCs w:val="24"/>
        </w:rPr>
      </w:pPr>
      <w:r w:rsidRPr="00482CB5">
        <w:rPr>
          <w:rFonts w:ascii="Times New Roman" w:hAnsi="Times New Roman"/>
          <w:b w:val="0"/>
          <w:szCs w:val="24"/>
        </w:rPr>
        <w:tab/>
      </w:r>
      <w:r w:rsidRPr="00482CB5">
        <w:rPr>
          <w:rFonts w:ascii="Times New Roman" w:hAnsi="Times New Roman"/>
          <w:b w:val="0"/>
          <w:sz w:val="24"/>
          <w:szCs w:val="24"/>
        </w:rPr>
        <w:tab/>
      </w:r>
      <w:r w:rsidRPr="00482CB5">
        <w:rPr>
          <w:rFonts w:ascii="Times New Roman" w:hAnsi="Times New Roman"/>
          <w:b w:val="0"/>
          <w:sz w:val="24"/>
          <w:szCs w:val="24"/>
        </w:rPr>
        <w:tab/>
      </w:r>
    </w:p>
    <w:p w:rsidR="008B4C5E" w:rsidRDefault="00475AC7" w:rsidP="00475AC7">
      <w:pPr>
        <w:pStyle w:val="Heading1"/>
        <w:spacing w:line="360" w:lineRule="auto"/>
      </w:pPr>
      <w:r w:rsidRPr="00482CB5">
        <w:rPr>
          <w:rFonts w:ascii="Times New Roman" w:hAnsi="Times New Roman"/>
          <w:szCs w:val="26"/>
        </w:rPr>
        <w:tab/>
        <w:t>OPINION AND ORDER</w:t>
      </w:r>
    </w:p>
    <w:p w:rsidR="006F02C9" w:rsidRDefault="006F02C9" w:rsidP="008B4C5E">
      <w:pPr>
        <w:jc w:val="center"/>
        <w:rPr>
          <w:sz w:val="24"/>
          <w:szCs w:val="24"/>
        </w:rPr>
      </w:pPr>
    </w:p>
    <w:p w:rsidR="009348B8" w:rsidRDefault="00475AC7" w:rsidP="009348B8">
      <w:pPr>
        <w:pStyle w:val="BodyText"/>
        <w:ind w:firstLine="1440"/>
      </w:pPr>
      <w:r w:rsidRPr="000057EA">
        <w:rPr>
          <w:szCs w:val="26"/>
        </w:rPr>
        <w:t>Before the Commission for consideration and disposition is the Initial Decision</w:t>
      </w:r>
      <w:r w:rsidR="003A272F">
        <w:rPr>
          <w:szCs w:val="26"/>
        </w:rPr>
        <w:t xml:space="preserve"> (I.D.)</w:t>
      </w:r>
      <w:r w:rsidRPr="000057EA">
        <w:rPr>
          <w:szCs w:val="26"/>
        </w:rPr>
        <w:t xml:space="preserve"> of Administrative Law Judge (ALJ) </w:t>
      </w:r>
      <w:r w:rsidR="00343E59">
        <w:rPr>
          <w:szCs w:val="26"/>
        </w:rPr>
        <w:t>Kandace F. Melillo</w:t>
      </w:r>
      <w:r>
        <w:rPr>
          <w:szCs w:val="26"/>
        </w:rPr>
        <w:t xml:space="preserve"> issued on </w:t>
      </w:r>
      <w:r w:rsidR="008F613A">
        <w:rPr>
          <w:szCs w:val="26"/>
        </w:rPr>
        <w:t>October 13, 2010</w:t>
      </w:r>
      <w:r w:rsidR="00383A30">
        <w:rPr>
          <w:szCs w:val="26"/>
        </w:rPr>
        <w:t xml:space="preserve">.  </w:t>
      </w:r>
      <w:r w:rsidR="00360F52">
        <w:rPr>
          <w:szCs w:val="26"/>
        </w:rPr>
        <w:t xml:space="preserve">No Exceptions were filed.  </w:t>
      </w:r>
      <w:r w:rsidR="005A799C">
        <w:rPr>
          <w:szCs w:val="26"/>
        </w:rPr>
        <w:t>W</w:t>
      </w:r>
      <w:r w:rsidR="009348B8" w:rsidRPr="008004C1">
        <w:t>e have exercised our right to review the Initial Dec</w:t>
      </w:r>
      <w:r w:rsidR="00596A60">
        <w:t>ision pursuant to 66 Pa. C.S. § </w:t>
      </w:r>
      <w:r w:rsidR="009348B8" w:rsidRPr="008004C1">
        <w:t xml:space="preserve">332(h).  </w:t>
      </w:r>
    </w:p>
    <w:p w:rsidR="009348B8" w:rsidRDefault="009348B8" w:rsidP="009348B8">
      <w:pPr>
        <w:pStyle w:val="BodyText"/>
        <w:ind w:firstLine="1440"/>
      </w:pPr>
    </w:p>
    <w:p w:rsidR="00985385" w:rsidRDefault="00985385" w:rsidP="00985385">
      <w:pPr>
        <w:spacing w:line="360" w:lineRule="auto"/>
        <w:jc w:val="center"/>
        <w:outlineLvl w:val="0"/>
      </w:pPr>
      <w:r>
        <w:rPr>
          <w:b/>
          <w:szCs w:val="24"/>
        </w:rPr>
        <w:t>History of the Proceeding</w:t>
      </w:r>
    </w:p>
    <w:p w:rsidR="009348B8" w:rsidRPr="008004C1" w:rsidRDefault="009348B8" w:rsidP="009348B8">
      <w:pPr>
        <w:pStyle w:val="BodyText"/>
        <w:ind w:firstLine="1440"/>
      </w:pPr>
    </w:p>
    <w:p w:rsidR="00F258B0" w:rsidRDefault="00985385" w:rsidP="00475AC7">
      <w:pPr>
        <w:pStyle w:val="BodyText"/>
      </w:pPr>
      <w:r>
        <w:tab/>
      </w:r>
      <w:r>
        <w:tab/>
        <w:t>This</w:t>
      </w:r>
      <w:r w:rsidR="00475AC7">
        <w:t xml:space="preserve"> proceeding concerns</w:t>
      </w:r>
      <w:r w:rsidR="00475AC7" w:rsidRPr="000057EA">
        <w:t xml:space="preserve"> </w:t>
      </w:r>
      <w:r w:rsidR="00411857">
        <w:t xml:space="preserve">a Complaint </w:t>
      </w:r>
      <w:r w:rsidR="00047DA9">
        <w:t>filed November 18, 2009</w:t>
      </w:r>
      <w:r w:rsidR="00411857">
        <w:t xml:space="preserve">, in which </w:t>
      </w:r>
      <w:r w:rsidR="00047DA9">
        <w:t xml:space="preserve">Tim Warrenfeltz </w:t>
      </w:r>
      <w:r w:rsidR="00411857">
        <w:t xml:space="preserve">(Complainant) alleged that </w:t>
      </w:r>
      <w:r w:rsidR="00FD2979">
        <w:t>PPL Electric Utilities Corporation</w:t>
      </w:r>
      <w:r w:rsidR="00411857">
        <w:t xml:space="preserve"> </w:t>
      </w:r>
      <w:r w:rsidR="00383A30">
        <w:t>(</w:t>
      </w:r>
      <w:r w:rsidR="00360F52">
        <w:t xml:space="preserve">PPL or </w:t>
      </w:r>
      <w:r w:rsidR="00383A30">
        <w:t xml:space="preserve">Respondent) </w:t>
      </w:r>
      <w:r w:rsidR="00411857">
        <w:t xml:space="preserve">had </w:t>
      </w:r>
      <w:r w:rsidR="00FD2979">
        <w:t xml:space="preserve">issued electric bills which were excessive when considering the number of household members.  On December 14, 2009, the Respondent filed an Answer which </w:t>
      </w:r>
      <w:r w:rsidR="00FD2979">
        <w:lastRenderedPageBreak/>
        <w:t xml:space="preserve">denied the material allegations of the Complaint and requested that the Complaint be dismissed.  </w:t>
      </w:r>
    </w:p>
    <w:p w:rsidR="00FD2979" w:rsidRDefault="00FD2979" w:rsidP="00475AC7">
      <w:pPr>
        <w:pStyle w:val="BodyText"/>
      </w:pPr>
    </w:p>
    <w:p w:rsidR="00FD2979" w:rsidRDefault="00FD2979" w:rsidP="00475AC7">
      <w:pPr>
        <w:pStyle w:val="BodyText"/>
      </w:pPr>
      <w:r>
        <w:tab/>
      </w:r>
      <w:r>
        <w:tab/>
        <w:t xml:space="preserve">A hearing was </w:t>
      </w:r>
      <w:r w:rsidR="003A272F">
        <w:t>held on</w:t>
      </w:r>
      <w:r>
        <w:t xml:space="preserve"> Tuesday, July 27, 2010.  The Complainant appeared, </w:t>
      </w:r>
      <w:r w:rsidRPr="00FD2979">
        <w:rPr>
          <w:i/>
        </w:rPr>
        <w:t>pro se</w:t>
      </w:r>
      <w:r>
        <w:t xml:space="preserve">, and testified on his own behalf.  </w:t>
      </w:r>
      <w:r w:rsidR="000D4B21">
        <w:t>PPL introduced the testimony of one witness and introduced three exhibits into the record.  After the hearing, an additional exhibit relating to meter calibration was introduced at the request of the ALJ.</w:t>
      </w:r>
      <w:r w:rsidR="00B5596A">
        <w:t xml:space="preserve">  No briefs were filed.</w:t>
      </w:r>
    </w:p>
    <w:p w:rsidR="00B5596A" w:rsidRDefault="00B5596A" w:rsidP="00475AC7">
      <w:pPr>
        <w:pStyle w:val="BodyText"/>
      </w:pPr>
    </w:p>
    <w:p w:rsidR="00B5596A" w:rsidRDefault="00B5596A" w:rsidP="00475AC7">
      <w:pPr>
        <w:pStyle w:val="BodyText"/>
      </w:pPr>
      <w:r>
        <w:tab/>
      </w:r>
      <w:r>
        <w:tab/>
        <w:t xml:space="preserve">On October 13, 2010, the ALJ’s Initial Decision was issued which </w:t>
      </w:r>
      <w:r w:rsidR="00DD4FED">
        <w:t>denied the Complaint.  The ALJ found that the Complainant failed to meet his burden of proof.</w:t>
      </w:r>
    </w:p>
    <w:p w:rsidR="000D4B21" w:rsidRDefault="000D4B21" w:rsidP="00475AC7">
      <w:pPr>
        <w:pStyle w:val="BodyText"/>
      </w:pPr>
    </w:p>
    <w:p w:rsidR="006F02C9" w:rsidRDefault="0094764C" w:rsidP="00284547">
      <w:pPr>
        <w:spacing w:line="360" w:lineRule="auto"/>
        <w:jc w:val="center"/>
        <w:rPr>
          <w:b/>
          <w:szCs w:val="24"/>
        </w:rPr>
      </w:pPr>
      <w:r w:rsidRPr="0094764C">
        <w:rPr>
          <w:b/>
          <w:szCs w:val="24"/>
        </w:rPr>
        <w:t>Discussion</w:t>
      </w:r>
    </w:p>
    <w:p w:rsidR="00DD4FED" w:rsidRDefault="00DD4FED" w:rsidP="00284547">
      <w:pPr>
        <w:spacing w:line="360" w:lineRule="auto"/>
        <w:jc w:val="center"/>
        <w:rPr>
          <w:b/>
          <w:szCs w:val="24"/>
        </w:rPr>
      </w:pPr>
    </w:p>
    <w:p w:rsidR="00DD4FED" w:rsidRDefault="00DD4FED" w:rsidP="00DD4FED">
      <w:pPr>
        <w:spacing w:line="360" w:lineRule="auto"/>
        <w:ind w:firstLine="1440"/>
      </w:pPr>
      <w:r w:rsidRPr="004A753B">
        <w:t xml:space="preserve">As a preliminary matter, we note that any issue that we do not specifically address has been duly considered and will be denied without further discussion.  It is well settled that we are not required to consider, expressly or at length, each contention or argument raised by the parties.  </w:t>
      </w:r>
      <w:r w:rsidRPr="004A753B">
        <w:rPr>
          <w:i/>
        </w:rPr>
        <w:t>Consolidated Rail Corporation v. Pennsylvania Public Utility Commission</w:t>
      </w:r>
      <w:r w:rsidRPr="004A753B">
        <w:t xml:space="preserve">, 625 A.2d 741 (Pa. Cmwlth. 1993); </w:t>
      </w:r>
      <w:r w:rsidRPr="004A753B">
        <w:rPr>
          <w:i/>
        </w:rPr>
        <w:t>see also</w:t>
      </w:r>
      <w:r w:rsidRPr="004A753B">
        <w:t xml:space="preserve">, </w:t>
      </w:r>
      <w:r w:rsidRPr="004A753B">
        <w:rPr>
          <w:i/>
        </w:rPr>
        <w:t>generally</w:t>
      </w:r>
      <w:r w:rsidRPr="004A753B">
        <w:t xml:space="preserve">, </w:t>
      </w:r>
      <w:r w:rsidRPr="004A753B">
        <w:rPr>
          <w:i/>
        </w:rPr>
        <w:t>University of Pennsylvania v. Pennsylvania Public Utility Commission</w:t>
      </w:r>
      <w:r w:rsidRPr="004A753B">
        <w:t>, 485 A.2d 1217 (Pa. Cmwlth. 1984</w:t>
      </w:r>
      <w:r>
        <w:t>).</w:t>
      </w:r>
    </w:p>
    <w:p w:rsidR="00DD4FED" w:rsidRDefault="00DD4FED" w:rsidP="00DD4FED">
      <w:pPr>
        <w:spacing w:line="360" w:lineRule="auto"/>
      </w:pPr>
    </w:p>
    <w:p w:rsidR="00DD4FED" w:rsidRDefault="00DD4FED" w:rsidP="00DD4FED">
      <w:pPr>
        <w:spacing w:line="360" w:lineRule="auto"/>
        <w:ind w:firstLine="1440"/>
      </w:pPr>
      <w:r>
        <w:t xml:space="preserve">In the </w:t>
      </w:r>
      <w:r w:rsidR="003A272F">
        <w:t>Initial</w:t>
      </w:r>
      <w:r>
        <w:t xml:space="preserve"> Decision, ALJ Melillo reached fifteen Findings of Fact, I.D. at 2-</w:t>
      </w:r>
      <w:r w:rsidR="00A646E3">
        <w:t>4</w:t>
      </w:r>
      <w:r>
        <w:t xml:space="preserve">, and </w:t>
      </w:r>
      <w:r w:rsidR="00A646E3">
        <w:t>eight</w:t>
      </w:r>
      <w:r>
        <w:t xml:space="preserve"> Conclusions of Law, </w:t>
      </w:r>
      <w:r w:rsidR="00A646E3">
        <w:t>I</w:t>
      </w:r>
      <w:r>
        <w:t xml:space="preserve">.D. at </w:t>
      </w:r>
      <w:r w:rsidR="00A646E3">
        <w:t>8</w:t>
      </w:r>
      <w:r>
        <w:t>-</w:t>
      </w:r>
      <w:r w:rsidR="00A646E3">
        <w:t>9</w:t>
      </w:r>
      <w:r>
        <w:t>.  We shall adopt and incorporate herein by reference the ALJs’ Findings of Fact and Conclusions of Law unless they are either expressly or by necessary implication overruled or modified by this Opinion and Order.</w:t>
      </w:r>
    </w:p>
    <w:p w:rsidR="00DD4FED" w:rsidRDefault="00DD4FED" w:rsidP="00DD4FED">
      <w:pPr>
        <w:spacing w:line="360" w:lineRule="auto"/>
        <w:rPr>
          <w:b/>
          <w:szCs w:val="24"/>
        </w:rPr>
      </w:pPr>
    </w:p>
    <w:p w:rsidR="00284547" w:rsidRDefault="00284547" w:rsidP="00284547">
      <w:pPr>
        <w:spacing w:line="360" w:lineRule="auto"/>
        <w:jc w:val="center"/>
        <w:rPr>
          <w:b/>
          <w:szCs w:val="24"/>
        </w:rPr>
      </w:pPr>
    </w:p>
    <w:p w:rsidR="00227FCF" w:rsidRDefault="00284547" w:rsidP="00CD4A17">
      <w:pPr>
        <w:autoSpaceDE w:val="0"/>
        <w:autoSpaceDN w:val="0"/>
        <w:adjustRightInd w:val="0"/>
        <w:spacing w:line="360" w:lineRule="auto"/>
        <w:rPr>
          <w:szCs w:val="24"/>
        </w:rPr>
      </w:pPr>
      <w:r>
        <w:rPr>
          <w:b/>
          <w:szCs w:val="24"/>
        </w:rPr>
        <w:tab/>
      </w:r>
      <w:r>
        <w:rPr>
          <w:b/>
          <w:szCs w:val="24"/>
        </w:rPr>
        <w:tab/>
      </w:r>
      <w:r>
        <w:rPr>
          <w:szCs w:val="24"/>
        </w:rPr>
        <w:t xml:space="preserve">In her Initial Decision, the ALJ </w:t>
      </w:r>
      <w:r w:rsidR="004326E4">
        <w:rPr>
          <w:szCs w:val="24"/>
        </w:rPr>
        <w:t xml:space="preserve">discussed the burden of proof which must be carried by the Complainant in this proceeding.  I.D. at 4-5.  The ALJ also discussed </w:t>
      </w:r>
      <w:r w:rsidR="004326E4">
        <w:rPr>
          <w:szCs w:val="24"/>
        </w:rPr>
        <w:lastRenderedPageBreak/>
        <w:t xml:space="preserve">the particular standards of proof which are applied to high bill disputes such as that filed by the Complainant.  </w:t>
      </w:r>
      <w:r w:rsidR="004326E4" w:rsidRPr="00300E4A">
        <w:rPr>
          <w:i/>
          <w:szCs w:val="24"/>
        </w:rPr>
        <w:t>Id</w:t>
      </w:r>
      <w:r w:rsidR="004326E4">
        <w:rPr>
          <w:szCs w:val="24"/>
        </w:rPr>
        <w:t xml:space="preserve">. at 5-6.  In order to establish a </w:t>
      </w:r>
      <w:r w:rsidR="004326E4" w:rsidRPr="00C05D5F">
        <w:rPr>
          <w:i/>
          <w:szCs w:val="24"/>
        </w:rPr>
        <w:t>prima facie</w:t>
      </w:r>
      <w:r w:rsidR="004326E4">
        <w:rPr>
          <w:szCs w:val="24"/>
        </w:rPr>
        <w:t xml:space="preserve"> case in a high bill complaint, the complainant must meet the test established in </w:t>
      </w:r>
      <w:r w:rsidR="00A646E3" w:rsidRPr="00A4184E">
        <w:rPr>
          <w:i/>
          <w:szCs w:val="24"/>
        </w:rPr>
        <w:t>Waldron v. Philadelphia Electric Company</w:t>
      </w:r>
      <w:r w:rsidR="00A646E3">
        <w:rPr>
          <w:szCs w:val="24"/>
        </w:rPr>
        <w:t>, 54 Pa. PUC 98 (1980) and its progeny.</w:t>
      </w:r>
      <w:r w:rsidR="00300E4A">
        <w:rPr>
          <w:szCs w:val="24"/>
        </w:rPr>
        <w:t xml:space="preserve">  </w:t>
      </w:r>
      <w:r w:rsidR="00300E4A" w:rsidRPr="00300E4A">
        <w:rPr>
          <w:i/>
          <w:szCs w:val="24"/>
        </w:rPr>
        <w:t>Id</w:t>
      </w:r>
      <w:r w:rsidR="00300E4A">
        <w:rPr>
          <w:szCs w:val="24"/>
        </w:rPr>
        <w:t>. at 5.</w:t>
      </w:r>
      <w:r w:rsidR="00CD4A17">
        <w:rPr>
          <w:szCs w:val="24"/>
        </w:rPr>
        <w:t xml:space="preserve">  </w:t>
      </w:r>
      <w:r w:rsidR="00CD4A17">
        <w:t xml:space="preserve">Here, the Complainant </w:t>
      </w:r>
      <w:r w:rsidR="00CD4A17" w:rsidRPr="00CD4A17">
        <w:t>allege</w:t>
      </w:r>
      <w:r w:rsidR="00CD4A17">
        <w:t>d</w:t>
      </w:r>
      <w:r w:rsidR="00CD4A17" w:rsidRPr="00CD4A17">
        <w:t xml:space="preserve"> that </w:t>
      </w:r>
      <w:r w:rsidR="00CD4A17">
        <w:t xml:space="preserve">his </w:t>
      </w:r>
      <w:r w:rsidR="00CD4A17" w:rsidRPr="00CD4A17">
        <w:t xml:space="preserve">electric bills from </w:t>
      </w:r>
      <w:r w:rsidR="00CD4A17">
        <w:t xml:space="preserve">the </w:t>
      </w:r>
      <w:r w:rsidR="00CD4A17" w:rsidRPr="00CD4A17">
        <w:t>Respondent</w:t>
      </w:r>
      <w:r w:rsidR="00CD4A17">
        <w:t xml:space="preserve"> </w:t>
      </w:r>
      <w:r w:rsidR="00CD4A17" w:rsidRPr="00CD4A17">
        <w:t xml:space="preserve">were high from January 2009 through July 2009. </w:t>
      </w:r>
      <w:r w:rsidR="00300E4A">
        <w:rPr>
          <w:szCs w:val="24"/>
        </w:rPr>
        <w:t xml:space="preserve">After reviewing the evidence against the </w:t>
      </w:r>
      <w:r w:rsidR="00300E4A" w:rsidRPr="00F614FA">
        <w:rPr>
          <w:i/>
          <w:szCs w:val="24"/>
        </w:rPr>
        <w:t>Waldron</w:t>
      </w:r>
      <w:r w:rsidR="00300E4A">
        <w:rPr>
          <w:szCs w:val="24"/>
        </w:rPr>
        <w:t xml:space="preserve"> standard, the ALJ determined that the Complainant</w:t>
      </w:r>
      <w:r w:rsidR="00CD4A17">
        <w:rPr>
          <w:szCs w:val="24"/>
        </w:rPr>
        <w:t xml:space="preserve"> </w:t>
      </w:r>
      <w:r w:rsidR="00300E4A">
        <w:rPr>
          <w:szCs w:val="24"/>
        </w:rPr>
        <w:t xml:space="preserve">failed to establish a </w:t>
      </w:r>
      <w:r w:rsidR="00300E4A" w:rsidRPr="00C05D5F">
        <w:rPr>
          <w:i/>
          <w:szCs w:val="24"/>
        </w:rPr>
        <w:t>prima facie</w:t>
      </w:r>
      <w:r w:rsidR="00300E4A">
        <w:rPr>
          <w:szCs w:val="24"/>
        </w:rPr>
        <w:t xml:space="preserve"> case in support of his Complaint.  </w:t>
      </w:r>
      <w:r w:rsidR="00300E4A" w:rsidRPr="00300E4A">
        <w:rPr>
          <w:i/>
          <w:szCs w:val="24"/>
        </w:rPr>
        <w:t>Id</w:t>
      </w:r>
      <w:r w:rsidR="00300E4A">
        <w:rPr>
          <w:szCs w:val="24"/>
        </w:rPr>
        <w:t>.</w:t>
      </w:r>
      <w:r w:rsidR="00A4184E">
        <w:rPr>
          <w:szCs w:val="24"/>
        </w:rPr>
        <w:t xml:space="preserve"> at 6-7.  The ALJ also found that</w:t>
      </w:r>
      <w:r w:rsidR="00DD1E86">
        <w:rPr>
          <w:szCs w:val="24"/>
        </w:rPr>
        <w:t>,</w:t>
      </w:r>
      <w:r w:rsidR="00A4184E">
        <w:rPr>
          <w:szCs w:val="24"/>
        </w:rPr>
        <w:t xml:space="preserve"> even if it could be concluded that the Complainant had made out a </w:t>
      </w:r>
      <w:r w:rsidR="00A4184E" w:rsidRPr="00C05D5F">
        <w:rPr>
          <w:i/>
          <w:szCs w:val="24"/>
        </w:rPr>
        <w:t>prima facie</w:t>
      </w:r>
      <w:r w:rsidR="00A4184E">
        <w:rPr>
          <w:szCs w:val="24"/>
        </w:rPr>
        <w:t xml:space="preserve"> cas</w:t>
      </w:r>
      <w:r w:rsidR="00F614FA">
        <w:rPr>
          <w:szCs w:val="24"/>
        </w:rPr>
        <w:t xml:space="preserve">e in support of his Complaint, the Respondent </w:t>
      </w:r>
      <w:r w:rsidR="00A4184E">
        <w:rPr>
          <w:szCs w:val="24"/>
        </w:rPr>
        <w:t xml:space="preserve">succeeded in rebutting the evidence submitted by the Complainant.  </w:t>
      </w:r>
      <w:r w:rsidR="00A4184E" w:rsidRPr="00300E4A">
        <w:rPr>
          <w:i/>
          <w:szCs w:val="24"/>
        </w:rPr>
        <w:t>Id</w:t>
      </w:r>
      <w:r w:rsidR="00A4184E">
        <w:rPr>
          <w:szCs w:val="24"/>
        </w:rPr>
        <w:t xml:space="preserve">. at 7.  Accordingly, the ALJ found that the Complainant failed to meet his burden of proof and denied the Complaint.  </w:t>
      </w:r>
      <w:r w:rsidR="00A4184E" w:rsidRPr="00300E4A">
        <w:rPr>
          <w:i/>
          <w:szCs w:val="24"/>
        </w:rPr>
        <w:t>Id</w:t>
      </w:r>
      <w:r w:rsidR="00A4184E">
        <w:rPr>
          <w:szCs w:val="24"/>
        </w:rPr>
        <w:t>. at 9.</w:t>
      </w:r>
    </w:p>
    <w:p w:rsidR="00300E4A" w:rsidRDefault="00300E4A" w:rsidP="00A646E3">
      <w:pPr>
        <w:spacing w:line="360" w:lineRule="auto"/>
        <w:rPr>
          <w:szCs w:val="24"/>
        </w:rPr>
      </w:pPr>
    </w:p>
    <w:p w:rsidR="007049BA" w:rsidRDefault="00F614FA" w:rsidP="00CD4A17">
      <w:pPr>
        <w:autoSpaceDE w:val="0"/>
        <w:autoSpaceDN w:val="0"/>
        <w:adjustRightInd w:val="0"/>
        <w:spacing w:line="360" w:lineRule="auto"/>
      </w:pPr>
      <w:r>
        <w:tab/>
      </w:r>
      <w:r>
        <w:tab/>
      </w:r>
      <w:r w:rsidR="00CD4A17" w:rsidRPr="00CD4A17">
        <w:t>Although the ultimate outcome</w:t>
      </w:r>
      <w:r>
        <w:t xml:space="preserve"> of the Initial Decision is correct</w:t>
      </w:r>
      <w:r w:rsidR="00CD4A17" w:rsidRPr="00CD4A17">
        <w:t xml:space="preserve">, </w:t>
      </w:r>
      <w:r>
        <w:t xml:space="preserve">there are concerns regarding the ALJ’s discussion of the standard set forth in </w:t>
      </w:r>
      <w:r w:rsidRPr="00F614FA">
        <w:rPr>
          <w:i/>
        </w:rPr>
        <w:t>Waldron</w:t>
      </w:r>
      <w:r>
        <w:t>.</w:t>
      </w:r>
      <w:r w:rsidR="00C05D5F">
        <w:t xml:space="preserve">  </w:t>
      </w:r>
      <w:r w:rsidR="00CD4A17" w:rsidRPr="00CD4A17">
        <w:t xml:space="preserve">According to the </w:t>
      </w:r>
      <w:r>
        <w:t>ALJ</w:t>
      </w:r>
      <w:r w:rsidR="00CD4A17" w:rsidRPr="00CD4A17">
        <w:t xml:space="preserve">, a </w:t>
      </w:r>
      <w:r>
        <w:t>c</w:t>
      </w:r>
      <w:r w:rsidR="00CD4A17" w:rsidRPr="00CD4A17">
        <w:t xml:space="preserve">omplainant establishes a </w:t>
      </w:r>
      <w:r w:rsidR="00CD4A17" w:rsidRPr="00F614FA">
        <w:rPr>
          <w:i/>
        </w:rPr>
        <w:t>prima facie</w:t>
      </w:r>
      <w:r w:rsidR="00CD4A17" w:rsidRPr="00CD4A17">
        <w:t xml:space="preserve"> case under</w:t>
      </w:r>
      <w:r w:rsidR="00C05D5F">
        <w:t xml:space="preserve"> </w:t>
      </w:r>
      <w:r w:rsidR="00CD4A17" w:rsidRPr="00F614FA">
        <w:rPr>
          <w:i/>
        </w:rPr>
        <w:t xml:space="preserve">Waldron </w:t>
      </w:r>
      <w:r w:rsidR="00CD4A17" w:rsidRPr="00CD4A17">
        <w:t>by presenting the following testimony: (1) that the number of occupants</w:t>
      </w:r>
      <w:r w:rsidR="00C05D5F">
        <w:t xml:space="preserve"> </w:t>
      </w:r>
      <w:r w:rsidR="00CD4A17" w:rsidRPr="00CD4A17">
        <w:t>in a household has not changed; (2) that the potential for energy utilization was</w:t>
      </w:r>
      <w:r w:rsidR="00C05D5F">
        <w:t xml:space="preserve"> </w:t>
      </w:r>
      <w:r w:rsidR="00CD4A17" w:rsidRPr="00CD4A17">
        <w:t xml:space="preserve">low; and, (3) that </w:t>
      </w:r>
      <w:r w:rsidR="00C05D5F">
        <w:t xml:space="preserve">the </w:t>
      </w:r>
      <w:r w:rsidR="00CD4A17" w:rsidRPr="00CD4A17">
        <w:t>complainant’s prior billing history showed no previous</w:t>
      </w:r>
      <w:r w:rsidR="00C05D5F">
        <w:t xml:space="preserve"> </w:t>
      </w:r>
      <w:r>
        <w:t xml:space="preserve">abnormalities.  I.D. at 5.  However, </w:t>
      </w:r>
      <w:r w:rsidR="00CD4A17" w:rsidRPr="00F614FA">
        <w:rPr>
          <w:i/>
        </w:rPr>
        <w:t>Waldro</w:t>
      </w:r>
      <w:r w:rsidR="007049BA">
        <w:rPr>
          <w:i/>
        </w:rPr>
        <w:t xml:space="preserve">n </w:t>
      </w:r>
      <w:r>
        <w:t xml:space="preserve">does not </w:t>
      </w:r>
      <w:r w:rsidR="00CD4A17" w:rsidRPr="00CD4A17">
        <w:t>limit the establishment</w:t>
      </w:r>
      <w:r w:rsidR="00C05D5F">
        <w:t xml:space="preserve"> </w:t>
      </w:r>
      <w:r w:rsidR="00CD4A17" w:rsidRPr="00CD4A17">
        <w:t xml:space="preserve">of a </w:t>
      </w:r>
      <w:r w:rsidR="00CD4A17" w:rsidRPr="007049BA">
        <w:rPr>
          <w:i/>
        </w:rPr>
        <w:t>prima facie</w:t>
      </w:r>
      <w:r w:rsidR="007049BA">
        <w:t xml:space="preserve"> case to tho</w:t>
      </w:r>
      <w:r w:rsidR="00CD4A17" w:rsidRPr="00CD4A17">
        <w:t>se three factors.</w:t>
      </w:r>
      <w:r w:rsidR="007049BA">
        <w:t xml:space="preserve">  </w:t>
      </w:r>
    </w:p>
    <w:p w:rsidR="007049BA" w:rsidRDefault="007049BA" w:rsidP="00CD4A17">
      <w:pPr>
        <w:autoSpaceDE w:val="0"/>
        <w:autoSpaceDN w:val="0"/>
        <w:adjustRightInd w:val="0"/>
        <w:spacing w:line="360" w:lineRule="auto"/>
      </w:pPr>
    </w:p>
    <w:p w:rsidR="00CD4A17" w:rsidRPr="00CD4A17" w:rsidRDefault="007049BA" w:rsidP="00CD4A17">
      <w:pPr>
        <w:autoSpaceDE w:val="0"/>
        <w:autoSpaceDN w:val="0"/>
        <w:adjustRightInd w:val="0"/>
        <w:spacing w:line="360" w:lineRule="auto"/>
      </w:pPr>
      <w:r>
        <w:tab/>
      </w:r>
      <w:r>
        <w:tab/>
      </w:r>
      <w:r w:rsidR="00DF48B7">
        <w:t>C</w:t>
      </w:r>
      <w:r w:rsidR="00CD4A17" w:rsidRPr="00CD4A17">
        <w:t xml:space="preserve">onsistent with our holding in </w:t>
      </w:r>
      <w:r w:rsidR="00CD4A17" w:rsidRPr="007049BA">
        <w:rPr>
          <w:i/>
        </w:rPr>
        <w:t>Christine Bennett v. Peoples Natural</w:t>
      </w:r>
      <w:r w:rsidRPr="007049BA">
        <w:rPr>
          <w:i/>
        </w:rPr>
        <w:t xml:space="preserve"> </w:t>
      </w:r>
      <w:r w:rsidR="00CD4A17" w:rsidRPr="007049BA">
        <w:rPr>
          <w:i/>
        </w:rPr>
        <w:t>Gas Co</w:t>
      </w:r>
      <w:r w:rsidR="00CD4A17" w:rsidRPr="00CD4A17">
        <w:t>., Docket No. C-2009-2122979 (Order entered October 13, 2010), the</w:t>
      </w:r>
      <w:r>
        <w:t xml:space="preserve"> </w:t>
      </w:r>
      <w:r w:rsidR="00CD4A17" w:rsidRPr="007049BA">
        <w:rPr>
          <w:i/>
        </w:rPr>
        <w:t>Waldron</w:t>
      </w:r>
      <w:r w:rsidR="00CD4A17" w:rsidRPr="00CD4A17">
        <w:t xml:space="preserve"> Rule allows a </w:t>
      </w:r>
      <w:r>
        <w:t>c</w:t>
      </w:r>
      <w:r w:rsidR="00CD4A17" w:rsidRPr="00CD4A17">
        <w:t>omplainant to establish a prima facie case in a high bill</w:t>
      </w:r>
      <w:r>
        <w:t xml:space="preserve"> </w:t>
      </w:r>
      <w:r w:rsidR="00CD4A17" w:rsidRPr="00CD4A17">
        <w:t>complaint by showing that the disputed bill is abnormally high when compared to</w:t>
      </w:r>
      <w:r>
        <w:t xml:space="preserve"> </w:t>
      </w:r>
      <w:r w:rsidR="00CD4A17" w:rsidRPr="00CD4A17">
        <w:t xml:space="preserve">prior usage patterns and his or her pattern of usage has not changed </w:t>
      </w:r>
      <w:r w:rsidR="00CD4A17" w:rsidRPr="00FF27E8">
        <w:rPr>
          <w:iCs/>
        </w:rPr>
        <w:t>or by</w:t>
      </w:r>
      <w:r w:rsidRPr="00FF27E8">
        <w:rPr>
          <w:iCs/>
        </w:rPr>
        <w:t xml:space="preserve"> </w:t>
      </w:r>
      <w:r w:rsidR="00CD4A17" w:rsidRPr="00FF27E8">
        <w:rPr>
          <w:iCs/>
        </w:rPr>
        <w:t>providing other relevant evidence showing that the disputed bill is unreasonably</w:t>
      </w:r>
      <w:r w:rsidR="00877E67" w:rsidRPr="00FF27E8">
        <w:rPr>
          <w:iCs/>
        </w:rPr>
        <w:t xml:space="preserve"> </w:t>
      </w:r>
      <w:r w:rsidR="00CD4A17" w:rsidRPr="00FF27E8">
        <w:rPr>
          <w:iCs/>
        </w:rPr>
        <w:t>high</w:t>
      </w:r>
      <w:r w:rsidR="00DF48B7">
        <w:t xml:space="preserve">.  </w:t>
      </w:r>
      <w:r w:rsidR="00CD4A17" w:rsidRPr="00CD4A17">
        <w:t>In evaluating a high bill complaint, the Commission may consider evidence</w:t>
      </w:r>
      <w:r w:rsidR="00FF27E8">
        <w:t xml:space="preserve"> such</w:t>
      </w:r>
      <w:r w:rsidR="00CD4A17" w:rsidRPr="00CD4A17">
        <w:t xml:space="preserve"> as the billing history of the account, any change in usage patterns</w:t>
      </w:r>
      <w:r w:rsidR="00FF27E8">
        <w:t xml:space="preserve"> </w:t>
      </w:r>
      <w:r w:rsidR="00CD4A17" w:rsidRPr="00CD4A17">
        <w:t xml:space="preserve">(such as a change in the number of occupants residing in the household </w:t>
      </w:r>
      <w:r w:rsidR="00CD4A17" w:rsidRPr="00CD4A17">
        <w:lastRenderedPageBreak/>
        <w:t>or</w:t>
      </w:r>
      <w:r w:rsidR="00FF27E8">
        <w:t xml:space="preserve"> </w:t>
      </w:r>
      <w:r w:rsidR="00CD4A17" w:rsidRPr="00CD4A17">
        <w:t>potential energy utilization</w:t>
      </w:r>
      <w:r w:rsidR="00CD4A17" w:rsidRPr="00FF27E8">
        <w:rPr>
          <w:i/>
        </w:rPr>
        <w:t xml:space="preserve">), </w:t>
      </w:r>
      <w:r w:rsidR="00CD4A17" w:rsidRPr="00FF27E8">
        <w:rPr>
          <w:iCs/>
        </w:rPr>
        <w:t>and any other relevant facts or circumstances that</w:t>
      </w:r>
      <w:r w:rsidR="00FF27E8" w:rsidRPr="00FF27E8">
        <w:rPr>
          <w:iCs/>
        </w:rPr>
        <w:t xml:space="preserve"> </w:t>
      </w:r>
      <w:r w:rsidR="00CD4A17" w:rsidRPr="00FF27E8">
        <w:rPr>
          <w:iCs/>
        </w:rPr>
        <w:t>come to light during the proceeding</w:t>
      </w:r>
      <w:r w:rsidR="00CD4A17" w:rsidRPr="00CD4A17">
        <w:t>.</w:t>
      </w:r>
    </w:p>
    <w:p w:rsidR="00CD4A17" w:rsidRPr="00CD4A17" w:rsidRDefault="00CD4A17" w:rsidP="00CD4A17">
      <w:pPr>
        <w:autoSpaceDE w:val="0"/>
        <w:autoSpaceDN w:val="0"/>
        <w:adjustRightInd w:val="0"/>
        <w:spacing w:line="360" w:lineRule="auto"/>
      </w:pPr>
    </w:p>
    <w:p w:rsidR="00300E4A" w:rsidRPr="00CD4A17" w:rsidRDefault="00FF27E8" w:rsidP="00FF27E8">
      <w:pPr>
        <w:autoSpaceDE w:val="0"/>
        <w:autoSpaceDN w:val="0"/>
        <w:adjustRightInd w:val="0"/>
        <w:spacing w:line="360" w:lineRule="auto"/>
      </w:pPr>
      <w:r>
        <w:tab/>
      </w:r>
      <w:r>
        <w:tab/>
      </w:r>
      <w:r w:rsidR="00CD4A17" w:rsidRPr="00CD4A17">
        <w:t xml:space="preserve">Here, </w:t>
      </w:r>
      <w:r>
        <w:t xml:space="preserve">we agree </w:t>
      </w:r>
      <w:r w:rsidR="00CD4A17" w:rsidRPr="00CD4A17">
        <w:t xml:space="preserve">that the Complainant has not established a </w:t>
      </w:r>
      <w:r w:rsidR="00CD4A17" w:rsidRPr="00FF27E8">
        <w:rPr>
          <w:i/>
        </w:rPr>
        <w:t>prima</w:t>
      </w:r>
      <w:r w:rsidRPr="00FF27E8">
        <w:rPr>
          <w:i/>
        </w:rPr>
        <w:t xml:space="preserve"> </w:t>
      </w:r>
      <w:r w:rsidR="00CD4A17" w:rsidRPr="00FF27E8">
        <w:rPr>
          <w:i/>
        </w:rPr>
        <w:t>facie</w:t>
      </w:r>
      <w:r>
        <w:t xml:space="preserve"> case for over billing.  </w:t>
      </w:r>
      <w:r w:rsidR="00CD4A17" w:rsidRPr="00CD4A17">
        <w:t xml:space="preserve">Although </w:t>
      </w:r>
      <w:r w:rsidR="00DF48B7">
        <w:t xml:space="preserve">the </w:t>
      </w:r>
      <w:r w:rsidR="00CD4A17" w:rsidRPr="00CD4A17">
        <w:t>Complainant testified that he experienced a</w:t>
      </w:r>
      <w:r>
        <w:t xml:space="preserve"> </w:t>
      </w:r>
      <w:r w:rsidR="00CD4A17" w:rsidRPr="00CD4A17">
        <w:t xml:space="preserve">decrease in the size of his household, </w:t>
      </w:r>
      <w:r w:rsidR="00DF48B7">
        <w:t xml:space="preserve">the </w:t>
      </w:r>
      <w:r w:rsidR="00CD4A17" w:rsidRPr="00CD4A17">
        <w:t>Complainant did not provide any prior bills,</w:t>
      </w:r>
      <w:r>
        <w:t xml:space="preserve"> </w:t>
      </w:r>
      <w:r w:rsidR="00CD4A17" w:rsidRPr="00CD4A17">
        <w:t>for comparison purposes, to establish that the bills in dispute were unreasonably</w:t>
      </w:r>
      <w:r>
        <w:t xml:space="preserve"> </w:t>
      </w:r>
      <w:r w:rsidR="007A509F">
        <w:t xml:space="preserve">high.  The </w:t>
      </w:r>
      <w:r w:rsidR="00CD4A17" w:rsidRPr="00CD4A17">
        <w:t xml:space="preserve">Complainant </w:t>
      </w:r>
      <w:r w:rsidR="007A509F">
        <w:t xml:space="preserve">also </w:t>
      </w:r>
      <w:r w:rsidR="00CD4A17" w:rsidRPr="00CD4A17">
        <w:t>did not establish that he had the potential for low energy</w:t>
      </w:r>
      <w:r>
        <w:t xml:space="preserve"> </w:t>
      </w:r>
      <w:r w:rsidR="007A509F">
        <w:t xml:space="preserve">utilization.  </w:t>
      </w:r>
      <w:r w:rsidR="00CD4A17" w:rsidRPr="00CD4A17">
        <w:t xml:space="preserve">Rather, the record evidence is that </w:t>
      </w:r>
      <w:r w:rsidR="007A509F">
        <w:t xml:space="preserve">the </w:t>
      </w:r>
      <w:r w:rsidR="00CD4A17" w:rsidRPr="00CD4A17">
        <w:t>Complainant had three separate</w:t>
      </w:r>
      <w:r>
        <w:t xml:space="preserve"> </w:t>
      </w:r>
      <w:r w:rsidR="00CD4A17" w:rsidRPr="00CD4A17">
        <w:t>buildings on his property and a space heater that has the potential to consume</w:t>
      </w:r>
      <w:r>
        <w:t xml:space="preserve"> </w:t>
      </w:r>
      <w:r w:rsidR="00CD4A17" w:rsidRPr="00CD4A17">
        <w:t xml:space="preserve">large amounts of electricity. </w:t>
      </w:r>
      <w:r w:rsidR="007A509F">
        <w:t>T</w:t>
      </w:r>
      <w:r w:rsidR="00CD4A17" w:rsidRPr="00CD4A17">
        <w:t>he Complainant</w:t>
      </w:r>
      <w:r w:rsidR="007A509F">
        <w:t xml:space="preserve"> did not present any </w:t>
      </w:r>
      <w:r w:rsidR="00CD4A17" w:rsidRPr="00CD4A17">
        <w:t>other</w:t>
      </w:r>
      <w:r>
        <w:t xml:space="preserve"> relevant evidence showing that the disputed bills were unreasonably high.  I.D. at 6-7.</w:t>
      </w:r>
    </w:p>
    <w:p w:rsidR="00227FCF" w:rsidRDefault="00227FCF" w:rsidP="00227FCF">
      <w:pPr>
        <w:tabs>
          <w:tab w:val="left" w:pos="204"/>
        </w:tabs>
        <w:spacing w:line="360" w:lineRule="auto"/>
        <w:jc w:val="center"/>
      </w:pPr>
    </w:p>
    <w:p w:rsidR="00227FCF" w:rsidRPr="00482CB5" w:rsidRDefault="00227FCF" w:rsidP="00227FCF">
      <w:pPr>
        <w:tabs>
          <w:tab w:val="left" w:pos="204"/>
        </w:tabs>
        <w:spacing w:line="360" w:lineRule="auto"/>
        <w:jc w:val="center"/>
        <w:rPr>
          <w:b/>
        </w:rPr>
      </w:pPr>
      <w:r>
        <w:rPr>
          <w:b/>
        </w:rPr>
        <w:t>Co</w:t>
      </w:r>
      <w:r w:rsidRPr="00482CB5">
        <w:rPr>
          <w:b/>
        </w:rPr>
        <w:t>nclusion</w:t>
      </w:r>
    </w:p>
    <w:p w:rsidR="00227FCF" w:rsidRPr="00482CB5" w:rsidRDefault="00227FCF" w:rsidP="00227FCF">
      <w:pPr>
        <w:tabs>
          <w:tab w:val="center" w:pos="720"/>
        </w:tabs>
        <w:suppressAutoHyphens/>
        <w:spacing w:line="360" w:lineRule="auto"/>
        <w:jc w:val="center"/>
        <w:rPr>
          <w:b/>
        </w:rPr>
      </w:pPr>
    </w:p>
    <w:p w:rsidR="00227FCF" w:rsidRDefault="00227FCF" w:rsidP="00227FCF">
      <w:pPr>
        <w:tabs>
          <w:tab w:val="center" w:pos="720"/>
        </w:tabs>
        <w:suppressAutoHyphens/>
        <w:spacing w:line="360" w:lineRule="auto"/>
        <w:rPr>
          <w:b/>
        </w:rPr>
      </w:pPr>
      <w:r w:rsidRPr="00482CB5">
        <w:rPr>
          <w:b/>
        </w:rPr>
        <w:tab/>
      </w:r>
      <w:r w:rsidRPr="00482CB5">
        <w:rPr>
          <w:b/>
        </w:rPr>
        <w:tab/>
      </w:r>
      <w:r w:rsidRPr="00482CB5">
        <w:t xml:space="preserve">Based on the foregoing discussion, </w:t>
      </w:r>
      <w:r>
        <w:t>we will modify the Initial Decision consistent with this Opinion and Order</w:t>
      </w:r>
      <w:r w:rsidR="005954C5">
        <w:t xml:space="preserve"> and deny the Complaint</w:t>
      </w:r>
      <w:r>
        <w:t xml:space="preserve">; </w:t>
      </w:r>
      <w:r>
        <w:rPr>
          <w:b/>
          <w:snapToGrid w:val="0"/>
        </w:rPr>
        <w:t>THEREFORE</w:t>
      </w:r>
      <w:r w:rsidRPr="00482CB5">
        <w:rPr>
          <w:b/>
        </w:rPr>
        <w:t>,</w:t>
      </w:r>
    </w:p>
    <w:p w:rsidR="00DD513A" w:rsidRDefault="00DD513A" w:rsidP="00227FCF">
      <w:pPr>
        <w:spacing w:line="360" w:lineRule="auto"/>
        <w:rPr>
          <w:b/>
        </w:rPr>
      </w:pPr>
    </w:p>
    <w:p w:rsidR="00227FCF" w:rsidRDefault="00227FCF" w:rsidP="00227FCF">
      <w:pPr>
        <w:spacing w:line="360" w:lineRule="auto"/>
      </w:pPr>
      <w:r w:rsidRPr="007B3DE2">
        <w:rPr>
          <w:b/>
        </w:rPr>
        <w:t xml:space="preserve">IT IS ORDERED: </w:t>
      </w:r>
      <w:r w:rsidRPr="007B3DE2">
        <w:t xml:space="preserve"> </w:t>
      </w:r>
    </w:p>
    <w:p w:rsidR="00227FCF" w:rsidRDefault="00227FCF" w:rsidP="00227FCF">
      <w:pPr>
        <w:spacing w:line="360" w:lineRule="auto"/>
      </w:pPr>
    </w:p>
    <w:p w:rsidR="00227FCF" w:rsidRDefault="00227FCF" w:rsidP="00227FCF">
      <w:pPr>
        <w:spacing w:line="360" w:lineRule="auto"/>
      </w:pPr>
      <w:r>
        <w:tab/>
      </w:r>
      <w:r>
        <w:tab/>
        <w:t>1.</w:t>
      </w:r>
      <w:r>
        <w:tab/>
        <w:t>That the</w:t>
      </w:r>
      <w:r w:rsidR="005954C5">
        <w:t xml:space="preserve"> Complaint filed by Tim Warrenfeltz on November 18, 2009</w:t>
      </w:r>
      <w:r w:rsidR="003A248F">
        <w:t>, at</w:t>
      </w:r>
      <w:r w:rsidR="005954C5">
        <w:t xml:space="preserve"> Docket No. C-2009-2143302, against PPL Electric Utilities Corporation is denied.</w:t>
      </w:r>
    </w:p>
    <w:p w:rsidR="00227FCF" w:rsidRDefault="00227FCF" w:rsidP="00227FCF">
      <w:pPr>
        <w:spacing w:line="360" w:lineRule="auto"/>
      </w:pPr>
    </w:p>
    <w:p w:rsidR="00B0243F" w:rsidRDefault="00227FCF" w:rsidP="005954C5">
      <w:pPr>
        <w:keepNext/>
        <w:keepLines/>
        <w:spacing w:line="360" w:lineRule="auto"/>
      </w:pPr>
      <w:r>
        <w:lastRenderedPageBreak/>
        <w:tab/>
      </w:r>
      <w:r>
        <w:tab/>
        <w:t>2.</w:t>
      </w:r>
      <w:r>
        <w:tab/>
      </w:r>
      <w:r w:rsidR="005954C5">
        <w:t xml:space="preserve">That </w:t>
      </w:r>
      <w:r w:rsidR="00B0243F">
        <w:t xml:space="preserve">the Initial Decision of Administrative Law Judge Kandace </w:t>
      </w:r>
      <w:r w:rsidR="00091FE2">
        <w:t xml:space="preserve">F. </w:t>
      </w:r>
      <w:r w:rsidR="00B0243F">
        <w:t>Melillo issued on October 13, 2010, at Docket No. C-2009-2143302, is adopted, as modified by this Opinion and Order.</w:t>
      </w:r>
    </w:p>
    <w:p w:rsidR="00B0243F" w:rsidRDefault="00B0243F" w:rsidP="005954C5">
      <w:pPr>
        <w:keepNext/>
        <w:keepLines/>
        <w:spacing w:line="360" w:lineRule="auto"/>
      </w:pPr>
    </w:p>
    <w:p w:rsidR="00477EE5" w:rsidRDefault="00B0243F" w:rsidP="005954C5">
      <w:pPr>
        <w:keepNext/>
        <w:keepLines/>
        <w:spacing w:line="360" w:lineRule="auto"/>
      </w:pPr>
      <w:r>
        <w:tab/>
      </w:r>
      <w:r>
        <w:tab/>
        <w:t>3.</w:t>
      </w:r>
      <w:r>
        <w:tab/>
        <w:t xml:space="preserve">That </w:t>
      </w:r>
      <w:r w:rsidR="005954C5">
        <w:t>the record in this proceeding shall be marked closed.</w:t>
      </w:r>
    </w:p>
    <w:p w:rsidR="007A796A" w:rsidRPr="00475AC7" w:rsidRDefault="003475D9" w:rsidP="005954C5">
      <w:pPr>
        <w:pStyle w:val="ListNumber"/>
        <w:keepNext/>
        <w:keepLines/>
        <w:numPr>
          <w:ilvl w:val="0"/>
          <w:numId w:val="0"/>
        </w:numPr>
        <w:spacing w:line="360" w:lineRule="auto"/>
        <w:rPr>
          <w:sz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49pt;margin-top:20.85pt;width:173.25pt;height:66pt;z-index:-1;visibility:visible">
            <v:imagedata r:id="rId8" o:title=""/>
          </v:shape>
        </w:pict>
      </w:r>
      <w:r w:rsidR="007A796A">
        <w:rPr>
          <w:sz w:val="26"/>
        </w:rPr>
        <w:tab/>
      </w:r>
      <w:r w:rsidR="007A796A">
        <w:rPr>
          <w:sz w:val="26"/>
        </w:rPr>
        <w:tab/>
      </w:r>
    </w:p>
    <w:p w:rsidR="003E2766" w:rsidRPr="00482CB5" w:rsidRDefault="003E2766" w:rsidP="005954C5">
      <w:pPr>
        <w:keepNext/>
        <w:keepLines/>
        <w:spacing w:line="360" w:lineRule="auto"/>
        <w:rPr>
          <w:b/>
        </w:rPr>
      </w:pPr>
      <w:r w:rsidRPr="00482CB5">
        <w:tab/>
      </w:r>
      <w:r w:rsidRPr="00482CB5">
        <w:tab/>
      </w:r>
      <w:r w:rsidRPr="00482CB5">
        <w:tab/>
      </w:r>
      <w:r w:rsidRPr="00482CB5">
        <w:tab/>
      </w:r>
      <w:r w:rsidRPr="00482CB5">
        <w:tab/>
      </w:r>
      <w:r w:rsidRPr="00482CB5">
        <w:tab/>
      </w:r>
      <w:r w:rsidRPr="00482CB5">
        <w:tab/>
      </w:r>
      <w:r w:rsidRPr="00482CB5">
        <w:rPr>
          <w:b/>
        </w:rPr>
        <w:t>BY THE COMMISSION,</w:t>
      </w:r>
    </w:p>
    <w:p w:rsidR="003E2766" w:rsidRDefault="003E2766" w:rsidP="005954C5">
      <w:pPr>
        <w:keepNext/>
        <w:keepLines/>
      </w:pPr>
    </w:p>
    <w:p w:rsidR="003E2766" w:rsidRPr="00482CB5" w:rsidRDefault="003E2766" w:rsidP="005954C5">
      <w:pPr>
        <w:keepNext/>
        <w:keepLines/>
      </w:pPr>
    </w:p>
    <w:p w:rsidR="003E2766" w:rsidRPr="00482CB5" w:rsidRDefault="001F5C5C" w:rsidP="005954C5">
      <w:pPr>
        <w:keepNext/>
        <w:keepLines/>
      </w:pPr>
      <w:r>
        <w:tab/>
      </w:r>
      <w:r>
        <w:tab/>
      </w:r>
      <w:r>
        <w:tab/>
      </w:r>
      <w:r>
        <w:tab/>
      </w:r>
      <w:r>
        <w:tab/>
      </w:r>
      <w:r>
        <w:tab/>
      </w:r>
      <w:r>
        <w:tab/>
      </w:r>
      <w:r w:rsidR="007E67FF">
        <w:t>Rosemary Chiavetta</w:t>
      </w:r>
    </w:p>
    <w:p w:rsidR="003E2766" w:rsidRPr="00482CB5" w:rsidRDefault="003E2766" w:rsidP="005954C5">
      <w:pPr>
        <w:keepNext/>
        <w:keepLines/>
      </w:pPr>
      <w:r w:rsidRPr="00482CB5">
        <w:tab/>
      </w:r>
      <w:r w:rsidRPr="00482CB5">
        <w:tab/>
      </w:r>
      <w:r w:rsidRPr="00482CB5">
        <w:tab/>
      </w:r>
      <w:r w:rsidRPr="00482CB5">
        <w:tab/>
      </w:r>
      <w:r w:rsidRPr="00482CB5">
        <w:tab/>
      </w:r>
      <w:r w:rsidRPr="00482CB5">
        <w:tab/>
      </w:r>
      <w:r w:rsidRPr="00482CB5">
        <w:tab/>
        <w:t>Secretary</w:t>
      </w:r>
    </w:p>
    <w:p w:rsidR="003E2766" w:rsidRPr="00482CB5" w:rsidRDefault="003E2766" w:rsidP="005954C5">
      <w:pPr>
        <w:keepNext/>
        <w:keepLines/>
      </w:pPr>
    </w:p>
    <w:p w:rsidR="003E2766" w:rsidRPr="00482CB5" w:rsidRDefault="003E2766" w:rsidP="005954C5">
      <w:pPr>
        <w:keepNext/>
        <w:keepLines/>
      </w:pPr>
      <w:r w:rsidRPr="00482CB5">
        <w:t>(SEAL)</w:t>
      </w:r>
    </w:p>
    <w:p w:rsidR="003E2766" w:rsidRPr="00482CB5" w:rsidRDefault="003E2766" w:rsidP="005954C5">
      <w:pPr>
        <w:keepNext/>
        <w:keepLines/>
      </w:pPr>
    </w:p>
    <w:p w:rsidR="003E2766" w:rsidRDefault="003E2766" w:rsidP="005954C5">
      <w:pPr>
        <w:keepNext/>
        <w:keepLines/>
      </w:pPr>
      <w:r w:rsidRPr="00482CB5">
        <w:t xml:space="preserve">ORDER ADOPTED:  </w:t>
      </w:r>
      <w:r w:rsidR="005954C5">
        <w:t>March 31, 2011</w:t>
      </w:r>
    </w:p>
    <w:p w:rsidR="003E2766" w:rsidRPr="00482CB5" w:rsidRDefault="003E2766" w:rsidP="005954C5">
      <w:pPr>
        <w:keepNext/>
        <w:keepLines/>
      </w:pPr>
    </w:p>
    <w:p w:rsidR="003E2766" w:rsidRPr="00482CB5" w:rsidRDefault="003E2766" w:rsidP="005954C5">
      <w:pPr>
        <w:keepNext/>
        <w:keepLines/>
      </w:pPr>
      <w:r w:rsidRPr="00482CB5">
        <w:t xml:space="preserve">ORDER ENTERED:  </w:t>
      </w:r>
      <w:r w:rsidR="003475D9">
        <w:t xml:space="preserve"> April 6, 2011</w:t>
      </w:r>
    </w:p>
    <w:p w:rsidR="006B19F4" w:rsidRPr="003A166F" w:rsidRDefault="006B19F4" w:rsidP="005954C5">
      <w:pPr>
        <w:pStyle w:val="ListNumber"/>
        <w:keepNext/>
        <w:keepLines/>
        <w:numPr>
          <w:ilvl w:val="0"/>
          <w:numId w:val="0"/>
        </w:numPr>
        <w:spacing w:line="360" w:lineRule="auto"/>
        <w:rPr>
          <w:u w:val="single"/>
        </w:rPr>
      </w:pPr>
    </w:p>
    <w:sectPr w:rsidR="006B19F4" w:rsidRPr="003A166F" w:rsidSect="008B4C5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1E4" w:rsidRDefault="00A731E4">
      <w:r>
        <w:separator/>
      </w:r>
    </w:p>
  </w:endnote>
  <w:endnote w:type="continuationSeparator" w:id="0">
    <w:p w:rsidR="00A731E4" w:rsidRDefault="00A731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66" w:rsidRDefault="005623BA">
    <w:pPr>
      <w:pStyle w:val="Footer"/>
      <w:jc w:val="center"/>
    </w:pPr>
    <w:fldSimple w:instr=" PAGE   \* MERGEFORMAT ">
      <w:r w:rsidR="003475D9">
        <w:rPr>
          <w:noProof/>
        </w:rPr>
        <w:t>5</w:t>
      </w:r>
    </w:fldSimple>
  </w:p>
  <w:p w:rsidR="003A166F" w:rsidRDefault="003A1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1E4" w:rsidRDefault="00A731E4">
      <w:r>
        <w:separator/>
      </w:r>
    </w:p>
  </w:footnote>
  <w:footnote w:type="continuationSeparator" w:id="0">
    <w:p w:rsidR="00A731E4" w:rsidRDefault="00A731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4B6DEC6"/>
    <w:lvl w:ilvl="0">
      <w:start w:val="1"/>
      <w:numFmt w:val="decimal"/>
      <w:pStyle w:val="ListNumber"/>
      <w:lvlText w:val="%1."/>
      <w:lvlJc w:val="left"/>
      <w:pPr>
        <w:tabs>
          <w:tab w:val="num" w:pos="1080"/>
        </w:tabs>
        <w:ind w:left="10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0FE9"/>
    <w:rsid w:val="00000E2D"/>
    <w:rsid w:val="000017C4"/>
    <w:rsid w:val="000035BB"/>
    <w:rsid w:val="000048B3"/>
    <w:rsid w:val="00005F3B"/>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15D8"/>
    <w:rsid w:val="00031968"/>
    <w:rsid w:val="000320EA"/>
    <w:rsid w:val="00033166"/>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47DA9"/>
    <w:rsid w:val="00050656"/>
    <w:rsid w:val="00052AF9"/>
    <w:rsid w:val="0005373A"/>
    <w:rsid w:val="00053792"/>
    <w:rsid w:val="00053FFC"/>
    <w:rsid w:val="0005431F"/>
    <w:rsid w:val="0005568B"/>
    <w:rsid w:val="00055FE5"/>
    <w:rsid w:val="00061CCC"/>
    <w:rsid w:val="000712C5"/>
    <w:rsid w:val="0007460B"/>
    <w:rsid w:val="0007524A"/>
    <w:rsid w:val="000757AD"/>
    <w:rsid w:val="00076C46"/>
    <w:rsid w:val="00076D69"/>
    <w:rsid w:val="00077E32"/>
    <w:rsid w:val="000831AA"/>
    <w:rsid w:val="000844DD"/>
    <w:rsid w:val="00085155"/>
    <w:rsid w:val="00085C0D"/>
    <w:rsid w:val="000868D6"/>
    <w:rsid w:val="00087553"/>
    <w:rsid w:val="000901CB"/>
    <w:rsid w:val="00091FE2"/>
    <w:rsid w:val="000928E5"/>
    <w:rsid w:val="000936AA"/>
    <w:rsid w:val="00094A2B"/>
    <w:rsid w:val="00095774"/>
    <w:rsid w:val="000958D2"/>
    <w:rsid w:val="00096F54"/>
    <w:rsid w:val="000A02CB"/>
    <w:rsid w:val="000A07BD"/>
    <w:rsid w:val="000A25EB"/>
    <w:rsid w:val="000A27C5"/>
    <w:rsid w:val="000A2D8C"/>
    <w:rsid w:val="000A5190"/>
    <w:rsid w:val="000A5360"/>
    <w:rsid w:val="000A5C84"/>
    <w:rsid w:val="000A61B6"/>
    <w:rsid w:val="000A741D"/>
    <w:rsid w:val="000A7657"/>
    <w:rsid w:val="000B16F5"/>
    <w:rsid w:val="000B1A73"/>
    <w:rsid w:val="000B4662"/>
    <w:rsid w:val="000B4A44"/>
    <w:rsid w:val="000B5D58"/>
    <w:rsid w:val="000B6BDD"/>
    <w:rsid w:val="000C0751"/>
    <w:rsid w:val="000C0E75"/>
    <w:rsid w:val="000C1740"/>
    <w:rsid w:val="000C1854"/>
    <w:rsid w:val="000C1970"/>
    <w:rsid w:val="000C1E2D"/>
    <w:rsid w:val="000C21FB"/>
    <w:rsid w:val="000C4064"/>
    <w:rsid w:val="000C4468"/>
    <w:rsid w:val="000C6FB8"/>
    <w:rsid w:val="000D02BC"/>
    <w:rsid w:val="000D078B"/>
    <w:rsid w:val="000D2AEC"/>
    <w:rsid w:val="000D2F5A"/>
    <w:rsid w:val="000D43BF"/>
    <w:rsid w:val="000D4B21"/>
    <w:rsid w:val="000D4D0A"/>
    <w:rsid w:val="000D567C"/>
    <w:rsid w:val="000D70F4"/>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357"/>
    <w:rsid w:val="000F2AFC"/>
    <w:rsid w:val="000F2B4F"/>
    <w:rsid w:val="000F32EE"/>
    <w:rsid w:val="000F379C"/>
    <w:rsid w:val="000F3DD5"/>
    <w:rsid w:val="000F4EE1"/>
    <w:rsid w:val="000F546F"/>
    <w:rsid w:val="000F5F2C"/>
    <w:rsid w:val="000F62EA"/>
    <w:rsid w:val="000F6639"/>
    <w:rsid w:val="000F6B88"/>
    <w:rsid w:val="001004D2"/>
    <w:rsid w:val="001024F9"/>
    <w:rsid w:val="0010577D"/>
    <w:rsid w:val="001071E3"/>
    <w:rsid w:val="0010766A"/>
    <w:rsid w:val="001079C3"/>
    <w:rsid w:val="00110DF3"/>
    <w:rsid w:val="0011139A"/>
    <w:rsid w:val="00111838"/>
    <w:rsid w:val="001129E3"/>
    <w:rsid w:val="00113B84"/>
    <w:rsid w:val="00114141"/>
    <w:rsid w:val="0011780E"/>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C38"/>
    <w:rsid w:val="00130550"/>
    <w:rsid w:val="00134362"/>
    <w:rsid w:val="00134B13"/>
    <w:rsid w:val="00134C94"/>
    <w:rsid w:val="00134EA8"/>
    <w:rsid w:val="001351C4"/>
    <w:rsid w:val="00136AF3"/>
    <w:rsid w:val="00136BC9"/>
    <w:rsid w:val="00136C9A"/>
    <w:rsid w:val="001372D2"/>
    <w:rsid w:val="00137A58"/>
    <w:rsid w:val="00137DBE"/>
    <w:rsid w:val="001404DB"/>
    <w:rsid w:val="00140852"/>
    <w:rsid w:val="00142279"/>
    <w:rsid w:val="00142920"/>
    <w:rsid w:val="00142C54"/>
    <w:rsid w:val="00143719"/>
    <w:rsid w:val="00143DCC"/>
    <w:rsid w:val="00144856"/>
    <w:rsid w:val="0014491A"/>
    <w:rsid w:val="00146443"/>
    <w:rsid w:val="00151911"/>
    <w:rsid w:val="00152302"/>
    <w:rsid w:val="00152391"/>
    <w:rsid w:val="00152ADD"/>
    <w:rsid w:val="0015430A"/>
    <w:rsid w:val="00154FD6"/>
    <w:rsid w:val="001554C0"/>
    <w:rsid w:val="00155C48"/>
    <w:rsid w:val="001576E9"/>
    <w:rsid w:val="00160E73"/>
    <w:rsid w:val="00160EB8"/>
    <w:rsid w:val="00162991"/>
    <w:rsid w:val="00163921"/>
    <w:rsid w:val="00164042"/>
    <w:rsid w:val="00164213"/>
    <w:rsid w:val="00164422"/>
    <w:rsid w:val="001655CD"/>
    <w:rsid w:val="00167173"/>
    <w:rsid w:val="001671A3"/>
    <w:rsid w:val="00167E26"/>
    <w:rsid w:val="0017035B"/>
    <w:rsid w:val="00170954"/>
    <w:rsid w:val="001719B5"/>
    <w:rsid w:val="00171B15"/>
    <w:rsid w:val="00172031"/>
    <w:rsid w:val="00172878"/>
    <w:rsid w:val="00173BA7"/>
    <w:rsid w:val="00174559"/>
    <w:rsid w:val="00175E13"/>
    <w:rsid w:val="00177450"/>
    <w:rsid w:val="001805A7"/>
    <w:rsid w:val="00180BAC"/>
    <w:rsid w:val="00182428"/>
    <w:rsid w:val="001825C3"/>
    <w:rsid w:val="0018324C"/>
    <w:rsid w:val="00184B50"/>
    <w:rsid w:val="00185A40"/>
    <w:rsid w:val="001901D4"/>
    <w:rsid w:val="001905C8"/>
    <w:rsid w:val="00192491"/>
    <w:rsid w:val="00192956"/>
    <w:rsid w:val="00193B60"/>
    <w:rsid w:val="00193C8F"/>
    <w:rsid w:val="00195EBA"/>
    <w:rsid w:val="0019727D"/>
    <w:rsid w:val="001973E5"/>
    <w:rsid w:val="001975DE"/>
    <w:rsid w:val="00197934"/>
    <w:rsid w:val="001A039F"/>
    <w:rsid w:val="001A225A"/>
    <w:rsid w:val="001A28BE"/>
    <w:rsid w:val="001A4B28"/>
    <w:rsid w:val="001A4C79"/>
    <w:rsid w:val="001A4DCA"/>
    <w:rsid w:val="001A7526"/>
    <w:rsid w:val="001A77D3"/>
    <w:rsid w:val="001B009E"/>
    <w:rsid w:val="001B0453"/>
    <w:rsid w:val="001B0971"/>
    <w:rsid w:val="001B0BEE"/>
    <w:rsid w:val="001B38CF"/>
    <w:rsid w:val="001B39C2"/>
    <w:rsid w:val="001B4681"/>
    <w:rsid w:val="001B6AFF"/>
    <w:rsid w:val="001B6F4A"/>
    <w:rsid w:val="001B7682"/>
    <w:rsid w:val="001B7742"/>
    <w:rsid w:val="001C0857"/>
    <w:rsid w:val="001C0959"/>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63E0"/>
    <w:rsid w:val="001D66A1"/>
    <w:rsid w:val="001D6E1D"/>
    <w:rsid w:val="001D708E"/>
    <w:rsid w:val="001E024D"/>
    <w:rsid w:val="001E0A25"/>
    <w:rsid w:val="001E12A6"/>
    <w:rsid w:val="001E168D"/>
    <w:rsid w:val="001E3219"/>
    <w:rsid w:val="001E4F80"/>
    <w:rsid w:val="001E5C7B"/>
    <w:rsid w:val="001E67B0"/>
    <w:rsid w:val="001F2E47"/>
    <w:rsid w:val="001F38DD"/>
    <w:rsid w:val="001F397E"/>
    <w:rsid w:val="001F4F45"/>
    <w:rsid w:val="001F5C5C"/>
    <w:rsid w:val="001F627F"/>
    <w:rsid w:val="001F632B"/>
    <w:rsid w:val="001F6805"/>
    <w:rsid w:val="001F7426"/>
    <w:rsid w:val="00203514"/>
    <w:rsid w:val="00203EB1"/>
    <w:rsid w:val="002040B2"/>
    <w:rsid w:val="0020452F"/>
    <w:rsid w:val="0020455D"/>
    <w:rsid w:val="002049CE"/>
    <w:rsid w:val="00204E2B"/>
    <w:rsid w:val="002058AB"/>
    <w:rsid w:val="002068A5"/>
    <w:rsid w:val="00206E08"/>
    <w:rsid w:val="00206FF0"/>
    <w:rsid w:val="00207226"/>
    <w:rsid w:val="002078BB"/>
    <w:rsid w:val="00207AF8"/>
    <w:rsid w:val="00210DF5"/>
    <w:rsid w:val="00211026"/>
    <w:rsid w:val="002118A9"/>
    <w:rsid w:val="002119BD"/>
    <w:rsid w:val="00212782"/>
    <w:rsid w:val="0021297C"/>
    <w:rsid w:val="00212A58"/>
    <w:rsid w:val="00214AFE"/>
    <w:rsid w:val="00214D60"/>
    <w:rsid w:val="002152B2"/>
    <w:rsid w:val="0021546F"/>
    <w:rsid w:val="00215B56"/>
    <w:rsid w:val="00215D5A"/>
    <w:rsid w:val="002165C5"/>
    <w:rsid w:val="002179FD"/>
    <w:rsid w:val="00220FE5"/>
    <w:rsid w:val="00221256"/>
    <w:rsid w:val="002224F9"/>
    <w:rsid w:val="0022431E"/>
    <w:rsid w:val="00224B6E"/>
    <w:rsid w:val="0022585A"/>
    <w:rsid w:val="002263AC"/>
    <w:rsid w:val="002268D9"/>
    <w:rsid w:val="00227FCF"/>
    <w:rsid w:val="002307C0"/>
    <w:rsid w:val="00231435"/>
    <w:rsid w:val="00232EF1"/>
    <w:rsid w:val="00233425"/>
    <w:rsid w:val="002336DD"/>
    <w:rsid w:val="00234238"/>
    <w:rsid w:val="00234AF5"/>
    <w:rsid w:val="00234ECC"/>
    <w:rsid w:val="0023608D"/>
    <w:rsid w:val="0024076C"/>
    <w:rsid w:val="00240D81"/>
    <w:rsid w:val="002415F2"/>
    <w:rsid w:val="0024317F"/>
    <w:rsid w:val="00244CBE"/>
    <w:rsid w:val="00244D31"/>
    <w:rsid w:val="0024513C"/>
    <w:rsid w:val="002452E3"/>
    <w:rsid w:val="0025047B"/>
    <w:rsid w:val="00250849"/>
    <w:rsid w:val="00250AD4"/>
    <w:rsid w:val="0025213E"/>
    <w:rsid w:val="002524AE"/>
    <w:rsid w:val="00252D91"/>
    <w:rsid w:val="0025313F"/>
    <w:rsid w:val="002534FF"/>
    <w:rsid w:val="00254DC4"/>
    <w:rsid w:val="00254EFC"/>
    <w:rsid w:val="002568A1"/>
    <w:rsid w:val="002573E2"/>
    <w:rsid w:val="002609A6"/>
    <w:rsid w:val="00261568"/>
    <w:rsid w:val="0026175F"/>
    <w:rsid w:val="00261950"/>
    <w:rsid w:val="00261DA4"/>
    <w:rsid w:val="00262320"/>
    <w:rsid w:val="00263461"/>
    <w:rsid w:val="0026395A"/>
    <w:rsid w:val="0026397D"/>
    <w:rsid w:val="002655A3"/>
    <w:rsid w:val="00265612"/>
    <w:rsid w:val="00266C2B"/>
    <w:rsid w:val="0026732E"/>
    <w:rsid w:val="00272A22"/>
    <w:rsid w:val="00273C64"/>
    <w:rsid w:val="0027536E"/>
    <w:rsid w:val="002757A4"/>
    <w:rsid w:val="00275E38"/>
    <w:rsid w:val="00276DCE"/>
    <w:rsid w:val="00277337"/>
    <w:rsid w:val="00277A4C"/>
    <w:rsid w:val="00280E91"/>
    <w:rsid w:val="00281E25"/>
    <w:rsid w:val="00284168"/>
    <w:rsid w:val="00284547"/>
    <w:rsid w:val="00284CE5"/>
    <w:rsid w:val="002852ED"/>
    <w:rsid w:val="00286757"/>
    <w:rsid w:val="00286EC1"/>
    <w:rsid w:val="00286F6A"/>
    <w:rsid w:val="00291609"/>
    <w:rsid w:val="00291BDB"/>
    <w:rsid w:val="00291D19"/>
    <w:rsid w:val="00291FFF"/>
    <w:rsid w:val="00292DE8"/>
    <w:rsid w:val="00293EA7"/>
    <w:rsid w:val="00296273"/>
    <w:rsid w:val="002A2367"/>
    <w:rsid w:val="002A3DEF"/>
    <w:rsid w:val="002A60FF"/>
    <w:rsid w:val="002A6160"/>
    <w:rsid w:val="002A6EDE"/>
    <w:rsid w:val="002A78AA"/>
    <w:rsid w:val="002A7B2E"/>
    <w:rsid w:val="002B00C4"/>
    <w:rsid w:val="002B2612"/>
    <w:rsid w:val="002B2735"/>
    <w:rsid w:val="002B2A86"/>
    <w:rsid w:val="002B406F"/>
    <w:rsid w:val="002B4D3C"/>
    <w:rsid w:val="002B5408"/>
    <w:rsid w:val="002B5812"/>
    <w:rsid w:val="002B69F6"/>
    <w:rsid w:val="002B725F"/>
    <w:rsid w:val="002B7335"/>
    <w:rsid w:val="002B78DD"/>
    <w:rsid w:val="002C0106"/>
    <w:rsid w:val="002C2312"/>
    <w:rsid w:val="002C2383"/>
    <w:rsid w:val="002C398C"/>
    <w:rsid w:val="002C3A60"/>
    <w:rsid w:val="002C5000"/>
    <w:rsid w:val="002C5896"/>
    <w:rsid w:val="002C6424"/>
    <w:rsid w:val="002C665D"/>
    <w:rsid w:val="002C71E3"/>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F19C5"/>
    <w:rsid w:val="002F1E3E"/>
    <w:rsid w:val="002F1E55"/>
    <w:rsid w:val="002F2838"/>
    <w:rsid w:val="002F2FC5"/>
    <w:rsid w:val="002F3558"/>
    <w:rsid w:val="002F3EE1"/>
    <w:rsid w:val="002F6B84"/>
    <w:rsid w:val="00300E4A"/>
    <w:rsid w:val="003015CD"/>
    <w:rsid w:val="00301F30"/>
    <w:rsid w:val="00302A6D"/>
    <w:rsid w:val="00304FE2"/>
    <w:rsid w:val="0030574A"/>
    <w:rsid w:val="00305D74"/>
    <w:rsid w:val="00306D96"/>
    <w:rsid w:val="00310B19"/>
    <w:rsid w:val="003124FC"/>
    <w:rsid w:val="003127C4"/>
    <w:rsid w:val="00313833"/>
    <w:rsid w:val="00314B32"/>
    <w:rsid w:val="00314C1E"/>
    <w:rsid w:val="00314D31"/>
    <w:rsid w:val="00317627"/>
    <w:rsid w:val="00320F10"/>
    <w:rsid w:val="0032153C"/>
    <w:rsid w:val="003216DA"/>
    <w:rsid w:val="00321F00"/>
    <w:rsid w:val="0032281C"/>
    <w:rsid w:val="003234F5"/>
    <w:rsid w:val="00326F75"/>
    <w:rsid w:val="003271DE"/>
    <w:rsid w:val="0032783A"/>
    <w:rsid w:val="00330422"/>
    <w:rsid w:val="003304AF"/>
    <w:rsid w:val="003332E9"/>
    <w:rsid w:val="00333743"/>
    <w:rsid w:val="00333E5D"/>
    <w:rsid w:val="00333F8F"/>
    <w:rsid w:val="00337524"/>
    <w:rsid w:val="003401F4"/>
    <w:rsid w:val="00340895"/>
    <w:rsid w:val="00341495"/>
    <w:rsid w:val="003426C9"/>
    <w:rsid w:val="00343E59"/>
    <w:rsid w:val="00344367"/>
    <w:rsid w:val="00344C0B"/>
    <w:rsid w:val="003450D5"/>
    <w:rsid w:val="003465D9"/>
    <w:rsid w:val="00346CBC"/>
    <w:rsid w:val="003475D9"/>
    <w:rsid w:val="003500FF"/>
    <w:rsid w:val="0035049A"/>
    <w:rsid w:val="00351F39"/>
    <w:rsid w:val="003531AF"/>
    <w:rsid w:val="00353E4E"/>
    <w:rsid w:val="00355A1B"/>
    <w:rsid w:val="003575D7"/>
    <w:rsid w:val="00360F52"/>
    <w:rsid w:val="0036104B"/>
    <w:rsid w:val="00362686"/>
    <w:rsid w:val="00362EA2"/>
    <w:rsid w:val="00363ADD"/>
    <w:rsid w:val="00364825"/>
    <w:rsid w:val="003662E1"/>
    <w:rsid w:val="00370894"/>
    <w:rsid w:val="00370A05"/>
    <w:rsid w:val="0037197D"/>
    <w:rsid w:val="00372DCB"/>
    <w:rsid w:val="00372FE8"/>
    <w:rsid w:val="00374608"/>
    <w:rsid w:val="00374E61"/>
    <w:rsid w:val="0037508B"/>
    <w:rsid w:val="003756D2"/>
    <w:rsid w:val="00375A0B"/>
    <w:rsid w:val="00375F9C"/>
    <w:rsid w:val="00376639"/>
    <w:rsid w:val="00376858"/>
    <w:rsid w:val="003768EB"/>
    <w:rsid w:val="00376F6B"/>
    <w:rsid w:val="00377790"/>
    <w:rsid w:val="0038137B"/>
    <w:rsid w:val="003824F6"/>
    <w:rsid w:val="00382B97"/>
    <w:rsid w:val="00382C34"/>
    <w:rsid w:val="00383038"/>
    <w:rsid w:val="003838B9"/>
    <w:rsid w:val="00383A30"/>
    <w:rsid w:val="00384A39"/>
    <w:rsid w:val="003861F0"/>
    <w:rsid w:val="0038724D"/>
    <w:rsid w:val="00391F07"/>
    <w:rsid w:val="00392D91"/>
    <w:rsid w:val="00392E89"/>
    <w:rsid w:val="0039374E"/>
    <w:rsid w:val="00393B86"/>
    <w:rsid w:val="003946AE"/>
    <w:rsid w:val="00394715"/>
    <w:rsid w:val="00395648"/>
    <w:rsid w:val="003961ED"/>
    <w:rsid w:val="00396D06"/>
    <w:rsid w:val="00396DE8"/>
    <w:rsid w:val="00397735"/>
    <w:rsid w:val="0039789B"/>
    <w:rsid w:val="003A040B"/>
    <w:rsid w:val="003A166F"/>
    <w:rsid w:val="003A248F"/>
    <w:rsid w:val="003A272F"/>
    <w:rsid w:val="003A36F3"/>
    <w:rsid w:val="003B116B"/>
    <w:rsid w:val="003B205A"/>
    <w:rsid w:val="003B2E30"/>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A11"/>
    <w:rsid w:val="003C64A0"/>
    <w:rsid w:val="003C6D65"/>
    <w:rsid w:val="003C7165"/>
    <w:rsid w:val="003C7A78"/>
    <w:rsid w:val="003C7D98"/>
    <w:rsid w:val="003D112B"/>
    <w:rsid w:val="003D33F6"/>
    <w:rsid w:val="003D43BA"/>
    <w:rsid w:val="003D53CA"/>
    <w:rsid w:val="003D55B8"/>
    <w:rsid w:val="003D575B"/>
    <w:rsid w:val="003D7B0C"/>
    <w:rsid w:val="003E03B7"/>
    <w:rsid w:val="003E2005"/>
    <w:rsid w:val="003E24CD"/>
    <w:rsid w:val="003E2766"/>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1830"/>
    <w:rsid w:val="004034CE"/>
    <w:rsid w:val="00403B5A"/>
    <w:rsid w:val="00405FDA"/>
    <w:rsid w:val="004062D5"/>
    <w:rsid w:val="0040648E"/>
    <w:rsid w:val="00407509"/>
    <w:rsid w:val="0041055D"/>
    <w:rsid w:val="004110EC"/>
    <w:rsid w:val="00411857"/>
    <w:rsid w:val="004123F9"/>
    <w:rsid w:val="00415F43"/>
    <w:rsid w:val="00416181"/>
    <w:rsid w:val="00416E4C"/>
    <w:rsid w:val="00420E18"/>
    <w:rsid w:val="00421A70"/>
    <w:rsid w:val="004229A6"/>
    <w:rsid w:val="004230D1"/>
    <w:rsid w:val="0042323A"/>
    <w:rsid w:val="004246C0"/>
    <w:rsid w:val="0042498C"/>
    <w:rsid w:val="004258F4"/>
    <w:rsid w:val="004265CE"/>
    <w:rsid w:val="00426CEB"/>
    <w:rsid w:val="0043010B"/>
    <w:rsid w:val="00430E36"/>
    <w:rsid w:val="00431486"/>
    <w:rsid w:val="004326E4"/>
    <w:rsid w:val="004351AD"/>
    <w:rsid w:val="004365FC"/>
    <w:rsid w:val="00436721"/>
    <w:rsid w:val="00436E84"/>
    <w:rsid w:val="004371BC"/>
    <w:rsid w:val="00437368"/>
    <w:rsid w:val="0043784A"/>
    <w:rsid w:val="00441278"/>
    <w:rsid w:val="00443515"/>
    <w:rsid w:val="00443DE2"/>
    <w:rsid w:val="00443E23"/>
    <w:rsid w:val="00446AD8"/>
    <w:rsid w:val="00446F5E"/>
    <w:rsid w:val="00450625"/>
    <w:rsid w:val="00456083"/>
    <w:rsid w:val="00456585"/>
    <w:rsid w:val="00456AF6"/>
    <w:rsid w:val="00456D91"/>
    <w:rsid w:val="00457018"/>
    <w:rsid w:val="00457981"/>
    <w:rsid w:val="004607A6"/>
    <w:rsid w:val="00460B35"/>
    <w:rsid w:val="00460DCC"/>
    <w:rsid w:val="00461E61"/>
    <w:rsid w:val="0046382E"/>
    <w:rsid w:val="00464B98"/>
    <w:rsid w:val="00466080"/>
    <w:rsid w:val="004661AD"/>
    <w:rsid w:val="004663B3"/>
    <w:rsid w:val="00466C76"/>
    <w:rsid w:val="00466E13"/>
    <w:rsid w:val="00472C44"/>
    <w:rsid w:val="00472CC3"/>
    <w:rsid w:val="0047375A"/>
    <w:rsid w:val="00474243"/>
    <w:rsid w:val="00475928"/>
    <w:rsid w:val="00475949"/>
    <w:rsid w:val="00475AC7"/>
    <w:rsid w:val="00475D83"/>
    <w:rsid w:val="00475F0B"/>
    <w:rsid w:val="00477D11"/>
    <w:rsid w:val="00477EE5"/>
    <w:rsid w:val="00480736"/>
    <w:rsid w:val="00480806"/>
    <w:rsid w:val="00481259"/>
    <w:rsid w:val="00481A65"/>
    <w:rsid w:val="00482314"/>
    <w:rsid w:val="0048289A"/>
    <w:rsid w:val="00482D88"/>
    <w:rsid w:val="004834AB"/>
    <w:rsid w:val="00483E47"/>
    <w:rsid w:val="00485294"/>
    <w:rsid w:val="00485861"/>
    <w:rsid w:val="00486532"/>
    <w:rsid w:val="004873C6"/>
    <w:rsid w:val="00487A3E"/>
    <w:rsid w:val="00487B09"/>
    <w:rsid w:val="00491B03"/>
    <w:rsid w:val="00492E7B"/>
    <w:rsid w:val="00493BB3"/>
    <w:rsid w:val="00494264"/>
    <w:rsid w:val="00494FB0"/>
    <w:rsid w:val="0049510E"/>
    <w:rsid w:val="0049783F"/>
    <w:rsid w:val="00497922"/>
    <w:rsid w:val="004A11A1"/>
    <w:rsid w:val="004A204C"/>
    <w:rsid w:val="004A42C4"/>
    <w:rsid w:val="004A5C58"/>
    <w:rsid w:val="004A69DB"/>
    <w:rsid w:val="004A6FD2"/>
    <w:rsid w:val="004A7E26"/>
    <w:rsid w:val="004B0BCC"/>
    <w:rsid w:val="004B0F6B"/>
    <w:rsid w:val="004B1570"/>
    <w:rsid w:val="004B1B60"/>
    <w:rsid w:val="004B2AB2"/>
    <w:rsid w:val="004B3046"/>
    <w:rsid w:val="004B3061"/>
    <w:rsid w:val="004B55EE"/>
    <w:rsid w:val="004B5F47"/>
    <w:rsid w:val="004B60FF"/>
    <w:rsid w:val="004C1114"/>
    <w:rsid w:val="004C21C3"/>
    <w:rsid w:val="004C2285"/>
    <w:rsid w:val="004C24C3"/>
    <w:rsid w:val="004C264B"/>
    <w:rsid w:val="004C3995"/>
    <w:rsid w:val="004C5E0F"/>
    <w:rsid w:val="004C6775"/>
    <w:rsid w:val="004C6C62"/>
    <w:rsid w:val="004D00F1"/>
    <w:rsid w:val="004D0854"/>
    <w:rsid w:val="004D0CD5"/>
    <w:rsid w:val="004D3350"/>
    <w:rsid w:val="004D5D57"/>
    <w:rsid w:val="004D749A"/>
    <w:rsid w:val="004D7523"/>
    <w:rsid w:val="004E07F9"/>
    <w:rsid w:val="004E0EDD"/>
    <w:rsid w:val="004E109F"/>
    <w:rsid w:val="004E12A2"/>
    <w:rsid w:val="004E1D7C"/>
    <w:rsid w:val="004E3785"/>
    <w:rsid w:val="004E53CA"/>
    <w:rsid w:val="004E5A27"/>
    <w:rsid w:val="004E5D60"/>
    <w:rsid w:val="004E6B46"/>
    <w:rsid w:val="004E74A6"/>
    <w:rsid w:val="004E75A8"/>
    <w:rsid w:val="004F1A3C"/>
    <w:rsid w:val="004F2BEE"/>
    <w:rsid w:val="004F4AEC"/>
    <w:rsid w:val="004F52DC"/>
    <w:rsid w:val="004F5BBA"/>
    <w:rsid w:val="004F6F90"/>
    <w:rsid w:val="004F7610"/>
    <w:rsid w:val="004F7E21"/>
    <w:rsid w:val="0050099A"/>
    <w:rsid w:val="00500C09"/>
    <w:rsid w:val="005011AF"/>
    <w:rsid w:val="00502443"/>
    <w:rsid w:val="00503B86"/>
    <w:rsid w:val="00503E54"/>
    <w:rsid w:val="005048B2"/>
    <w:rsid w:val="00504EB6"/>
    <w:rsid w:val="00505A90"/>
    <w:rsid w:val="00505EEE"/>
    <w:rsid w:val="00506052"/>
    <w:rsid w:val="005062FF"/>
    <w:rsid w:val="0050663A"/>
    <w:rsid w:val="00506C92"/>
    <w:rsid w:val="0050721B"/>
    <w:rsid w:val="00507EDD"/>
    <w:rsid w:val="00510B5D"/>
    <w:rsid w:val="00511CE3"/>
    <w:rsid w:val="0051222D"/>
    <w:rsid w:val="005154AC"/>
    <w:rsid w:val="005171C1"/>
    <w:rsid w:val="005172EA"/>
    <w:rsid w:val="00520156"/>
    <w:rsid w:val="005201EE"/>
    <w:rsid w:val="0052087C"/>
    <w:rsid w:val="00520BA7"/>
    <w:rsid w:val="005219CE"/>
    <w:rsid w:val="00522427"/>
    <w:rsid w:val="00522D1C"/>
    <w:rsid w:val="00522E20"/>
    <w:rsid w:val="00522F5D"/>
    <w:rsid w:val="0053114E"/>
    <w:rsid w:val="005312D7"/>
    <w:rsid w:val="00532867"/>
    <w:rsid w:val="00532B8B"/>
    <w:rsid w:val="00533581"/>
    <w:rsid w:val="00533822"/>
    <w:rsid w:val="0053679A"/>
    <w:rsid w:val="00536BCB"/>
    <w:rsid w:val="00537226"/>
    <w:rsid w:val="00537F85"/>
    <w:rsid w:val="005407D2"/>
    <w:rsid w:val="005409C5"/>
    <w:rsid w:val="00541863"/>
    <w:rsid w:val="00541FE1"/>
    <w:rsid w:val="00542A59"/>
    <w:rsid w:val="00543B4D"/>
    <w:rsid w:val="00545B07"/>
    <w:rsid w:val="005469BF"/>
    <w:rsid w:val="005470FD"/>
    <w:rsid w:val="00547E46"/>
    <w:rsid w:val="00550669"/>
    <w:rsid w:val="005555A5"/>
    <w:rsid w:val="00561908"/>
    <w:rsid w:val="00561BB9"/>
    <w:rsid w:val="005623BA"/>
    <w:rsid w:val="005624B6"/>
    <w:rsid w:val="00562D3A"/>
    <w:rsid w:val="0056496B"/>
    <w:rsid w:val="00566FDB"/>
    <w:rsid w:val="005675B1"/>
    <w:rsid w:val="00567A3A"/>
    <w:rsid w:val="0057031D"/>
    <w:rsid w:val="00572CAC"/>
    <w:rsid w:val="005739F4"/>
    <w:rsid w:val="005747F6"/>
    <w:rsid w:val="00574E2F"/>
    <w:rsid w:val="00582597"/>
    <w:rsid w:val="005829ED"/>
    <w:rsid w:val="00582F1E"/>
    <w:rsid w:val="00583043"/>
    <w:rsid w:val="0058421D"/>
    <w:rsid w:val="00586449"/>
    <w:rsid w:val="00586718"/>
    <w:rsid w:val="00586AF9"/>
    <w:rsid w:val="005901BD"/>
    <w:rsid w:val="00590C92"/>
    <w:rsid w:val="0059317E"/>
    <w:rsid w:val="0059326C"/>
    <w:rsid w:val="00593772"/>
    <w:rsid w:val="00593B6D"/>
    <w:rsid w:val="00594827"/>
    <w:rsid w:val="005948F4"/>
    <w:rsid w:val="00594AE8"/>
    <w:rsid w:val="0059536E"/>
    <w:rsid w:val="005954C5"/>
    <w:rsid w:val="00596A60"/>
    <w:rsid w:val="005970D4"/>
    <w:rsid w:val="005A0FE9"/>
    <w:rsid w:val="005A1F2D"/>
    <w:rsid w:val="005A3685"/>
    <w:rsid w:val="005A3ABC"/>
    <w:rsid w:val="005A553A"/>
    <w:rsid w:val="005A6C80"/>
    <w:rsid w:val="005A6E9D"/>
    <w:rsid w:val="005A799C"/>
    <w:rsid w:val="005A7A07"/>
    <w:rsid w:val="005A7F69"/>
    <w:rsid w:val="005B273E"/>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17F3"/>
    <w:rsid w:val="005D26CB"/>
    <w:rsid w:val="005D2A76"/>
    <w:rsid w:val="005D2CF2"/>
    <w:rsid w:val="005D460A"/>
    <w:rsid w:val="005D5186"/>
    <w:rsid w:val="005D51D5"/>
    <w:rsid w:val="005D59BB"/>
    <w:rsid w:val="005D7B6A"/>
    <w:rsid w:val="005D7F6F"/>
    <w:rsid w:val="005E100E"/>
    <w:rsid w:val="005E1CCD"/>
    <w:rsid w:val="005E2BB6"/>
    <w:rsid w:val="005E3319"/>
    <w:rsid w:val="005E349A"/>
    <w:rsid w:val="005E3B4F"/>
    <w:rsid w:val="005E4172"/>
    <w:rsid w:val="005E51CD"/>
    <w:rsid w:val="005E6B58"/>
    <w:rsid w:val="005E7596"/>
    <w:rsid w:val="005E7961"/>
    <w:rsid w:val="005E7BEB"/>
    <w:rsid w:val="005F0362"/>
    <w:rsid w:val="005F0415"/>
    <w:rsid w:val="005F0681"/>
    <w:rsid w:val="005F0DD7"/>
    <w:rsid w:val="005F1B8D"/>
    <w:rsid w:val="005F1C7E"/>
    <w:rsid w:val="005F1FCA"/>
    <w:rsid w:val="005F2201"/>
    <w:rsid w:val="005F35D7"/>
    <w:rsid w:val="005F4E63"/>
    <w:rsid w:val="005F6022"/>
    <w:rsid w:val="005F68FF"/>
    <w:rsid w:val="00600512"/>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5BB8"/>
    <w:rsid w:val="00616CCF"/>
    <w:rsid w:val="00616F7B"/>
    <w:rsid w:val="00617D73"/>
    <w:rsid w:val="0062025B"/>
    <w:rsid w:val="00622426"/>
    <w:rsid w:val="00624A6C"/>
    <w:rsid w:val="0062520A"/>
    <w:rsid w:val="006256B6"/>
    <w:rsid w:val="00626FCB"/>
    <w:rsid w:val="00627898"/>
    <w:rsid w:val="00627A2B"/>
    <w:rsid w:val="00630EB4"/>
    <w:rsid w:val="00631336"/>
    <w:rsid w:val="00631B51"/>
    <w:rsid w:val="006321EE"/>
    <w:rsid w:val="00632AA1"/>
    <w:rsid w:val="00632AD7"/>
    <w:rsid w:val="0063436E"/>
    <w:rsid w:val="00634DDA"/>
    <w:rsid w:val="0063529C"/>
    <w:rsid w:val="006353E5"/>
    <w:rsid w:val="0063626F"/>
    <w:rsid w:val="00636963"/>
    <w:rsid w:val="00637890"/>
    <w:rsid w:val="00637E6E"/>
    <w:rsid w:val="006401E8"/>
    <w:rsid w:val="00641579"/>
    <w:rsid w:val="00641629"/>
    <w:rsid w:val="00641FBD"/>
    <w:rsid w:val="00644547"/>
    <w:rsid w:val="00644B43"/>
    <w:rsid w:val="00644E30"/>
    <w:rsid w:val="006472F6"/>
    <w:rsid w:val="00647C81"/>
    <w:rsid w:val="0065008E"/>
    <w:rsid w:val="00651754"/>
    <w:rsid w:val="00652798"/>
    <w:rsid w:val="00652BC4"/>
    <w:rsid w:val="00653C1A"/>
    <w:rsid w:val="0065425D"/>
    <w:rsid w:val="00654315"/>
    <w:rsid w:val="00654F90"/>
    <w:rsid w:val="0065547F"/>
    <w:rsid w:val="00656C60"/>
    <w:rsid w:val="00657E49"/>
    <w:rsid w:val="00660AC8"/>
    <w:rsid w:val="00662E10"/>
    <w:rsid w:val="00663B8A"/>
    <w:rsid w:val="00665135"/>
    <w:rsid w:val="006654F1"/>
    <w:rsid w:val="00665C79"/>
    <w:rsid w:val="00667157"/>
    <w:rsid w:val="006676D1"/>
    <w:rsid w:val="006677EE"/>
    <w:rsid w:val="0066792F"/>
    <w:rsid w:val="00670904"/>
    <w:rsid w:val="00672D33"/>
    <w:rsid w:val="00673463"/>
    <w:rsid w:val="006765AB"/>
    <w:rsid w:val="0067773D"/>
    <w:rsid w:val="006807DC"/>
    <w:rsid w:val="006821C5"/>
    <w:rsid w:val="00682995"/>
    <w:rsid w:val="006831A4"/>
    <w:rsid w:val="00683A60"/>
    <w:rsid w:val="0068439A"/>
    <w:rsid w:val="006849CE"/>
    <w:rsid w:val="00685947"/>
    <w:rsid w:val="00685B43"/>
    <w:rsid w:val="00685EC0"/>
    <w:rsid w:val="0068692C"/>
    <w:rsid w:val="00687E26"/>
    <w:rsid w:val="006906C5"/>
    <w:rsid w:val="00690C53"/>
    <w:rsid w:val="00691B60"/>
    <w:rsid w:val="00691C9D"/>
    <w:rsid w:val="00693A92"/>
    <w:rsid w:val="00693BB2"/>
    <w:rsid w:val="00694BB0"/>
    <w:rsid w:val="00695BD3"/>
    <w:rsid w:val="00695F42"/>
    <w:rsid w:val="00697844"/>
    <w:rsid w:val="006A10DE"/>
    <w:rsid w:val="006A1B4A"/>
    <w:rsid w:val="006A5395"/>
    <w:rsid w:val="006A6ADB"/>
    <w:rsid w:val="006A73DE"/>
    <w:rsid w:val="006B011C"/>
    <w:rsid w:val="006B0567"/>
    <w:rsid w:val="006B0593"/>
    <w:rsid w:val="006B10A8"/>
    <w:rsid w:val="006B19F4"/>
    <w:rsid w:val="006B252A"/>
    <w:rsid w:val="006B3FBF"/>
    <w:rsid w:val="006B4635"/>
    <w:rsid w:val="006B52B9"/>
    <w:rsid w:val="006C06F9"/>
    <w:rsid w:val="006C0951"/>
    <w:rsid w:val="006C1767"/>
    <w:rsid w:val="006C184E"/>
    <w:rsid w:val="006C4E10"/>
    <w:rsid w:val="006C742D"/>
    <w:rsid w:val="006D0342"/>
    <w:rsid w:val="006D0CCD"/>
    <w:rsid w:val="006D100A"/>
    <w:rsid w:val="006D1FC7"/>
    <w:rsid w:val="006D4730"/>
    <w:rsid w:val="006D4C23"/>
    <w:rsid w:val="006D5DAE"/>
    <w:rsid w:val="006D5E05"/>
    <w:rsid w:val="006D69AA"/>
    <w:rsid w:val="006E0829"/>
    <w:rsid w:val="006E0CC8"/>
    <w:rsid w:val="006E11B8"/>
    <w:rsid w:val="006E12B8"/>
    <w:rsid w:val="006E22EE"/>
    <w:rsid w:val="006E27E9"/>
    <w:rsid w:val="006E4873"/>
    <w:rsid w:val="006E5AAC"/>
    <w:rsid w:val="006E660F"/>
    <w:rsid w:val="006E687A"/>
    <w:rsid w:val="006E720A"/>
    <w:rsid w:val="006F02C9"/>
    <w:rsid w:val="006F3CEE"/>
    <w:rsid w:val="006F4271"/>
    <w:rsid w:val="00700F0A"/>
    <w:rsid w:val="007028E7"/>
    <w:rsid w:val="007030D0"/>
    <w:rsid w:val="007049BA"/>
    <w:rsid w:val="00704A41"/>
    <w:rsid w:val="00705290"/>
    <w:rsid w:val="007055F6"/>
    <w:rsid w:val="00706EAD"/>
    <w:rsid w:val="00706FF4"/>
    <w:rsid w:val="007071A5"/>
    <w:rsid w:val="0070782F"/>
    <w:rsid w:val="0071063F"/>
    <w:rsid w:val="00711A46"/>
    <w:rsid w:val="00711DB4"/>
    <w:rsid w:val="007125E3"/>
    <w:rsid w:val="007148DF"/>
    <w:rsid w:val="007159DB"/>
    <w:rsid w:val="007161BC"/>
    <w:rsid w:val="007172AA"/>
    <w:rsid w:val="007203F9"/>
    <w:rsid w:val="0072047B"/>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1E45"/>
    <w:rsid w:val="00735029"/>
    <w:rsid w:val="00736917"/>
    <w:rsid w:val="00737FEC"/>
    <w:rsid w:val="0074066D"/>
    <w:rsid w:val="00743C40"/>
    <w:rsid w:val="007453B1"/>
    <w:rsid w:val="007466C6"/>
    <w:rsid w:val="0075097C"/>
    <w:rsid w:val="00750D18"/>
    <w:rsid w:val="00751F22"/>
    <w:rsid w:val="00752331"/>
    <w:rsid w:val="00753152"/>
    <w:rsid w:val="00753FD1"/>
    <w:rsid w:val="007544B1"/>
    <w:rsid w:val="00754791"/>
    <w:rsid w:val="00754893"/>
    <w:rsid w:val="00755583"/>
    <w:rsid w:val="00755971"/>
    <w:rsid w:val="00755E5F"/>
    <w:rsid w:val="007573BD"/>
    <w:rsid w:val="0076245B"/>
    <w:rsid w:val="007647B4"/>
    <w:rsid w:val="00764B43"/>
    <w:rsid w:val="00765D7A"/>
    <w:rsid w:val="00766817"/>
    <w:rsid w:val="00766A47"/>
    <w:rsid w:val="00766D16"/>
    <w:rsid w:val="00766E4B"/>
    <w:rsid w:val="00767FA3"/>
    <w:rsid w:val="00770354"/>
    <w:rsid w:val="00770F9F"/>
    <w:rsid w:val="007712D5"/>
    <w:rsid w:val="00772059"/>
    <w:rsid w:val="0077333C"/>
    <w:rsid w:val="007733E4"/>
    <w:rsid w:val="00774D85"/>
    <w:rsid w:val="0077529F"/>
    <w:rsid w:val="007765FE"/>
    <w:rsid w:val="00781356"/>
    <w:rsid w:val="00781D0B"/>
    <w:rsid w:val="007836AD"/>
    <w:rsid w:val="007847DE"/>
    <w:rsid w:val="00785DFF"/>
    <w:rsid w:val="00786881"/>
    <w:rsid w:val="00787581"/>
    <w:rsid w:val="00787AB7"/>
    <w:rsid w:val="007910EF"/>
    <w:rsid w:val="0079417E"/>
    <w:rsid w:val="007951F6"/>
    <w:rsid w:val="0079526D"/>
    <w:rsid w:val="0079668E"/>
    <w:rsid w:val="007966F9"/>
    <w:rsid w:val="007A01F8"/>
    <w:rsid w:val="007A1155"/>
    <w:rsid w:val="007A1F4D"/>
    <w:rsid w:val="007A2046"/>
    <w:rsid w:val="007A2505"/>
    <w:rsid w:val="007A2573"/>
    <w:rsid w:val="007A2B6B"/>
    <w:rsid w:val="007A2BF9"/>
    <w:rsid w:val="007A3E44"/>
    <w:rsid w:val="007A509F"/>
    <w:rsid w:val="007A796A"/>
    <w:rsid w:val="007B0095"/>
    <w:rsid w:val="007B1062"/>
    <w:rsid w:val="007B19AC"/>
    <w:rsid w:val="007B1E26"/>
    <w:rsid w:val="007B2034"/>
    <w:rsid w:val="007B21F4"/>
    <w:rsid w:val="007B25AD"/>
    <w:rsid w:val="007B505F"/>
    <w:rsid w:val="007B69C6"/>
    <w:rsid w:val="007B6DF3"/>
    <w:rsid w:val="007B783A"/>
    <w:rsid w:val="007C00B2"/>
    <w:rsid w:val="007C0B84"/>
    <w:rsid w:val="007C1657"/>
    <w:rsid w:val="007C34FB"/>
    <w:rsid w:val="007C391B"/>
    <w:rsid w:val="007C44A0"/>
    <w:rsid w:val="007C4B96"/>
    <w:rsid w:val="007C5CA4"/>
    <w:rsid w:val="007C60A7"/>
    <w:rsid w:val="007C65FB"/>
    <w:rsid w:val="007D0D5D"/>
    <w:rsid w:val="007D19CE"/>
    <w:rsid w:val="007D1CD7"/>
    <w:rsid w:val="007D2640"/>
    <w:rsid w:val="007D49E4"/>
    <w:rsid w:val="007D4B51"/>
    <w:rsid w:val="007D7F7A"/>
    <w:rsid w:val="007E0AC3"/>
    <w:rsid w:val="007E23B7"/>
    <w:rsid w:val="007E422C"/>
    <w:rsid w:val="007E4F3F"/>
    <w:rsid w:val="007E4F7B"/>
    <w:rsid w:val="007E5467"/>
    <w:rsid w:val="007E5732"/>
    <w:rsid w:val="007E6314"/>
    <w:rsid w:val="007E6426"/>
    <w:rsid w:val="007E67FF"/>
    <w:rsid w:val="007E7528"/>
    <w:rsid w:val="007F0356"/>
    <w:rsid w:val="007F0451"/>
    <w:rsid w:val="007F0952"/>
    <w:rsid w:val="007F1B3C"/>
    <w:rsid w:val="007F21B9"/>
    <w:rsid w:val="007F3175"/>
    <w:rsid w:val="007F3220"/>
    <w:rsid w:val="007F55A8"/>
    <w:rsid w:val="007F5AE3"/>
    <w:rsid w:val="007F7F28"/>
    <w:rsid w:val="00800753"/>
    <w:rsid w:val="00805386"/>
    <w:rsid w:val="008065C6"/>
    <w:rsid w:val="00807663"/>
    <w:rsid w:val="00807959"/>
    <w:rsid w:val="00807D17"/>
    <w:rsid w:val="0081005E"/>
    <w:rsid w:val="00812D1B"/>
    <w:rsid w:val="00815510"/>
    <w:rsid w:val="0081647E"/>
    <w:rsid w:val="00816FE5"/>
    <w:rsid w:val="0081720D"/>
    <w:rsid w:val="00817323"/>
    <w:rsid w:val="008177E4"/>
    <w:rsid w:val="00817A1E"/>
    <w:rsid w:val="0082018F"/>
    <w:rsid w:val="00820A0C"/>
    <w:rsid w:val="00820EF0"/>
    <w:rsid w:val="00821CEF"/>
    <w:rsid w:val="00825C97"/>
    <w:rsid w:val="008268E2"/>
    <w:rsid w:val="00827F90"/>
    <w:rsid w:val="008304C8"/>
    <w:rsid w:val="00830CFD"/>
    <w:rsid w:val="00831192"/>
    <w:rsid w:val="008324DA"/>
    <w:rsid w:val="0083349F"/>
    <w:rsid w:val="008341BA"/>
    <w:rsid w:val="00834B0B"/>
    <w:rsid w:val="008355D3"/>
    <w:rsid w:val="00836231"/>
    <w:rsid w:val="00836757"/>
    <w:rsid w:val="00837B3B"/>
    <w:rsid w:val="00837F6A"/>
    <w:rsid w:val="00841309"/>
    <w:rsid w:val="00842A09"/>
    <w:rsid w:val="0084300C"/>
    <w:rsid w:val="0084385D"/>
    <w:rsid w:val="0084647B"/>
    <w:rsid w:val="00850E6F"/>
    <w:rsid w:val="008511FD"/>
    <w:rsid w:val="00851BAA"/>
    <w:rsid w:val="00853852"/>
    <w:rsid w:val="00854545"/>
    <w:rsid w:val="00855B52"/>
    <w:rsid w:val="00857923"/>
    <w:rsid w:val="00857F21"/>
    <w:rsid w:val="00860063"/>
    <w:rsid w:val="008611EB"/>
    <w:rsid w:val="008627DA"/>
    <w:rsid w:val="00862C37"/>
    <w:rsid w:val="00864378"/>
    <w:rsid w:val="008646D8"/>
    <w:rsid w:val="00864D37"/>
    <w:rsid w:val="00865587"/>
    <w:rsid w:val="00866116"/>
    <w:rsid w:val="00866A06"/>
    <w:rsid w:val="0086746B"/>
    <w:rsid w:val="0086770D"/>
    <w:rsid w:val="00870FDC"/>
    <w:rsid w:val="00871C4E"/>
    <w:rsid w:val="0087426A"/>
    <w:rsid w:val="00874DF5"/>
    <w:rsid w:val="00877702"/>
    <w:rsid w:val="00877ADC"/>
    <w:rsid w:val="00877E67"/>
    <w:rsid w:val="00880197"/>
    <w:rsid w:val="00880410"/>
    <w:rsid w:val="00881B83"/>
    <w:rsid w:val="00883C3D"/>
    <w:rsid w:val="008840E7"/>
    <w:rsid w:val="00884945"/>
    <w:rsid w:val="00884F4A"/>
    <w:rsid w:val="00885CD4"/>
    <w:rsid w:val="00886493"/>
    <w:rsid w:val="00886683"/>
    <w:rsid w:val="008866C7"/>
    <w:rsid w:val="00886960"/>
    <w:rsid w:val="0088728A"/>
    <w:rsid w:val="008879F5"/>
    <w:rsid w:val="0089084E"/>
    <w:rsid w:val="00891330"/>
    <w:rsid w:val="00892232"/>
    <w:rsid w:val="00892917"/>
    <w:rsid w:val="00893A02"/>
    <w:rsid w:val="00893F35"/>
    <w:rsid w:val="00893F68"/>
    <w:rsid w:val="008952C5"/>
    <w:rsid w:val="008955B1"/>
    <w:rsid w:val="00895FBB"/>
    <w:rsid w:val="00897A03"/>
    <w:rsid w:val="008A199D"/>
    <w:rsid w:val="008A2224"/>
    <w:rsid w:val="008A36CB"/>
    <w:rsid w:val="008A38FA"/>
    <w:rsid w:val="008A3980"/>
    <w:rsid w:val="008A3ACC"/>
    <w:rsid w:val="008A3D7F"/>
    <w:rsid w:val="008A3F67"/>
    <w:rsid w:val="008A40CB"/>
    <w:rsid w:val="008A4DAA"/>
    <w:rsid w:val="008A70B4"/>
    <w:rsid w:val="008A7334"/>
    <w:rsid w:val="008A747A"/>
    <w:rsid w:val="008A7DB0"/>
    <w:rsid w:val="008B00FE"/>
    <w:rsid w:val="008B1335"/>
    <w:rsid w:val="008B1C07"/>
    <w:rsid w:val="008B1F53"/>
    <w:rsid w:val="008B4B12"/>
    <w:rsid w:val="008B4C5E"/>
    <w:rsid w:val="008B56B6"/>
    <w:rsid w:val="008B5CBB"/>
    <w:rsid w:val="008C0750"/>
    <w:rsid w:val="008C0EE5"/>
    <w:rsid w:val="008C0F6E"/>
    <w:rsid w:val="008C1B33"/>
    <w:rsid w:val="008C20EC"/>
    <w:rsid w:val="008C2807"/>
    <w:rsid w:val="008C5F11"/>
    <w:rsid w:val="008C6598"/>
    <w:rsid w:val="008C6DF1"/>
    <w:rsid w:val="008C7A85"/>
    <w:rsid w:val="008D11BB"/>
    <w:rsid w:val="008D1CD4"/>
    <w:rsid w:val="008D35DF"/>
    <w:rsid w:val="008D4696"/>
    <w:rsid w:val="008D5922"/>
    <w:rsid w:val="008D5EB7"/>
    <w:rsid w:val="008D6A49"/>
    <w:rsid w:val="008D7AE4"/>
    <w:rsid w:val="008E22F9"/>
    <w:rsid w:val="008E30E5"/>
    <w:rsid w:val="008E34FE"/>
    <w:rsid w:val="008E6AF2"/>
    <w:rsid w:val="008E7D23"/>
    <w:rsid w:val="008F0230"/>
    <w:rsid w:val="008F10FD"/>
    <w:rsid w:val="008F1C3C"/>
    <w:rsid w:val="008F32E3"/>
    <w:rsid w:val="008F3D70"/>
    <w:rsid w:val="008F4407"/>
    <w:rsid w:val="008F613A"/>
    <w:rsid w:val="0090091E"/>
    <w:rsid w:val="0090153F"/>
    <w:rsid w:val="00901973"/>
    <w:rsid w:val="00901A2A"/>
    <w:rsid w:val="00901A3D"/>
    <w:rsid w:val="00904675"/>
    <w:rsid w:val="00905130"/>
    <w:rsid w:val="009068C9"/>
    <w:rsid w:val="009075E8"/>
    <w:rsid w:val="00907EC4"/>
    <w:rsid w:val="00910B82"/>
    <w:rsid w:val="00911A02"/>
    <w:rsid w:val="00911D1D"/>
    <w:rsid w:val="009125F3"/>
    <w:rsid w:val="00912850"/>
    <w:rsid w:val="0091286D"/>
    <w:rsid w:val="00912CE5"/>
    <w:rsid w:val="00914F87"/>
    <w:rsid w:val="00915BF2"/>
    <w:rsid w:val="00916A57"/>
    <w:rsid w:val="00916B55"/>
    <w:rsid w:val="00917013"/>
    <w:rsid w:val="00917263"/>
    <w:rsid w:val="00920115"/>
    <w:rsid w:val="00922359"/>
    <w:rsid w:val="0092380E"/>
    <w:rsid w:val="009250AD"/>
    <w:rsid w:val="00926644"/>
    <w:rsid w:val="00930A00"/>
    <w:rsid w:val="00930A93"/>
    <w:rsid w:val="00930E49"/>
    <w:rsid w:val="0093135F"/>
    <w:rsid w:val="009320B6"/>
    <w:rsid w:val="009326EF"/>
    <w:rsid w:val="009348B8"/>
    <w:rsid w:val="00935382"/>
    <w:rsid w:val="00940104"/>
    <w:rsid w:val="00940284"/>
    <w:rsid w:val="0094041A"/>
    <w:rsid w:val="00940E3C"/>
    <w:rsid w:val="009413B8"/>
    <w:rsid w:val="00941573"/>
    <w:rsid w:val="00943130"/>
    <w:rsid w:val="009437E2"/>
    <w:rsid w:val="00943E6C"/>
    <w:rsid w:val="0094541B"/>
    <w:rsid w:val="00945835"/>
    <w:rsid w:val="00945DE7"/>
    <w:rsid w:val="00946F1F"/>
    <w:rsid w:val="0094764C"/>
    <w:rsid w:val="00950239"/>
    <w:rsid w:val="0095032A"/>
    <w:rsid w:val="00950984"/>
    <w:rsid w:val="00950BD0"/>
    <w:rsid w:val="00951170"/>
    <w:rsid w:val="00951995"/>
    <w:rsid w:val="00951D8F"/>
    <w:rsid w:val="00953659"/>
    <w:rsid w:val="00953B78"/>
    <w:rsid w:val="00953C11"/>
    <w:rsid w:val="00953C14"/>
    <w:rsid w:val="00954FC5"/>
    <w:rsid w:val="0095679C"/>
    <w:rsid w:val="0095720C"/>
    <w:rsid w:val="009624DD"/>
    <w:rsid w:val="00962711"/>
    <w:rsid w:val="0096285C"/>
    <w:rsid w:val="00962F73"/>
    <w:rsid w:val="00964C53"/>
    <w:rsid w:val="00964E0E"/>
    <w:rsid w:val="00965150"/>
    <w:rsid w:val="0096555C"/>
    <w:rsid w:val="00965596"/>
    <w:rsid w:val="00967C29"/>
    <w:rsid w:val="00971270"/>
    <w:rsid w:val="00972480"/>
    <w:rsid w:val="009736C1"/>
    <w:rsid w:val="00975481"/>
    <w:rsid w:val="00977106"/>
    <w:rsid w:val="00980066"/>
    <w:rsid w:val="009807ED"/>
    <w:rsid w:val="0098185A"/>
    <w:rsid w:val="00983505"/>
    <w:rsid w:val="00983EA0"/>
    <w:rsid w:val="00985385"/>
    <w:rsid w:val="0098558C"/>
    <w:rsid w:val="00986682"/>
    <w:rsid w:val="0098741C"/>
    <w:rsid w:val="009919DB"/>
    <w:rsid w:val="00991C41"/>
    <w:rsid w:val="00992621"/>
    <w:rsid w:val="00993512"/>
    <w:rsid w:val="00994E33"/>
    <w:rsid w:val="00995309"/>
    <w:rsid w:val="0099577C"/>
    <w:rsid w:val="00997267"/>
    <w:rsid w:val="00997368"/>
    <w:rsid w:val="00997697"/>
    <w:rsid w:val="0099796B"/>
    <w:rsid w:val="009979D7"/>
    <w:rsid w:val="009A18E2"/>
    <w:rsid w:val="009A1C16"/>
    <w:rsid w:val="009A217F"/>
    <w:rsid w:val="009A22A5"/>
    <w:rsid w:val="009A436E"/>
    <w:rsid w:val="009A5962"/>
    <w:rsid w:val="009A64B8"/>
    <w:rsid w:val="009A6D1E"/>
    <w:rsid w:val="009B051C"/>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D069F"/>
    <w:rsid w:val="009D22F4"/>
    <w:rsid w:val="009D315A"/>
    <w:rsid w:val="009E1321"/>
    <w:rsid w:val="009E4226"/>
    <w:rsid w:val="009E54F2"/>
    <w:rsid w:val="009E5916"/>
    <w:rsid w:val="009F0BEF"/>
    <w:rsid w:val="009F3737"/>
    <w:rsid w:val="009F611D"/>
    <w:rsid w:val="009F7E45"/>
    <w:rsid w:val="00A008DB"/>
    <w:rsid w:val="00A00AA7"/>
    <w:rsid w:val="00A00F2D"/>
    <w:rsid w:val="00A01209"/>
    <w:rsid w:val="00A016B9"/>
    <w:rsid w:val="00A01C90"/>
    <w:rsid w:val="00A0260B"/>
    <w:rsid w:val="00A02A5D"/>
    <w:rsid w:val="00A0364D"/>
    <w:rsid w:val="00A03B08"/>
    <w:rsid w:val="00A056DB"/>
    <w:rsid w:val="00A05FCF"/>
    <w:rsid w:val="00A1010F"/>
    <w:rsid w:val="00A108C4"/>
    <w:rsid w:val="00A1150E"/>
    <w:rsid w:val="00A1170F"/>
    <w:rsid w:val="00A14EA7"/>
    <w:rsid w:val="00A15EEE"/>
    <w:rsid w:val="00A16467"/>
    <w:rsid w:val="00A1666F"/>
    <w:rsid w:val="00A16CFA"/>
    <w:rsid w:val="00A16E65"/>
    <w:rsid w:val="00A17889"/>
    <w:rsid w:val="00A20CED"/>
    <w:rsid w:val="00A20F0C"/>
    <w:rsid w:val="00A213DE"/>
    <w:rsid w:val="00A21A36"/>
    <w:rsid w:val="00A230A2"/>
    <w:rsid w:val="00A23EEF"/>
    <w:rsid w:val="00A2416D"/>
    <w:rsid w:val="00A258EB"/>
    <w:rsid w:val="00A267EC"/>
    <w:rsid w:val="00A26D9B"/>
    <w:rsid w:val="00A33DD5"/>
    <w:rsid w:val="00A34056"/>
    <w:rsid w:val="00A35896"/>
    <w:rsid w:val="00A36D45"/>
    <w:rsid w:val="00A36D91"/>
    <w:rsid w:val="00A3736C"/>
    <w:rsid w:val="00A4025C"/>
    <w:rsid w:val="00A408D7"/>
    <w:rsid w:val="00A40DD7"/>
    <w:rsid w:val="00A4184E"/>
    <w:rsid w:val="00A435B6"/>
    <w:rsid w:val="00A45267"/>
    <w:rsid w:val="00A458C0"/>
    <w:rsid w:val="00A461F8"/>
    <w:rsid w:val="00A468D4"/>
    <w:rsid w:val="00A470EF"/>
    <w:rsid w:val="00A47161"/>
    <w:rsid w:val="00A47C19"/>
    <w:rsid w:val="00A51129"/>
    <w:rsid w:val="00A530B7"/>
    <w:rsid w:val="00A5506C"/>
    <w:rsid w:val="00A551A8"/>
    <w:rsid w:val="00A559AF"/>
    <w:rsid w:val="00A55E4E"/>
    <w:rsid w:val="00A574E2"/>
    <w:rsid w:val="00A57923"/>
    <w:rsid w:val="00A57F59"/>
    <w:rsid w:val="00A61137"/>
    <w:rsid w:val="00A6294C"/>
    <w:rsid w:val="00A646E3"/>
    <w:rsid w:val="00A64E7C"/>
    <w:rsid w:val="00A65A1C"/>
    <w:rsid w:val="00A65E2A"/>
    <w:rsid w:val="00A66540"/>
    <w:rsid w:val="00A678EA"/>
    <w:rsid w:val="00A70BFA"/>
    <w:rsid w:val="00A721E5"/>
    <w:rsid w:val="00A72472"/>
    <w:rsid w:val="00A731E4"/>
    <w:rsid w:val="00A74AE5"/>
    <w:rsid w:val="00A74CA6"/>
    <w:rsid w:val="00A751B8"/>
    <w:rsid w:val="00A75A9D"/>
    <w:rsid w:val="00A75DF9"/>
    <w:rsid w:val="00A7621A"/>
    <w:rsid w:val="00A763A8"/>
    <w:rsid w:val="00A76EDA"/>
    <w:rsid w:val="00A82691"/>
    <w:rsid w:val="00A83524"/>
    <w:rsid w:val="00A8564A"/>
    <w:rsid w:val="00A87C77"/>
    <w:rsid w:val="00A909C4"/>
    <w:rsid w:val="00A90F08"/>
    <w:rsid w:val="00A92ED9"/>
    <w:rsid w:val="00A93BBB"/>
    <w:rsid w:val="00A9559D"/>
    <w:rsid w:val="00A961DC"/>
    <w:rsid w:val="00A966FD"/>
    <w:rsid w:val="00A96A18"/>
    <w:rsid w:val="00A96D8F"/>
    <w:rsid w:val="00AA1646"/>
    <w:rsid w:val="00AA1C58"/>
    <w:rsid w:val="00AA20B2"/>
    <w:rsid w:val="00AA213E"/>
    <w:rsid w:val="00AA2489"/>
    <w:rsid w:val="00AA2FC6"/>
    <w:rsid w:val="00AA5B4D"/>
    <w:rsid w:val="00AA5C4C"/>
    <w:rsid w:val="00AA60F4"/>
    <w:rsid w:val="00AA6DB6"/>
    <w:rsid w:val="00AA75DA"/>
    <w:rsid w:val="00AB2ED0"/>
    <w:rsid w:val="00AB34DB"/>
    <w:rsid w:val="00AB37D5"/>
    <w:rsid w:val="00AB38FA"/>
    <w:rsid w:val="00AB3DCC"/>
    <w:rsid w:val="00AB3E36"/>
    <w:rsid w:val="00AB520A"/>
    <w:rsid w:val="00AB6499"/>
    <w:rsid w:val="00AB749D"/>
    <w:rsid w:val="00AC0FBC"/>
    <w:rsid w:val="00AC2DB7"/>
    <w:rsid w:val="00AC38C4"/>
    <w:rsid w:val="00AC454B"/>
    <w:rsid w:val="00AC5DF4"/>
    <w:rsid w:val="00AC5F44"/>
    <w:rsid w:val="00AC65E2"/>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2FC1"/>
    <w:rsid w:val="00AE6066"/>
    <w:rsid w:val="00AE68D4"/>
    <w:rsid w:val="00AE6E3A"/>
    <w:rsid w:val="00AE7F92"/>
    <w:rsid w:val="00AF022B"/>
    <w:rsid w:val="00AF0FD6"/>
    <w:rsid w:val="00AF2254"/>
    <w:rsid w:val="00AF2FB8"/>
    <w:rsid w:val="00AF3324"/>
    <w:rsid w:val="00AF49E8"/>
    <w:rsid w:val="00AF5A08"/>
    <w:rsid w:val="00AF6B25"/>
    <w:rsid w:val="00AF79FC"/>
    <w:rsid w:val="00B0243F"/>
    <w:rsid w:val="00B04219"/>
    <w:rsid w:val="00B0780B"/>
    <w:rsid w:val="00B07A6C"/>
    <w:rsid w:val="00B07B2E"/>
    <w:rsid w:val="00B07F6A"/>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404"/>
    <w:rsid w:val="00B26A52"/>
    <w:rsid w:val="00B3163F"/>
    <w:rsid w:val="00B31C75"/>
    <w:rsid w:val="00B33419"/>
    <w:rsid w:val="00B33CB5"/>
    <w:rsid w:val="00B356A4"/>
    <w:rsid w:val="00B35DA0"/>
    <w:rsid w:val="00B35EEB"/>
    <w:rsid w:val="00B3718B"/>
    <w:rsid w:val="00B37350"/>
    <w:rsid w:val="00B40C92"/>
    <w:rsid w:val="00B41BC3"/>
    <w:rsid w:val="00B420CB"/>
    <w:rsid w:val="00B42D67"/>
    <w:rsid w:val="00B432E8"/>
    <w:rsid w:val="00B43404"/>
    <w:rsid w:val="00B437C8"/>
    <w:rsid w:val="00B43E27"/>
    <w:rsid w:val="00B4463A"/>
    <w:rsid w:val="00B44BF7"/>
    <w:rsid w:val="00B44BF8"/>
    <w:rsid w:val="00B4523E"/>
    <w:rsid w:val="00B45EB0"/>
    <w:rsid w:val="00B46B86"/>
    <w:rsid w:val="00B46BFF"/>
    <w:rsid w:val="00B477F3"/>
    <w:rsid w:val="00B5024F"/>
    <w:rsid w:val="00B51AB1"/>
    <w:rsid w:val="00B51B4D"/>
    <w:rsid w:val="00B521DC"/>
    <w:rsid w:val="00B52BF7"/>
    <w:rsid w:val="00B5348C"/>
    <w:rsid w:val="00B53A29"/>
    <w:rsid w:val="00B54ABC"/>
    <w:rsid w:val="00B5596A"/>
    <w:rsid w:val="00B5703C"/>
    <w:rsid w:val="00B5707C"/>
    <w:rsid w:val="00B61066"/>
    <w:rsid w:val="00B6128F"/>
    <w:rsid w:val="00B61F24"/>
    <w:rsid w:val="00B63474"/>
    <w:rsid w:val="00B64663"/>
    <w:rsid w:val="00B6545C"/>
    <w:rsid w:val="00B66D65"/>
    <w:rsid w:val="00B67BAB"/>
    <w:rsid w:val="00B67C7C"/>
    <w:rsid w:val="00B67E2E"/>
    <w:rsid w:val="00B67FE1"/>
    <w:rsid w:val="00B72423"/>
    <w:rsid w:val="00B740BD"/>
    <w:rsid w:val="00B742E9"/>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4A06"/>
    <w:rsid w:val="00B95103"/>
    <w:rsid w:val="00B963EF"/>
    <w:rsid w:val="00BA0872"/>
    <w:rsid w:val="00BA1206"/>
    <w:rsid w:val="00BA2170"/>
    <w:rsid w:val="00BA2D01"/>
    <w:rsid w:val="00BA309E"/>
    <w:rsid w:val="00BA4584"/>
    <w:rsid w:val="00BA4D08"/>
    <w:rsid w:val="00BA4D59"/>
    <w:rsid w:val="00BA5C15"/>
    <w:rsid w:val="00BA6231"/>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8EA"/>
    <w:rsid w:val="00BD5A67"/>
    <w:rsid w:val="00BD7980"/>
    <w:rsid w:val="00BE07A0"/>
    <w:rsid w:val="00BE0B3A"/>
    <w:rsid w:val="00BE0C4A"/>
    <w:rsid w:val="00BE13BD"/>
    <w:rsid w:val="00BE1D10"/>
    <w:rsid w:val="00BE1ECC"/>
    <w:rsid w:val="00BE2421"/>
    <w:rsid w:val="00BE2CA3"/>
    <w:rsid w:val="00BE2F79"/>
    <w:rsid w:val="00BE352F"/>
    <w:rsid w:val="00BE65D8"/>
    <w:rsid w:val="00BE65FA"/>
    <w:rsid w:val="00BE6CE4"/>
    <w:rsid w:val="00BF0478"/>
    <w:rsid w:val="00BF12CA"/>
    <w:rsid w:val="00BF14F0"/>
    <w:rsid w:val="00BF1BBF"/>
    <w:rsid w:val="00BF223A"/>
    <w:rsid w:val="00BF299C"/>
    <w:rsid w:val="00BF2A19"/>
    <w:rsid w:val="00BF2ADE"/>
    <w:rsid w:val="00BF6191"/>
    <w:rsid w:val="00BF7ED6"/>
    <w:rsid w:val="00C0123D"/>
    <w:rsid w:val="00C01880"/>
    <w:rsid w:val="00C0194F"/>
    <w:rsid w:val="00C0256F"/>
    <w:rsid w:val="00C02594"/>
    <w:rsid w:val="00C03B88"/>
    <w:rsid w:val="00C041B3"/>
    <w:rsid w:val="00C0435C"/>
    <w:rsid w:val="00C0458C"/>
    <w:rsid w:val="00C05B41"/>
    <w:rsid w:val="00C05D5F"/>
    <w:rsid w:val="00C05D91"/>
    <w:rsid w:val="00C068A2"/>
    <w:rsid w:val="00C07482"/>
    <w:rsid w:val="00C10DBA"/>
    <w:rsid w:val="00C11106"/>
    <w:rsid w:val="00C1219A"/>
    <w:rsid w:val="00C134FC"/>
    <w:rsid w:val="00C136D1"/>
    <w:rsid w:val="00C1698C"/>
    <w:rsid w:val="00C16E89"/>
    <w:rsid w:val="00C21E65"/>
    <w:rsid w:val="00C239F2"/>
    <w:rsid w:val="00C24FB3"/>
    <w:rsid w:val="00C25135"/>
    <w:rsid w:val="00C26934"/>
    <w:rsid w:val="00C27176"/>
    <w:rsid w:val="00C2720B"/>
    <w:rsid w:val="00C3069F"/>
    <w:rsid w:val="00C315BB"/>
    <w:rsid w:val="00C33327"/>
    <w:rsid w:val="00C337E0"/>
    <w:rsid w:val="00C40F59"/>
    <w:rsid w:val="00C4154F"/>
    <w:rsid w:val="00C41C20"/>
    <w:rsid w:val="00C43E8C"/>
    <w:rsid w:val="00C44469"/>
    <w:rsid w:val="00C44B20"/>
    <w:rsid w:val="00C4555E"/>
    <w:rsid w:val="00C47687"/>
    <w:rsid w:val="00C477F6"/>
    <w:rsid w:val="00C50693"/>
    <w:rsid w:val="00C5104C"/>
    <w:rsid w:val="00C5245D"/>
    <w:rsid w:val="00C525AE"/>
    <w:rsid w:val="00C52CF5"/>
    <w:rsid w:val="00C5370C"/>
    <w:rsid w:val="00C541DD"/>
    <w:rsid w:val="00C54675"/>
    <w:rsid w:val="00C55319"/>
    <w:rsid w:val="00C60C95"/>
    <w:rsid w:val="00C61944"/>
    <w:rsid w:val="00C63007"/>
    <w:rsid w:val="00C6446C"/>
    <w:rsid w:val="00C64555"/>
    <w:rsid w:val="00C64D91"/>
    <w:rsid w:val="00C70971"/>
    <w:rsid w:val="00C7595C"/>
    <w:rsid w:val="00C803D5"/>
    <w:rsid w:val="00C807F7"/>
    <w:rsid w:val="00C81B8F"/>
    <w:rsid w:val="00C81FA7"/>
    <w:rsid w:val="00C8226E"/>
    <w:rsid w:val="00C8360E"/>
    <w:rsid w:val="00C859CB"/>
    <w:rsid w:val="00C85EDA"/>
    <w:rsid w:val="00C86EDC"/>
    <w:rsid w:val="00C8710E"/>
    <w:rsid w:val="00C8763F"/>
    <w:rsid w:val="00C8773D"/>
    <w:rsid w:val="00C87D84"/>
    <w:rsid w:val="00C90AFD"/>
    <w:rsid w:val="00C90D59"/>
    <w:rsid w:val="00C921E2"/>
    <w:rsid w:val="00C9335A"/>
    <w:rsid w:val="00C939A9"/>
    <w:rsid w:val="00C940BA"/>
    <w:rsid w:val="00C94596"/>
    <w:rsid w:val="00C95299"/>
    <w:rsid w:val="00C95A39"/>
    <w:rsid w:val="00C95AA4"/>
    <w:rsid w:val="00C97132"/>
    <w:rsid w:val="00CA0240"/>
    <w:rsid w:val="00CA039C"/>
    <w:rsid w:val="00CA1749"/>
    <w:rsid w:val="00CA2672"/>
    <w:rsid w:val="00CA2EA5"/>
    <w:rsid w:val="00CA3AF3"/>
    <w:rsid w:val="00CA3BF2"/>
    <w:rsid w:val="00CA4525"/>
    <w:rsid w:val="00CA4F94"/>
    <w:rsid w:val="00CA6029"/>
    <w:rsid w:val="00CA66C0"/>
    <w:rsid w:val="00CB033F"/>
    <w:rsid w:val="00CB06E9"/>
    <w:rsid w:val="00CB090D"/>
    <w:rsid w:val="00CB0A05"/>
    <w:rsid w:val="00CB2293"/>
    <w:rsid w:val="00CB4223"/>
    <w:rsid w:val="00CB56CE"/>
    <w:rsid w:val="00CB5914"/>
    <w:rsid w:val="00CB5C53"/>
    <w:rsid w:val="00CB7E7E"/>
    <w:rsid w:val="00CC053F"/>
    <w:rsid w:val="00CC057D"/>
    <w:rsid w:val="00CC1E13"/>
    <w:rsid w:val="00CC2C94"/>
    <w:rsid w:val="00CC312B"/>
    <w:rsid w:val="00CC34B2"/>
    <w:rsid w:val="00CC37F1"/>
    <w:rsid w:val="00CC3B04"/>
    <w:rsid w:val="00CC3B26"/>
    <w:rsid w:val="00CC4229"/>
    <w:rsid w:val="00CC4837"/>
    <w:rsid w:val="00CC5A0F"/>
    <w:rsid w:val="00CC6182"/>
    <w:rsid w:val="00CD162F"/>
    <w:rsid w:val="00CD2AFA"/>
    <w:rsid w:val="00CD3192"/>
    <w:rsid w:val="00CD3EFF"/>
    <w:rsid w:val="00CD4681"/>
    <w:rsid w:val="00CD4909"/>
    <w:rsid w:val="00CD4A17"/>
    <w:rsid w:val="00CD5F0C"/>
    <w:rsid w:val="00CD676A"/>
    <w:rsid w:val="00CD7A01"/>
    <w:rsid w:val="00CE0219"/>
    <w:rsid w:val="00CE09B6"/>
    <w:rsid w:val="00CE137B"/>
    <w:rsid w:val="00CE1B61"/>
    <w:rsid w:val="00CE1BAB"/>
    <w:rsid w:val="00CE32DE"/>
    <w:rsid w:val="00CE3530"/>
    <w:rsid w:val="00CE4F46"/>
    <w:rsid w:val="00CE5168"/>
    <w:rsid w:val="00CE6A79"/>
    <w:rsid w:val="00CE70C3"/>
    <w:rsid w:val="00CE7A35"/>
    <w:rsid w:val="00CF0B72"/>
    <w:rsid w:val="00CF30D1"/>
    <w:rsid w:val="00CF3A9B"/>
    <w:rsid w:val="00CF4BEF"/>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810"/>
    <w:rsid w:val="00D11997"/>
    <w:rsid w:val="00D12D7C"/>
    <w:rsid w:val="00D1339E"/>
    <w:rsid w:val="00D1413E"/>
    <w:rsid w:val="00D14277"/>
    <w:rsid w:val="00D15442"/>
    <w:rsid w:val="00D20EAA"/>
    <w:rsid w:val="00D20F3C"/>
    <w:rsid w:val="00D21459"/>
    <w:rsid w:val="00D21AEF"/>
    <w:rsid w:val="00D230C7"/>
    <w:rsid w:val="00D23680"/>
    <w:rsid w:val="00D25456"/>
    <w:rsid w:val="00D259A7"/>
    <w:rsid w:val="00D25B02"/>
    <w:rsid w:val="00D27776"/>
    <w:rsid w:val="00D277D0"/>
    <w:rsid w:val="00D2790D"/>
    <w:rsid w:val="00D311B4"/>
    <w:rsid w:val="00D327A7"/>
    <w:rsid w:val="00D32AA5"/>
    <w:rsid w:val="00D33019"/>
    <w:rsid w:val="00D33507"/>
    <w:rsid w:val="00D3392F"/>
    <w:rsid w:val="00D33988"/>
    <w:rsid w:val="00D34FE1"/>
    <w:rsid w:val="00D351BC"/>
    <w:rsid w:val="00D3616D"/>
    <w:rsid w:val="00D36462"/>
    <w:rsid w:val="00D37701"/>
    <w:rsid w:val="00D40DC9"/>
    <w:rsid w:val="00D417CC"/>
    <w:rsid w:val="00D41FB1"/>
    <w:rsid w:val="00D4224A"/>
    <w:rsid w:val="00D42BC8"/>
    <w:rsid w:val="00D42BCE"/>
    <w:rsid w:val="00D42C51"/>
    <w:rsid w:val="00D4444F"/>
    <w:rsid w:val="00D45198"/>
    <w:rsid w:val="00D461C5"/>
    <w:rsid w:val="00D473E4"/>
    <w:rsid w:val="00D47D89"/>
    <w:rsid w:val="00D52053"/>
    <w:rsid w:val="00D53E63"/>
    <w:rsid w:val="00D53F20"/>
    <w:rsid w:val="00D5468B"/>
    <w:rsid w:val="00D547E0"/>
    <w:rsid w:val="00D5508B"/>
    <w:rsid w:val="00D55D11"/>
    <w:rsid w:val="00D57536"/>
    <w:rsid w:val="00D600A5"/>
    <w:rsid w:val="00D610DE"/>
    <w:rsid w:val="00D6207A"/>
    <w:rsid w:val="00D62B9A"/>
    <w:rsid w:val="00D633E9"/>
    <w:rsid w:val="00D63402"/>
    <w:rsid w:val="00D64A38"/>
    <w:rsid w:val="00D65561"/>
    <w:rsid w:val="00D675A5"/>
    <w:rsid w:val="00D67742"/>
    <w:rsid w:val="00D71061"/>
    <w:rsid w:val="00D733F1"/>
    <w:rsid w:val="00D73D6A"/>
    <w:rsid w:val="00D73F7B"/>
    <w:rsid w:val="00D74BCB"/>
    <w:rsid w:val="00D74CF1"/>
    <w:rsid w:val="00D74D1E"/>
    <w:rsid w:val="00D7698B"/>
    <w:rsid w:val="00D76B14"/>
    <w:rsid w:val="00D76ECF"/>
    <w:rsid w:val="00D77590"/>
    <w:rsid w:val="00D80CF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62CC"/>
    <w:rsid w:val="00D96370"/>
    <w:rsid w:val="00D972B0"/>
    <w:rsid w:val="00DA1096"/>
    <w:rsid w:val="00DA16D3"/>
    <w:rsid w:val="00DA19F1"/>
    <w:rsid w:val="00DA492B"/>
    <w:rsid w:val="00DA65E9"/>
    <w:rsid w:val="00DA734C"/>
    <w:rsid w:val="00DB09EB"/>
    <w:rsid w:val="00DB0E1A"/>
    <w:rsid w:val="00DB303E"/>
    <w:rsid w:val="00DB4421"/>
    <w:rsid w:val="00DB55F6"/>
    <w:rsid w:val="00DB647D"/>
    <w:rsid w:val="00DB6F9D"/>
    <w:rsid w:val="00DB7583"/>
    <w:rsid w:val="00DC0281"/>
    <w:rsid w:val="00DC058A"/>
    <w:rsid w:val="00DC1363"/>
    <w:rsid w:val="00DC2A1F"/>
    <w:rsid w:val="00DC3317"/>
    <w:rsid w:val="00DC4D37"/>
    <w:rsid w:val="00DC4FF6"/>
    <w:rsid w:val="00DC554B"/>
    <w:rsid w:val="00DC72E9"/>
    <w:rsid w:val="00DD0566"/>
    <w:rsid w:val="00DD1587"/>
    <w:rsid w:val="00DD1E86"/>
    <w:rsid w:val="00DD225E"/>
    <w:rsid w:val="00DD4EB0"/>
    <w:rsid w:val="00DD4FED"/>
    <w:rsid w:val="00DD513A"/>
    <w:rsid w:val="00DD6134"/>
    <w:rsid w:val="00DD7572"/>
    <w:rsid w:val="00DD7C0F"/>
    <w:rsid w:val="00DE0176"/>
    <w:rsid w:val="00DE1E09"/>
    <w:rsid w:val="00DE1E33"/>
    <w:rsid w:val="00DE449F"/>
    <w:rsid w:val="00DE5940"/>
    <w:rsid w:val="00DE5B0B"/>
    <w:rsid w:val="00DE7779"/>
    <w:rsid w:val="00DE7E57"/>
    <w:rsid w:val="00DF0508"/>
    <w:rsid w:val="00DF1364"/>
    <w:rsid w:val="00DF1CD3"/>
    <w:rsid w:val="00DF231E"/>
    <w:rsid w:val="00DF3023"/>
    <w:rsid w:val="00DF38DF"/>
    <w:rsid w:val="00DF44B0"/>
    <w:rsid w:val="00DF47B8"/>
    <w:rsid w:val="00DF48B7"/>
    <w:rsid w:val="00DF4A91"/>
    <w:rsid w:val="00DF52C4"/>
    <w:rsid w:val="00DF5CD8"/>
    <w:rsid w:val="00DF5F3D"/>
    <w:rsid w:val="00DF65DA"/>
    <w:rsid w:val="00DF6689"/>
    <w:rsid w:val="00DF6A34"/>
    <w:rsid w:val="00DF7100"/>
    <w:rsid w:val="00E00575"/>
    <w:rsid w:val="00E01239"/>
    <w:rsid w:val="00E01CF3"/>
    <w:rsid w:val="00E02C2F"/>
    <w:rsid w:val="00E02FC7"/>
    <w:rsid w:val="00E03590"/>
    <w:rsid w:val="00E03703"/>
    <w:rsid w:val="00E042D8"/>
    <w:rsid w:val="00E049DB"/>
    <w:rsid w:val="00E07C2B"/>
    <w:rsid w:val="00E115C5"/>
    <w:rsid w:val="00E1221F"/>
    <w:rsid w:val="00E129D3"/>
    <w:rsid w:val="00E13507"/>
    <w:rsid w:val="00E1415C"/>
    <w:rsid w:val="00E14404"/>
    <w:rsid w:val="00E14AEB"/>
    <w:rsid w:val="00E14B86"/>
    <w:rsid w:val="00E15EFC"/>
    <w:rsid w:val="00E163D0"/>
    <w:rsid w:val="00E1744E"/>
    <w:rsid w:val="00E2005E"/>
    <w:rsid w:val="00E20316"/>
    <w:rsid w:val="00E209F1"/>
    <w:rsid w:val="00E20E39"/>
    <w:rsid w:val="00E21C94"/>
    <w:rsid w:val="00E22C83"/>
    <w:rsid w:val="00E236A5"/>
    <w:rsid w:val="00E24E19"/>
    <w:rsid w:val="00E25BA3"/>
    <w:rsid w:val="00E26CE4"/>
    <w:rsid w:val="00E2731A"/>
    <w:rsid w:val="00E3188E"/>
    <w:rsid w:val="00E31FEE"/>
    <w:rsid w:val="00E3214D"/>
    <w:rsid w:val="00E3397C"/>
    <w:rsid w:val="00E347AD"/>
    <w:rsid w:val="00E347FD"/>
    <w:rsid w:val="00E36EC3"/>
    <w:rsid w:val="00E3718D"/>
    <w:rsid w:val="00E4193B"/>
    <w:rsid w:val="00E45361"/>
    <w:rsid w:val="00E55B65"/>
    <w:rsid w:val="00E56E54"/>
    <w:rsid w:val="00E573E6"/>
    <w:rsid w:val="00E57A7C"/>
    <w:rsid w:val="00E62615"/>
    <w:rsid w:val="00E627BB"/>
    <w:rsid w:val="00E63298"/>
    <w:rsid w:val="00E64A27"/>
    <w:rsid w:val="00E64CB9"/>
    <w:rsid w:val="00E6537A"/>
    <w:rsid w:val="00E656C1"/>
    <w:rsid w:val="00E65BBE"/>
    <w:rsid w:val="00E661DD"/>
    <w:rsid w:val="00E66889"/>
    <w:rsid w:val="00E7091E"/>
    <w:rsid w:val="00E70A64"/>
    <w:rsid w:val="00E72297"/>
    <w:rsid w:val="00E77178"/>
    <w:rsid w:val="00E777D1"/>
    <w:rsid w:val="00E808FF"/>
    <w:rsid w:val="00E80A41"/>
    <w:rsid w:val="00E83731"/>
    <w:rsid w:val="00E839FC"/>
    <w:rsid w:val="00E858BF"/>
    <w:rsid w:val="00E85EB7"/>
    <w:rsid w:val="00E862D5"/>
    <w:rsid w:val="00E90ADA"/>
    <w:rsid w:val="00E910B7"/>
    <w:rsid w:val="00E9265E"/>
    <w:rsid w:val="00E92E17"/>
    <w:rsid w:val="00E93239"/>
    <w:rsid w:val="00E932D2"/>
    <w:rsid w:val="00E93E13"/>
    <w:rsid w:val="00E94AE7"/>
    <w:rsid w:val="00E9565B"/>
    <w:rsid w:val="00E97CD6"/>
    <w:rsid w:val="00EA00D4"/>
    <w:rsid w:val="00EA01A8"/>
    <w:rsid w:val="00EA1C30"/>
    <w:rsid w:val="00EA2550"/>
    <w:rsid w:val="00EA3982"/>
    <w:rsid w:val="00EA3D52"/>
    <w:rsid w:val="00EA5035"/>
    <w:rsid w:val="00EA53BC"/>
    <w:rsid w:val="00EB09A5"/>
    <w:rsid w:val="00EB1169"/>
    <w:rsid w:val="00EB3B29"/>
    <w:rsid w:val="00EB3FF7"/>
    <w:rsid w:val="00EB58B4"/>
    <w:rsid w:val="00EB6E59"/>
    <w:rsid w:val="00EB782E"/>
    <w:rsid w:val="00EC0DF2"/>
    <w:rsid w:val="00EC283A"/>
    <w:rsid w:val="00EC28DF"/>
    <w:rsid w:val="00EC2942"/>
    <w:rsid w:val="00EC4A90"/>
    <w:rsid w:val="00EC51B5"/>
    <w:rsid w:val="00EC5DAC"/>
    <w:rsid w:val="00EC7BE7"/>
    <w:rsid w:val="00ED0CCF"/>
    <w:rsid w:val="00ED0D4E"/>
    <w:rsid w:val="00ED11BE"/>
    <w:rsid w:val="00ED1521"/>
    <w:rsid w:val="00ED2A39"/>
    <w:rsid w:val="00ED301C"/>
    <w:rsid w:val="00ED3557"/>
    <w:rsid w:val="00ED388A"/>
    <w:rsid w:val="00ED39FA"/>
    <w:rsid w:val="00ED57FB"/>
    <w:rsid w:val="00ED6759"/>
    <w:rsid w:val="00ED719A"/>
    <w:rsid w:val="00ED719D"/>
    <w:rsid w:val="00EE0471"/>
    <w:rsid w:val="00EE17A4"/>
    <w:rsid w:val="00EE18E3"/>
    <w:rsid w:val="00EE51D6"/>
    <w:rsid w:val="00EE7EDA"/>
    <w:rsid w:val="00EF03C8"/>
    <w:rsid w:val="00EF1C8B"/>
    <w:rsid w:val="00EF1FB8"/>
    <w:rsid w:val="00EF23E1"/>
    <w:rsid w:val="00EF3967"/>
    <w:rsid w:val="00EF3E9C"/>
    <w:rsid w:val="00EF3FD5"/>
    <w:rsid w:val="00EF6033"/>
    <w:rsid w:val="00EF72FA"/>
    <w:rsid w:val="00F000AA"/>
    <w:rsid w:val="00F0200A"/>
    <w:rsid w:val="00F02022"/>
    <w:rsid w:val="00F03479"/>
    <w:rsid w:val="00F043F3"/>
    <w:rsid w:val="00F06061"/>
    <w:rsid w:val="00F0629F"/>
    <w:rsid w:val="00F130A9"/>
    <w:rsid w:val="00F13605"/>
    <w:rsid w:val="00F13C85"/>
    <w:rsid w:val="00F155FD"/>
    <w:rsid w:val="00F1718B"/>
    <w:rsid w:val="00F17DE2"/>
    <w:rsid w:val="00F21611"/>
    <w:rsid w:val="00F24AAC"/>
    <w:rsid w:val="00F251A2"/>
    <w:rsid w:val="00F251C1"/>
    <w:rsid w:val="00F258B0"/>
    <w:rsid w:val="00F25D2E"/>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3D2"/>
    <w:rsid w:val="00F419F7"/>
    <w:rsid w:val="00F41B89"/>
    <w:rsid w:val="00F41EAE"/>
    <w:rsid w:val="00F42F9C"/>
    <w:rsid w:val="00F43373"/>
    <w:rsid w:val="00F4549B"/>
    <w:rsid w:val="00F45565"/>
    <w:rsid w:val="00F511BF"/>
    <w:rsid w:val="00F51ADF"/>
    <w:rsid w:val="00F520F9"/>
    <w:rsid w:val="00F549E8"/>
    <w:rsid w:val="00F56AF9"/>
    <w:rsid w:val="00F57FC3"/>
    <w:rsid w:val="00F6004E"/>
    <w:rsid w:val="00F60136"/>
    <w:rsid w:val="00F60852"/>
    <w:rsid w:val="00F614FA"/>
    <w:rsid w:val="00F62CCC"/>
    <w:rsid w:val="00F638FC"/>
    <w:rsid w:val="00F648F9"/>
    <w:rsid w:val="00F64D43"/>
    <w:rsid w:val="00F70774"/>
    <w:rsid w:val="00F70D1B"/>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2A3C"/>
    <w:rsid w:val="00F9307F"/>
    <w:rsid w:val="00F937D6"/>
    <w:rsid w:val="00F94A5B"/>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5E3"/>
    <w:rsid w:val="00FB7B65"/>
    <w:rsid w:val="00FC0303"/>
    <w:rsid w:val="00FC367D"/>
    <w:rsid w:val="00FC37B8"/>
    <w:rsid w:val="00FC7E81"/>
    <w:rsid w:val="00FD1DF2"/>
    <w:rsid w:val="00FD270D"/>
    <w:rsid w:val="00FD2979"/>
    <w:rsid w:val="00FD3164"/>
    <w:rsid w:val="00FD34BD"/>
    <w:rsid w:val="00FD4E42"/>
    <w:rsid w:val="00FD5B47"/>
    <w:rsid w:val="00FD6AC7"/>
    <w:rsid w:val="00FE10A7"/>
    <w:rsid w:val="00FE153E"/>
    <w:rsid w:val="00FE162A"/>
    <w:rsid w:val="00FE1D5C"/>
    <w:rsid w:val="00FE1FBE"/>
    <w:rsid w:val="00FE235F"/>
    <w:rsid w:val="00FE2D3A"/>
    <w:rsid w:val="00FE31DE"/>
    <w:rsid w:val="00FE323C"/>
    <w:rsid w:val="00FE449A"/>
    <w:rsid w:val="00FE5ACD"/>
    <w:rsid w:val="00FE5BC5"/>
    <w:rsid w:val="00FE60FB"/>
    <w:rsid w:val="00FE6D1C"/>
    <w:rsid w:val="00FE73B7"/>
    <w:rsid w:val="00FE7722"/>
    <w:rsid w:val="00FE79B1"/>
    <w:rsid w:val="00FF02FC"/>
    <w:rsid w:val="00FF10FF"/>
    <w:rsid w:val="00FF11B4"/>
    <w:rsid w:val="00FF27E8"/>
    <w:rsid w:val="00FF3722"/>
    <w:rsid w:val="00FF5059"/>
    <w:rsid w:val="00FF5570"/>
    <w:rsid w:val="00FF593D"/>
    <w:rsid w:val="00FF65AE"/>
    <w:rsid w:val="00FF6F78"/>
    <w:rsid w:val="00FF7A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basedOn w:val="Normal"/>
    <w:link w:val="FootnoteTextChar"/>
    <w:uiPriority w:val="99"/>
    <w:semiHidden/>
    <w:rsid w:val="0041055D"/>
    <w:rPr>
      <w:sz w:val="20"/>
      <w:szCs w:val="20"/>
    </w:rPr>
  </w:style>
  <w:style w:type="character" w:styleId="FootnoteReference">
    <w:name w:val="footnote reference"/>
    <w:basedOn w:val="DefaultParagraphFont"/>
    <w:uiPriority w:val="99"/>
    <w:semiHidden/>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basedOn w:val="DefaultParagraphFont"/>
    <w:link w:val="FootnoteText"/>
    <w:uiPriority w:val="99"/>
    <w:semiHidden/>
    <w:rsid w:val="00431486"/>
  </w:style>
  <w:style w:type="character" w:customStyle="1" w:styleId="FooterChar">
    <w:name w:val="Footer Char"/>
    <w:basedOn w:val="DefaultParagraphFont"/>
    <w:link w:val="Footer"/>
    <w:uiPriority w:val="99"/>
    <w:rsid w:val="003E2766"/>
    <w:rPr>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82D9E-5894-4469-9F52-76D43972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dc:description/>
  <cp:lastModifiedBy>Administrator</cp:lastModifiedBy>
  <cp:revision>3</cp:revision>
  <cp:lastPrinted>2011-04-06T15:08:00Z</cp:lastPrinted>
  <dcterms:created xsi:type="dcterms:W3CDTF">2011-04-05T11:39:00Z</dcterms:created>
  <dcterms:modified xsi:type="dcterms:W3CDTF">2011-04-06T15:08:00Z</dcterms:modified>
</cp:coreProperties>
</file>