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1106B0"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1106B0" w:rsidP="00D9657B">
      <w:pPr>
        <w:jc w:val="center"/>
        <w:rPr>
          <w:sz w:val="24"/>
          <w:szCs w:val="24"/>
        </w:rPr>
      </w:pPr>
      <w:r>
        <w:rPr>
          <w:sz w:val="24"/>
          <w:szCs w:val="24"/>
        </w:rPr>
        <w:t>April 12, 2011</w:t>
      </w:r>
    </w:p>
    <w:p w:rsidR="001106B0" w:rsidRDefault="001106B0" w:rsidP="001106B0">
      <w:pPr>
        <w:pStyle w:val="Heading5"/>
        <w:spacing w:before="0" w:after="0"/>
        <w:ind w:left="7920" w:right="-630" w:hanging="720"/>
        <w:jc w:val="right"/>
        <w:rPr>
          <w:i w:val="0"/>
        </w:rPr>
      </w:pPr>
      <w:r>
        <w:rPr>
          <w:i w:val="0"/>
        </w:rPr>
        <w:t>A-8913191</w:t>
      </w:r>
    </w:p>
    <w:p w:rsidR="001106B0" w:rsidRDefault="001106B0" w:rsidP="001106B0">
      <w:pPr>
        <w:pStyle w:val="Heading5"/>
        <w:spacing w:before="0" w:after="0"/>
        <w:ind w:left="7920" w:right="-630" w:hanging="720"/>
        <w:jc w:val="right"/>
        <w:rPr>
          <w:i w:val="0"/>
        </w:rPr>
      </w:pPr>
      <w:r>
        <w:rPr>
          <w:i w:val="0"/>
        </w:rPr>
        <w:t>A-2011-2224976</w:t>
      </w: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1106B0" w:rsidRPr="001106B0" w:rsidRDefault="001106B0" w:rsidP="001106B0">
      <w:pPr>
        <w:pStyle w:val="BodyTextIndent"/>
        <w:spacing w:after="0"/>
        <w:ind w:left="0"/>
        <w:rPr>
          <w:sz w:val="24"/>
          <w:szCs w:val="24"/>
        </w:rPr>
      </w:pPr>
      <w:r w:rsidRPr="001106B0">
        <w:rPr>
          <w:sz w:val="24"/>
          <w:szCs w:val="24"/>
        </w:rPr>
        <w:t>ROBERT SALANSKY CONSTRUCTION INC</w:t>
      </w:r>
    </w:p>
    <w:p w:rsidR="001106B0" w:rsidRPr="001106B0" w:rsidRDefault="001106B0" w:rsidP="001106B0">
      <w:pPr>
        <w:pStyle w:val="BodyTextIndent"/>
        <w:spacing w:after="0"/>
        <w:ind w:left="0"/>
        <w:rPr>
          <w:sz w:val="24"/>
          <w:szCs w:val="24"/>
        </w:rPr>
      </w:pPr>
      <w:r w:rsidRPr="001106B0">
        <w:rPr>
          <w:sz w:val="24"/>
          <w:szCs w:val="24"/>
        </w:rPr>
        <w:t>1291 SR 2069</w:t>
      </w:r>
    </w:p>
    <w:p w:rsidR="001106B0" w:rsidRDefault="001106B0" w:rsidP="001106B0">
      <w:pPr>
        <w:pStyle w:val="BodyTextIndent"/>
        <w:spacing w:after="0"/>
        <w:ind w:left="0"/>
        <w:rPr>
          <w:sz w:val="24"/>
          <w:szCs w:val="24"/>
        </w:rPr>
      </w:pPr>
      <w:r w:rsidRPr="001106B0">
        <w:rPr>
          <w:sz w:val="24"/>
          <w:szCs w:val="24"/>
        </w:rPr>
        <w:t>UNION DALE PA 18470</w:t>
      </w:r>
    </w:p>
    <w:p w:rsidR="001106B0" w:rsidRPr="001106B0" w:rsidRDefault="001106B0" w:rsidP="001106B0">
      <w:pPr>
        <w:pStyle w:val="BodyTextIndent"/>
        <w:spacing w:after="0"/>
        <w:ind w:left="0"/>
        <w:rPr>
          <w:sz w:val="24"/>
          <w:szCs w:val="24"/>
        </w:rPr>
      </w:pPr>
    </w:p>
    <w:p w:rsidR="00D9657B" w:rsidRPr="001B6CB7" w:rsidRDefault="00D9657B" w:rsidP="00D9657B">
      <w:pPr>
        <w:ind w:left="432" w:right="720"/>
        <w:jc w:val="center"/>
        <w:rPr>
          <w:sz w:val="24"/>
          <w:szCs w:val="24"/>
        </w:rPr>
      </w:pPr>
    </w:p>
    <w:p w:rsidR="00D9657B" w:rsidRPr="001B6CB7" w:rsidRDefault="001106B0" w:rsidP="001106B0">
      <w:pPr>
        <w:ind w:left="432" w:right="720"/>
        <w:rPr>
          <w:sz w:val="24"/>
          <w:szCs w:val="24"/>
        </w:rPr>
      </w:pPr>
      <w:r>
        <w:rPr>
          <w:sz w:val="24"/>
          <w:szCs w:val="24"/>
        </w:rPr>
        <w:t>Application of Robert Salansky Construction, Inc., 1291 S.R. 2069, Union Dale, Susquehanna County, PA 18470 (570-650-5618) to transport, as a motor common carrier, property, excluding household goods in use, between points in Pennsylvania.  A-2011-2224976</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1106B0"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39" w:rsidRDefault="00E20839">
      <w:r>
        <w:separator/>
      </w:r>
    </w:p>
  </w:endnote>
  <w:endnote w:type="continuationSeparator" w:id="0">
    <w:p w:rsidR="00E20839" w:rsidRDefault="00E20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39" w:rsidRDefault="00E20839">
      <w:r>
        <w:separator/>
      </w:r>
    </w:p>
  </w:footnote>
  <w:footnote w:type="continuationSeparator" w:id="0">
    <w:p w:rsidR="00E20839" w:rsidRDefault="00E208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06B0"/>
    <w:rsid w:val="00111E74"/>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0839"/>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1106B0"/>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1106B0"/>
    <w:rPr>
      <w:b/>
      <w:bCs/>
      <w:i/>
      <w:iCs/>
      <w:sz w:val="26"/>
      <w:szCs w:val="26"/>
    </w:rPr>
  </w:style>
  <w:style w:type="paragraph" w:styleId="BodyTextIndent">
    <w:name w:val="Body Text Indent"/>
    <w:basedOn w:val="Normal"/>
    <w:link w:val="BodyTextIndentChar"/>
    <w:rsid w:val="001106B0"/>
    <w:pPr>
      <w:spacing w:after="120"/>
      <w:ind w:left="360"/>
    </w:pPr>
  </w:style>
  <w:style w:type="character" w:customStyle="1" w:styleId="BodyTextIndentChar">
    <w:name w:val="Body Text Indent Char"/>
    <w:basedOn w:val="DefaultParagraphFont"/>
    <w:link w:val="BodyTextIndent"/>
    <w:rsid w:val="001106B0"/>
  </w:style>
</w:styles>
</file>

<file path=word/webSettings.xml><?xml version="1.0" encoding="utf-8"?>
<w:webSettings xmlns:r="http://schemas.openxmlformats.org/officeDocument/2006/relationships" xmlns:w="http://schemas.openxmlformats.org/wordprocessingml/2006/main">
  <w:divs>
    <w:div w:id="519703941">
      <w:bodyDiv w:val="1"/>
      <w:marLeft w:val="0"/>
      <w:marRight w:val="0"/>
      <w:marTop w:val="0"/>
      <w:marBottom w:val="0"/>
      <w:divBdr>
        <w:top w:val="none" w:sz="0" w:space="0" w:color="auto"/>
        <w:left w:val="none" w:sz="0" w:space="0" w:color="auto"/>
        <w:bottom w:val="none" w:sz="0" w:space="0" w:color="auto"/>
        <w:right w:val="none" w:sz="0" w:space="0" w:color="auto"/>
      </w:divBdr>
    </w:div>
    <w:div w:id="113548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1500</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2011-04-12T15:01:00Z</cp:lastPrinted>
  <dcterms:created xsi:type="dcterms:W3CDTF">2011-04-12T15:01:00Z</dcterms:created>
  <dcterms:modified xsi:type="dcterms:W3CDTF">2011-04-12T15:01:00Z</dcterms:modified>
</cp:coreProperties>
</file>