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060513">
        <w:trPr>
          <w:trHeight w:val="990"/>
        </w:trPr>
        <w:tc>
          <w:tcPr>
            <w:tcW w:w="1363" w:type="dxa"/>
          </w:tcPr>
          <w:p w:rsidR="00060513" w:rsidRDefault="00C3254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060513" w:rsidRDefault="0006051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60513" w:rsidRDefault="0006051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60513" w:rsidRDefault="0006051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60513" w:rsidRDefault="0006051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060513" w:rsidRDefault="00060513">
            <w:pPr>
              <w:rPr>
                <w:rFonts w:ascii="Arial" w:hAnsi="Arial"/>
                <w:sz w:val="12"/>
              </w:rPr>
            </w:pPr>
          </w:p>
          <w:p w:rsidR="00F8108A" w:rsidRDefault="00F8108A" w:rsidP="00F8108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F8108A" w:rsidRDefault="00F8108A" w:rsidP="00F8108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F8108A" w:rsidRDefault="00F8108A" w:rsidP="00F8108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F8108A" w:rsidRDefault="00F8108A" w:rsidP="00F8108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6F5891" w:rsidRPr="006F5891" w:rsidRDefault="00060513" w:rsidP="00F810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60513" w:rsidRDefault="00060513">
      <w:pPr>
        <w:rPr>
          <w:sz w:val="24"/>
        </w:rPr>
        <w:sectPr w:rsidR="00060513" w:rsidSect="00F8108A"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:rsidR="0076371A" w:rsidRDefault="0091560A" w:rsidP="0091560A">
      <w:pPr>
        <w:tabs>
          <w:tab w:val="center" w:pos="4680"/>
          <w:tab w:val="left" w:pos="628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5F023B">
        <w:rPr>
          <w:sz w:val="22"/>
          <w:szCs w:val="22"/>
        </w:rPr>
        <w:t>April 13, 2011</w:t>
      </w:r>
    </w:p>
    <w:p w:rsidR="003E1941" w:rsidRPr="00B268D7" w:rsidRDefault="0076371A" w:rsidP="0091560A">
      <w:pPr>
        <w:tabs>
          <w:tab w:val="center" w:pos="4680"/>
          <w:tab w:val="left" w:pos="6285"/>
        </w:tabs>
        <w:rPr>
          <w:b/>
          <w:sz w:val="26"/>
          <w:szCs w:val="26"/>
        </w:rPr>
      </w:pPr>
      <w:r>
        <w:rPr>
          <w:sz w:val="22"/>
          <w:szCs w:val="22"/>
        </w:rPr>
        <w:tab/>
      </w:r>
      <w:r w:rsidR="0091560A" w:rsidRPr="00B268D7">
        <w:rPr>
          <w:b/>
          <w:sz w:val="26"/>
          <w:szCs w:val="26"/>
        </w:rPr>
        <w:tab/>
      </w:r>
    </w:p>
    <w:p w:rsidR="00B07E09" w:rsidRDefault="00B07E09" w:rsidP="001663A3">
      <w:pPr>
        <w:rPr>
          <w:sz w:val="26"/>
          <w:szCs w:val="26"/>
        </w:rPr>
      </w:pPr>
    </w:p>
    <w:p w:rsidR="00570F3D" w:rsidRDefault="00570F3D" w:rsidP="00EC2AC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B268D7">
        <w:rPr>
          <w:b/>
          <w:sz w:val="26"/>
          <w:szCs w:val="26"/>
        </w:rPr>
        <w:t>R-2008-2073938</w:t>
      </w:r>
    </w:p>
    <w:p w:rsidR="000369A4" w:rsidRPr="000369A4" w:rsidRDefault="000369A4" w:rsidP="000369A4"/>
    <w:p w:rsidR="001663A3" w:rsidRPr="00B268D7" w:rsidRDefault="001663A3" w:rsidP="001663A3">
      <w:pPr>
        <w:pStyle w:val="Heading1"/>
        <w:rPr>
          <w:b/>
          <w:sz w:val="26"/>
          <w:szCs w:val="26"/>
        </w:rPr>
      </w:pPr>
      <w:r w:rsidRPr="00B268D7">
        <w:rPr>
          <w:b/>
          <w:sz w:val="26"/>
          <w:szCs w:val="26"/>
        </w:rPr>
        <w:t>TO ALL PARTIES:</w:t>
      </w:r>
    </w:p>
    <w:p w:rsidR="001663A3" w:rsidRDefault="001663A3" w:rsidP="001663A3">
      <w:pPr>
        <w:rPr>
          <w:sz w:val="26"/>
          <w:szCs w:val="26"/>
        </w:rPr>
      </w:pPr>
    </w:p>
    <w:p w:rsidR="00F8108A" w:rsidRPr="00216911" w:rsidRDefault="00F8108A" w:rsidP="001663A3">
      <w:pPr>
        <w:rPr>
          <w:sz w:val="26"/>
          <w:szCs w:val="26"/>
        </w:rPr>
      </w:pPr>
    </w:p>
    <w:p w:rsidR="006F5891" w:rsidRDefault="00A47984" w:rsidP="001663A3">
      <w:pPr>
        <w:ind w:firstLine="720"/>
        <w:rPr>
          <w:b/>
          <w:sz w:val="26"/>
          <w:szCs w:val="26"/>
        </w:rPr>
      </w:pPr>
      <w:r w:rsidRPr="00B268D7">
        <w:rPr>
          <w:b/>
          <w:sz w:val="26"/>
          <w:szCs w:val="26"/>
        </w:rPr>
        <w:t>Re:</w:t>
      </w:r>
      <w:r w:rsidR="006F5891">
        <w:rPr>
          <w:b/>
          <w:sz w:val="26"/>
          <w:szCs w:val="26"/>
        </w:rPr>
        <w:tab/>
      </w:r>
      <w:r w:rsidR="00522CCA" w:rsidRPr="00B268D7">
        <w:rPr>
          <w:b/>
          <w:i/>
          <w:sz w:val="26"/>
          <w:szCs w:val="26"/>
        </w:rPr>
        <w:t>Pa. PUC v. Philadelphia Gas Works</w:t>
      </w:r>
      <w:r w:rsidR="00522CCA" w:rsidRPr="00B268D7">
        <w:rPr>
          <w:b/>
          <w:sz w:val="26"/>
          <w:szCs w:val="26"/>
        </w:rPr>
        <w:t xml:space="preserve">, Collaborative Process </w:t>
      </w:r>
    </w:p>
    <w:p w:rsidR="00A47984" w:rsidRDefault="006F5891" w:rsidP="006F5891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522CCA" w:rsidRPr="00B268D7">
        <w:rPr>
          <w:b/>
          <w:sz w:val="26"/>
          <w:szCs w:val="26"/>
        </w:rPr>
        <w:t xml:space="preserve">re </w:t>
      </w:r>
      <w:r w:rsidR="00216911" w:rsidRPr="00B268D7">
        <w:rPr>
          <w:b/>
          <w:sz w:val="26"/>
          <w:szCs w:val="26"/>
        </w:rPr>
        <w:t>Alternative Supplier of Last Resort</w:t>
      </w:r>
    </w:p>
    <w:p w:rsidR="00A47984" w:rsidRDefault="00A47984" w:rsidP="00A47984">
      <w:pPr>
        <w:rPr>
          <w:sz w:val="26"/>
          <w:szCs w:val="26"/>
        </w:rPr>
      </w:pPr>
    </w:p>
    <w:p w:rsidR="000369A4" w:rsidRPr="006F5891" w:rsidRDefault="000369A4" w:rsidP="00A47984">
      <w:pPr>
        <w:rPr>
          <w:sz w:val="26"/>
          <w:szCs w:val="26"/>
        </w:rPr>
      </w:pPr>
    </w:p>
    <w:p w:rsidR="006A1199" w:rsidRDefault="00DF7B28" w:rsidP="006A1199">
      <w:pPr>
        <w:ind w:right="72" w:firstLine="720"/>
        <w:rPr>
          <w:color w:val="000000"/>
          <w:spacing w:val="4"/>
          <w:sz w:val="26"/>
          <w:szCs w:val="26"/>
        </w:rPr>
      </w:pPr>
      <w:r>
        <w:rPr>
          <w:spacing w:val="2"/>
          <w:sz w:val="26"/>
          <w:szCs w:val="26"/>
        </w:rPr>
        <w:t xml:space="preserve">On November 14, 2008, Philadelphia Gas Works (PGW) filed a </w:t>
      </w:r>
      <w:r w:rsidR="00583DC1">
        <w:rPr>
          <w:spacing w:val="2"/>
          <w:sz w:val="26"/>
          <w:szCs w:val="26"/>
        </w:rPr>
        <w:t>p</w:t>
      </w:r>
      <w:r>
        <w:rPr>
          <w:spacing w:val="2"/>
          <w:sz w:val="26"/>
          <w:szCs w:val="26"/>
        </w:rPr>
        <w:t>etition with the Commission requesting emergency</w:t>
      </w:r>
      <w:r>
        <w:rPr>
          <w:spacing w:val="4"/>
          <w:sz w:val="26"/>
          <w:szCs w:val="26"/>
        </w:rPr>
        <w:t xml:space="preserve"> </w:t>
      </w:r>
      <w:r w:rsidR="00583DC1">
        <w:rPr>
          <w:spacing w:val="4"/>
          <w:sz w:val="26"/>
          <w:szCs w:val="26"/>
        </w:rPr>
        <w:t>rate relief</w:t>
      </w:r>
      <w:r>
        <w:rPr>
          <w:spacing w:val="4"/>
          <w:sz w:val="26"/>
          <w:szCs w:val="26"/>
        </w:rPr>
        <w:t xml:space="preserve">, pursuant to 66 </w:t>
      </w:r>
      <w:proofErr w:type="spellStart"/>
      <w:r>
        <w:rPr>
          <w:spacing w:val="4"/>
          <w:sz w:val="26"/>
          <w:szCs w:val="26"/>
        </w:rPr>
        <w:t>Pa.C.S</w:t>
      </w:r>
      <w:proofErr w:type="spellEnd"/>
      <w:r>
        <w:rPr>
          <w:spacing w:val="4"/>
          <w:sz w:val="26"/>
          <w:szCs w:val="26"/>
        </w:rPr>
        <w:t xml:space="preserve">. </w:t>
      </w:r>
      <w:proofErr w:type="gramStart"/>
      <w:r>
        <w:rPr>
          <w:spacing w:val="4"/>
          <w:sz w:val="26"/>
          <w:szCs w:val="26"/>
        </w:rPr>
        <w:t>§§ 1308, 1308(e), 2212(c) and 52 Pa. Code § 5.41.</w:t>
      </w:r>
      <w:proofErr w:type="gramEnd"/>
      <w:r w:rsidR="006A1199">
        <w:rPr>
          <w:spacing w:val="4"/>
          <w:sz w:val="26"/>
          <w:szCs w:val="26"/>
        </w:rPr>
        <w:t xml:space="preserve">  </w:t>
      </w:r>
      <w:r w:rsidR="006A1199" w:rsidRPr="00EF1311">
        <w:rPr>
          <w:color w:val="000000"/>
          <w:spacing w:val="4"/>
          <w:sz w:val="26"/>
          <w:szCs w:val="26"/>
        </w:rPr>
        <w:t>Interstate Gas Supply and Dominion Retail intervened in th</w:t>
      </w:r>
      <w:r w:rsidR="006A1199">
        <w:rPr>
          <w:color w:val="000000"/>
          <w:spacing w:val="4"/>
          <w:sz w:val="26"/>
          <w:szCs w:val="26"/>
        </w:rPr>
        <w:t xml:space="preserve">e </w:t>
      </w:r>
      <w:r w:rsidR="0025583A">
        <w:rPr>
          <w:color w:val="000000"/>
          <w:spacing w:val="4"/>
          <w:sz w:val="26"/>
          <w:szCs w:val="26"/>
        </w:rPr>
        <w:t>Commission-</w:t>
      </w:r>
      <w:r w:rsidR="00213E79">
        <w:rPr>
          <w:color w:val="000000"/>
          <w:spacing w:val="4"/>
          <w:sz w:val="26"/>
          <w:szCs w:val="26"/>
        </w:rPr>
        <w:t xml:space="preserve">instituted </w:t>
      </w:r>
      <w:r w:rsidR="006A1199">
        <w:rPr>
          <w:color w:val="000000"/>
          <w:spacing w:val="4"/>
          <w:sz w:val="26"/>
          <w:szCs w:val="26"/>
        </w:rPr>
        <w:t xml:space="preserve">emergency rate proceeding </w:t>
      </w:r>
      <w:r w:rsidR="006A1199" w:rsidRPr="00EF1311">
        <w:rPr>
          <w:color w:val="000000"/>
          <w:spacing w:val="4"/>
          <w:sz w:val="26"/>
          <w:szCs w:val="26"/>
        </w:rPr>
        <w:t xml:space="preserve">and sponsored testimony recommending that most or all of </w:t>
      </w:r>
      <w:r w:rsidR="006F5891">
        <w:rPr>
          <w:sz w:val="26"/>
          <w:szCs w:val="26"/>
        </w:rPr>
        <w:t>PGW’s</w:t>
      </w:r>
      <w:r w:rsidR="006A1199" w:rsidRPr="00EF1311">
        <w:rPr>
          <w:color w:val="000000"/>
          <w:spacing w:val="4"/>
          <w:sz w:val="26"/>
          <w:szCs w:val="26"/>
        </w:rPr>
        <w:t xml:space="preserve"> load should be transitioned to competitive suppliers in order to </w:t>
      </w:r>
      <w:r w:rsidR="006F5891">
        <w:rPr>
          <w:color w:val="000000"/>
          <w:spacing w:val="4"/>
          <w:sz w:val="26"/>
          <w:szCs w:val="26"/>
        </w:rPr>
        <w:t>“</w:t>
      </w:r>
      <w:r w:rsidR="006A1199" w:rsidRPr="00EF1311">
        <w:rPr>
          <w:color w:val="000000"/>
          <w:spacing w:val="4"/>
          <w:sz w:val="26"/>
          <w:szCs w:val="26"/>
        </w:rPr>
        <w:t xml:space="preserve">eliminate </w:t>
      </w:r>
      <w:r w:rsidR="006F5891">
        <w:rPr>
          <w:sz w:val="26"/>
          <w:szCs w:val="26"/>
        </w:rPr>
        <w:t>PGW’s</w:t>
      </w:r>
      <w:r w:rsidR="006A1199" w:rsidRPr="00EF1311">
        <w:rPr>
          <w:color w:val="000000"/>
          <w:spacing w:val="4"/>
          <w:sz w:val="26"/>
          <w:szCs w:val="26"/>
        </w:rPr>
        <w:t xml:space="preserve"> largest single borrowing need, i.e., the need to borrow $600 to $700 million a year to buy gas for its customers.</w:t>
      </w:r>
      <w:r w:rsidR="006F5891">
        <w:rPr>
          <w:color w:val="000000"/>
          <w:spacing w:val="4"/>
          <w:sz w:val="26"/>
          <w:szCs w:val="26"/>
        </w:rPr>
        <w:t>”</w:t>
      </w:r>
      <w:r w:rsidR="006A1199" w:rsidRPr="00EF1311">
        <w:rPr>
          <w:color w:val="000000"/>
          <w:spacing w:val="4"/>
          <w:sz w:val="26"/>
          <w:szCs w:val="26"/>
        </w:rPr>
        <w:t xml:space="preserve">  </w:t>
      </w:r>
    </w:p>
    <w:p w:rsidR="006A1199" w:rsidRDefault="006A1199" w:rsidP="006A1199">
      <w:pPr>
        <w:ind w:right="72" w:firstLine="720"/>
        <w:rPr>
          <w:color w:val="000000"/>
          <w:spacing w:val="4"/>
          <w:sz w:val="26"/>
          <w:szCs w:val="26"/>
        </w:rPr>
      </w:pPr>
    </w:p>
    <w:p w:rsidR="006A1199" w:rsidRDefault="006A1199" w:rsidP="006A1199">
      <w:pPr>
        <w:ind w:firstLine="720"/>
        <w:rPr>
          <w:color w:val="000000"/>
          <w:spacing w:val="4"/>
          <w:sz w:val="26"/>
          <w:szCs w:val="26"/>
        </w:rPr>
      </w:pPr>
      <w:r w:rsidRPr="00EF1311">
        <w:rPr>
          <w:color w:val="000000"/>
          <w:spacing w:val="4"/>
          <w:sz w:val="26"/>
          <w:szCs w:val="26"/>
        </w:rPr>
        <w:t>The Commission,</w:t>
      </w:r>
      <w:r>
        <w:rPr>
          <w:color w:val="000000"/>
          <w:spacing w:val="4"/>
          <w:sz w:val="26"/>
          <w:szCs w:val="26"/>
        </w:rPr>
        <w:t xml:space="preserve"> </w:t>
      </w:r>
      <w:r w:rsidRPr="00EF1311">
        <w:rPr>
          <w:color w:val="000000"/>
          <w:spacing w:val="4"/>
          <w:sz w:val="26"/>
          <w:szCs w:val="26"/>
        </w:rPr>
        <w:t xml:space="preserve">in its final order at </w:t>
      </w:r>
      <w:r w:rsidR="00216911">
        <w:rPr>
          <w:color w:val="000000"/>
          <w:spacing w:val="4"/>
          <w:sz w:val="26"/>
          <w:szCs w:val="26"/>
        </w:rPr>
        <w:t>the above docket number</w:t>
      </w:r>
      <w:r w:rsidRPr="00EF1311">
        <w:rPr>
          <w:color w:val="000000"/>
          <w:spacing w:val="4"/>
          <w:sz w:val="26"/>
          <w:szCs w:val="26"/>
        </w:rPr>
        <w:t xml:space="preserve">, concurred with Interstate Gas Supply and Dominion Retail and concluded that </w:t>
      </w:r>
      <w:r w:rsidR="006F5891">
        <w:rPr>
          <w:color w:val="000000"/>
          <w:spacing w:val="4"/>
          <w:sz w:val="26"/>
          <w:szCs w:val="26"/>
        </w:rPr>
        <w:t>“</w:t>
      </w:r>
      <w:r w:rsidRPr="00EF1311">
        <w:rPr>
          <w:color w:val="000000"/>
          <w:spacing w:val="4"/>
          <w:sz w:val="26"/>
          <w:szCs w:val="26"/>
        </w:rPr>
        <w:t>[w]e believe it is important that PGW explore any and all means of reducing the financial risks and costs of its utility business.</w:t>
      </w:r>
      <w:r w:rsidR="004C4E75">
        <w:rPr>
          <w:color w:val="000000"/>
          <w:spacing w:val="4"/>
          <w:sz w:val="26"/>
          <w:szCs w:val="26"/>
        </w:rPr>
        <w:t>”</w:t>
      </w:r>
    </w:p>
    <w:p w:rsidR="00216911" w:rsidRDefault="00216911" w:rsidP="006A1199">
      <w:pPr>
        <w:ind w:firstLine="720"/>
        <w:rPr>
          <w:color w:val="000000"/>
          <w:spacing w:val="4"/>
          <w:sz w:val="26"/>
          <w:szCs w:val="26"/>
        </w:rPr>
      </w:pPr>
    </w:p>
    <w:p w:rsidR="002929C4" w:rsidRDefault="00216911" w:rsidP="002929C4">
      <w:pPr>
        <w:ind w:right="72" w:firstLine="720"/>
        <w:rPr>
          <w:spacing w:val="-2"/>
          <w:sz w:val="26"/>
          <w:szCs w:val="26"/>
        </w:rPr>
      </w:pPr>
      <w:r>
        <w:rPr>
          <w:sz w:val="26"/>
          <w:szCs w:val="26"/>
        </w:rPr>
        <w:t>As directed by the Commission, PGW initiated a collaborative to explore the potential for establishment of an alternative supplier of last resort to improve its financial position.</w:t>
      </w:r>
      <w:r w:rsidR="004B724D">
        <w:rPr>
          <w:sz w:val="26"/>
          <w:szCs w:val="26"/>
        </w:rPr>
        <w:t xml:space="preserve">  </w:t>
      </w:r>
      <w:r w:rsidR="002929C4">
        <w:rPr>
          <w:sz w:val="26"/>
          <w:szCs w:val="26"/>
        </w:rPr>
        <w:t xml:space="preserve">Most parties to PGW’s emergency rate proceeding participated in the collaborative process, specifically: </w:t>
      </w:r>
      <w:r w:rsidR="00590367">
        <w:rPr>
          <w:sz w:val="26"/>
          <w:szCs w:val="26"/>
        </w:rPr>
        <w:t xml:space="preserve"> </w:t>
      </w:r>
      <w:r w:rsidR="002929C4">
        <w:rPr>
          <w:sz w:val="26"/>
          <w:szCs w:val="26"/>
        </w:rPr>
        <w:t>P</w:t>
      </w:r>
      <w:r w:rsidR="002929C4">
        <w:rPr>
          <w:spacing w:val="-2"/>
          <w:sz w:val="26"/>
          <w:szCs w:val="26"/>
        </w:rPr>
        <w:t>GW, the Office of the Trial Staff (OTS), the Office of Consumer</w:t>
      </w:r>
      <w:r w:rsidR="002929C4">
        <w:rPr>
          <w:sz w:val="26"/>
          <w:szCs w:val="26"/>
        </w:rPr>
        <w:t xml:space="preserve"> Advocate (OCA), the Office of Small Business Advocate (OSBA), Philadelphia Industrial and Commercial Gas Users Group, Action Alliance of Senior Citizens of Greater Philadelphia (Action Alliance), the Tenant Union </w:t>
      </w:r>
      <w:r w:rsidR="002929C4">
        <w:rPr>
          <w:spacing w:val="-2"/>
          <w:sz w:val="26"/>
          <w:szCs w:val="26"/>
        </w:rPr>
        <w:t>Representative Network, Philadelphia Housing Authority, and representatives of the natural gas</w:t>
      </w:r>
      <w:r w:rsidR="002929C4">
        <w:rPr>
          <w:sz w:val="26"/>
          <w:szCs w:val="26"/>
        </w:rPr>
        <w:t xml:space="preserve"> </w:t>
      </w:r>
      <w:r w:rsidR="002929C4">
        <w:rPr>
          <w:spacing w:val="-2"/>
          <w:sz w:val="26"/>
          <w:szCs w:val="26"/>
        </w:rPr>
        <w:t xml:space="preserve">suppliers including Interstate Gas Supply, Dominion Retail, Gasmark and Hess.  </w:t>
      </w:r>
    </w:p>
    <w:p w:rsidR="002929C4" w:rsidRDefault="002929C4" w:rsidP="002929C4">
      <w:pPr>
        <w:ind w:right="72" w:firstLine="720"/>
        <w:rPr>
          <w:spacing w:val="-2"/>
          <w:sz w:val="26"/>
          <w:szCs w:val="26"/>
        </w:rPr>
      </w:pPr>
    </w:p>
    <w:p w:rsidR="002929C4" w:rsidRDefault="002929C4" w:rsidP="002929C4">
      <w:pPr>
        <w:ind w:right="72" w:firstLine="720"/>
        <w:rPr>
          <w:sz w:val="26"/>
          <w:szCs w:val="26"/>
        </w:rPr>
      </w:pPr>
      <w:r>
        <w:rPr>
          <w:spacing w:val="-2"/>
          <w:sz w:val="26"/>
          <w:szCs w:val="26"/>
        </w:rPr>
        <w:t>During the first</w:t>
      </w:r>
      <w:r>
        <w:rPr>
          <w:sz w:val="26"/>
          <w:szCs w:val="26"/>
        </w:rPr>
        <w:t xml:space="preserve"> three meetings of the collaborative process, the parties discussed several potential models for transitioning most or all of </w:t>
      </w:r>
      <w:r w:rsidR="00082382">
        <w:rPr>
          <w:sz w:val="26"/>
          <w:szCs w:val="26"/>
        </w:rPr>
        <w:t>PGW’s</w:t>
      </w:r>
      <w:r>
        <w:rPr>
          <w:sz w:val="26"/>
          <w:szCs w:val="26"/>
        </w:rPr>
        <w:t xml:space="preserve"> customers to competitive supply.  </w:t>
      </w:r>
      <w:r>
        <w:rPr>
          <w:spacing w:val="-2"/>
          <w:sz w:val="26"/>
          <w:szCs w:val="26"/>
        </w:rPr>
        <w:t>Additionally, parties such as the OCA expressed their concern that</w:t>
      </w:r>
      <w:r>
        <w:rPr>
          <w:sz w:val="26"/>
          <w:szCs w:val="26"/>
        </w:rPr>
        <w:t xml:space="preserve"> some or all of the potential models may not comport with the least cost fuel procurement requirements set forth in 66 Pa.C.S. § 1318. </w:t>
      </w:r>
    </w:p>
    <w:p w:rsidR="000369A4" w:rsidRDefault="000369A4" w:rsidP="00EC2AC3">
      <w:pPr>
        <w:ind w:right="72"/>
        <w:rPr>
          <w:sz w:val="26"/>
          <w:szCs w:val="26"/>
        </w:rPr>
      </w:pPr>
    </w:p>
    <w:p w:rsidR="000369A4" w:rsidRDefault="002929C4" w:rsidP="00EC2AC3">
      <w:pPr>
        <w:ind w:right="72" w:firstLine="720"/>
        <w:rPr>
          <w:sz w:val="26"/>
          <w:szCs w:val="26"/>
        </w:rPr>
      </w:pPr>
      <w:r>
        <w:rPr>
          <w:sz w:val="26"/>
          <w:szCs w:val="26"/>
        </w:rPr>
        <w:t xml:space="preserve">On July 23, 2009, the collaborative process participants received a proposal from Interstate Gas Supply, Dominion Retail and Hess (hereinafter “Supplier Proposal”).  </w:t>
      </w:r>
    </w:p>
    <w:p w:rsidR="005F2322" w:rsidRDefault="0095032F" w:rsidP="005F2322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O</w:t>
      </w:r>
      <w:r w:rsidR="004B724D">
        <w:rPr>
          <w:sz w:val="26"/>
          <w:szCs w:val="26"/>
        </w:rPr>
        <w:t xml:space="preserve">n October 21, 2009, PGW filed a Status Report that outlined the history of the Commission-ordered collaborative process and indicated that the talks were stalled. </w:t>
      </w:r>
      <w:r w:rsidR="002F7637">
        <w:rPr>
          <w:sz w:val="26"/>
          <w:szCs w:val="26"/>
        </w:rPr>
        <w:t xml:space="preserve"> On November 4, 2009, Reply Comments were filed by the collaborative participants.</w:t>
      </w:r>
      <w:r w:rsidR="00583DC1">
        <w:rPr>
          <w:sz w:val="26"/>
          <w:szCs w:val="26"/>
        </w:rPr>
        <w:t xml:space="preserve">  Since that time, the Commission, </w:t>
      </w:r>
      <w:r w:rsidR="00583DC1" w:rsidRPr="00583DC1">
        <w:rPr>
          <w:i/>
          <w:sz w:val="26"/>
          <w:szCs w:val="26"/>
        </w:rPr>
        <w:t>inter alia</w:t>
      </w:r>
      <w:r w:rsidR="00583DC1">
        <w:rPr>
          <w:sz w:val="26"/>
          <w:szCs w:val="26"/>
        </w:rPr>
        <w:t xml:space="preserve">, </w:t>
      </w:r>
      <w:r w:rsidR="0034268C">
        <w:rPr>
          <w:sz w:val="26"/>
          <w:szCs w:val="26"/>
        </w:rPr>
        <w:t>approved, on April 15, 2010, a policy statement regarding application of the cash flow method to PGW and, on July 29, 2010, approved the proposed settlement in PGW’s 2009 base rate case.</w:t>
      </w:r>
      <w:r w:rsidR="00583DC1">
        <w:rPr>
          <w:sz w:val="26"/>
          <w:szCs w:val="26"/>
        </w:rPr>
        <w:t xml:space="preserve"> </w:t>
      </w:r>
      <w:r w:rsidR="002F7637">
        <w:rPr>
          <w:sz w:val="26"/>
          <w:szCs w:val="26"/>
        </w:rPr>
        <w:t xml:space="preserve"> </w:t>
      </w:r>
      <w:r w:rsidR="0034268C">
        <w:rPr>
          <w:sz w:val="26"/>
          <w:szCs w:val="26"/>
        </w:rPr>
        <w:t xml:space="preserve">Accordingly, it is now appropriate to consider the presently stalled collaborative process regarding an alternative default supplier of last resort.  </w:t>
      </w:r>
    </w:p>
    <w:p w:rsidR="005F2322" w:rsidRDefault="005F2322" w:rsidP="005F2322">
      <w:pPr>
        <w:autoSpaceDE w:val="0"/>
        <w:autoSpaceDN w:val="0"/>
        <w:adjustRightInd w:val="0"/>
        <w:ind w:firstLine="720"/>
        <w:rPr>
          <w:sz w:val="26"/>
          <w:szCs w:val="26"/>
        </w:rPr>
      </w:pPr>
    </w:p>
    <w:p w:rsidR="007D690D" w:rsidRDefault="0034268C" w:rsidP="005F2322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As an initial matter, however, we wish to express our appreciation for</w:t>
      </w:r>
      <w:r w:rsidR="007D690D" w:rsidRPr="007D690D">
        <w:rPr>
          <w:sz w:val="26"/>
          <w:szCs w:val="26"/>
        </w:rPr>
        <w:t xml:space="preserve"> the efforts made by the </w:t>
      </w:r>
      <w:r w:rsidR="00A7606D">
        <w:rPr>
          <w:sz w:val="26"/>
          <w:szCs w:val="26"/>
        </w:rPr>
        <w:t>collaborative participants</w:t>
      </w:r>
      <w:r w:rsidR="00AB0AC0">
        <w:rPr>
          <w:sz w:val="26"/>
          <w:szCs w:val="26"/>
        </w:rPr>
        <w:t xml:space="preserve"> to date</w:t>
      </w:r>
      <w:r w:rsidR="00FC2896">
        <w:rPr>
          <w:sz w:val="26"/>
          <w:szCs w:val="26"/>
        </w:rPr>
        <w:t xml:space="preserve">.  However, </w:t>
      </w:r>
      <w:r w:rsidR="00B521E4">
        <w:rPr>
          <w:sz w:val="26"/>
          <w:szCs w:val="26"/>
        </w:rPr>
        <w:t xml:space="preserve">based upon PGW’s Status Report and the replies thereto, </w:t>
      </w:r>
      <w:r w:rsidR="00FC2896">
        <w:rPr>
          <w:sz w:val="26"/>
          <w:szCs w:val="26"/>
        </w:rPr>
        <w:t xml:space="preserve">it is the position of the Commission that a continuation of </w:t>
      </w:r>
      <w:r w:rsidR="00C834B9">
        <w:rPr>
          <w:sz w:val="26"/>
          <w:szCs w:val="26"/>
        </w:rPr>
        <w:t xml:space="preserve">the </w:t>
      </w:r>
      <w:r w:rsidR="007D690D" w:rsidRPr="007D690D">
        <w:rPr>
          <w:sz w:val="26"/>
          <w:szCs w:val="26"/>
        </w:rPr>
        <w:t>collaborative process</w:t>
      </w:r>
      <w:r w:rsidR="00474B3A">
        <w:rPr>
          <w:sz w:val="26"/>
          <w:szCs w:val="26"/>
        </w:rPr>
        <w:t>,</w:t>
      </w:r>
      <w:r w:rsidR="00B521E4">
        <w:rPr>
          <w:sz w:val="26"/>
          <w:szCs w:val="26"/>
        </w:rPr>
        <w:t xml:space="preserve"> under the current format</w:t>
      </w:r>
      <w:r w:rsidR="00474B3A">
        <w:rPr>
          <w:sz w:val="26"/>
          <w:szCs w:val="26"/>
        </w:rPr>
        <w:t>,</w:t>
      </w:r>
      <w:r w:rsidR="00B521E4">
        <w:rPr>
          <w:sz w:val="26"/>
          <w:szCs w:val="26"/>
        </w:rPr>
        <w:t xml:space="preserve"> will not be productive.  Notwithstanding, </w:t>
      </w:r>
      <w:r w:rsidR="007D690D" w:rsidRPr="007D690D">
        <w:rPr>
          <w:sz w:val="26"/>
          <w:szCs w:val="26"/>
        </w:rPr>
        <w:t xml:space="preserve">we believe that the adoption of </w:t>
      </w:r>
      <w:r w:rsidR="005C60B7">
        <w:rPr>
          <w:sz w:val="26"/>
          <w:szCs w:val="26"/>
        </w:rPr>
        <w:t xml:space="preserve">an </w:t>
      </w:r>
      <w:r w:rsidR="007D690D" w:rsidRPr="007D690D">
        <w:rPr>
          <w:sz w:val="26"/>
          <w:szCs w:val="26"/>
        </w:rPr>
        <w:t>alternative provider of last resort may still present the opportunity to reduce the risks and costs associated with PGW</w:t>
      </w:r>
      <w:r w:rsidR="00327DFD">
        <w:rPr>
          <w:sz w:val="26"/>
          <w:szCs w:val="26"/>
        </w:rPr>
        <w:t xml:space="preserve">’s </w:t>
      </w:r>
      <w:r w:rsidR="007D690D" w:rsidRPr="007D690D">
        <w:rPr>
          <w:sz w:val="26"/>
          <w:szCs w:val="26"/>
        </w:rPr>
        <w:t>operations.</w:t>
      </w:r>
    </w:p>
    <w:p w:rsidR="00EA5F6D" w:rsidRDefault="00EA5F6D" w:rsidP="007D690D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7D690D" w:rsidRDefault="00EA5F6D" w:rsidP="007D690D">
      <w:pPr>
        <w:pStyle w:val="Plain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While the Commission is cognizant of the </w:t>
      </w:r>
      <w:r w:rsidR="00C97E6C">
        <w:rPr>
          <w:rFonts w:ascii="Times New Roman" w:hAnsi="Times New Roman" w:cs="Times New Roman"/>
          <w:sz w:val="26"/>
          <w:szCs w:val="26"/>
        </w:rPr>
        <w:t xml:space="preserve">recent </w:t>
      </w:r>
      <w:r w:rsidR="007D690D" w:rsidRPr="007D690D">
        <w:rPr>
          <w:rFonts w:ascii="Times New Roman" w:hAnsi="Times New Roman" w:cs="Times New Roman"/>
          <w:sz w:val="26"/>
          <w:szCs w:val="26"/>
        </w:rPr>
        <w:t xml:space="preserve">improvements in </w:t>
      </w:r>
      <w:r w:rsidR="0023360A">
        <w:rPr>
          <w:rFonts w:ascii="Times New Roman" w:hAnsi="Times New Roman" w:cs="Times New Roman"/>
          <w:sz w:val="26"/>
          <w:szCs w:val="26"/>
        </w:rPr>
        <w:t xml:space="preserve">both </w:t>
      </w:r>
      <w:r w:rsidR="007D690D" w:rsidRPr="007D690D">
        <w:rPr>
          <w:rFonts w:ascii="Times New Roman" w:hAnsi="Times New Roman" w:cs="Times New Roman"/>
          <w:sz w:val="26"/>
          <w:szCs w:val="26"/>
        </w:rPr>
        <w:t xml:space="preserve">PGW’s operations and </w:t>
      </w:r>
      <w:r w:rsidR="0023360A">
        <w:rPr>
          <w:rFonts w:ascii="Times New Roman" w:hAnsi="Times New Roman" w:cs="Times New Roman"/>
          <w:sz w:val="26"/>
          <w:szCs w:val="26"/>
        </w:rPr>
        <w:t xml:space="preserve">PGW’s </w:t>
      </w:r>
      <w:r w:rsidR="007D690D" w:rsidRPr="007D690D">
        <w:rPr>
          <w:rFonts w:ascii="Times New Roman" w:hAnsi="Times New Roman" w:cs="Times New Roman"/>
          <w:sz w:val="26"/>
          <w:szCs w:val="26"/>
        </w:rPr>
        <w:t xml:space="preserve">financial status, </w:t>
      </w:r>
      <w:r>
        <w:rPr>
          <w:rFonts w:ascii="Times New Roman" w:hAnsi="Times New Roman" w:cs="Times New Roman"/>
          <w:sz w:val="26"/>
          <w:szCs w:val="26"/>
        </w:rPr>
        <w:t xml:space="preserve">we remain convinced that </w:t>
      </w:r>
      <w:r w:rsidR="00C97E6C">
        <w:rPr>
          <w:rFonts w:ascii="Times New Roman" w:hAnsi="Times New Roman" w:cs="Times New Roman"/>
          <w:sz w:val="26"/>
          <w:szCs w:val="26"/>
        </w:rPr>
        <w:t xml:space="preserve">it would be </w:t>
      </w:r>
      <w:r w:rsidR="005F2322">
        <w:rPr>
          <w:rFonts w:ascii="Times New Roman" w:hAnsi="Times New Roman" w:cs="Times New Roman"/>
          <w:sz w:val="26"/>
          <w:szCs w:val="26"/>
        </w:rPr>
        <w:t xml:space="preserve">reasonable and </w:t>
      </w:r>
      <w:r w:rsidR="007D690D" w:rsidRPr="007D690D">
        <w:rPr>
          <w:rFonts w:ascii="Times New Roman" w:hAnsi="Times New Roman" w:cs="Times New Roman"/>
          <w:sz w:val="26"/>
          <w:szCs w:val="26"/>
        </w:rPr>
        <w:t xml:space="preserve">prudent to consider an alternative supplier approach as part of a strategic plan for the company, </w:t>
      </w:r>
      <w:r w:rsidR="007D690D" w:rsidRPr="005C60B7">
        <w:rPr>
          <w:rFonts w:ascii="Times New Roman" w:hAnsi="Times New Roman" w:cs="Times New Roman"/>
          <w:i/>
          <w:sz w:val="26"/>
          <w:szCs w:val="26"/>
        </w:rPr>
        <w:t>if there is still interest by the suppliers.</w:t>
      </w:r>
      <w:r w:rsidR="00327DF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27DFD" w:rsidRPr="00327DFD">
        <w:rPr>
          <w:rFonts w:ascii="Times New Roman" w:hAnsi="Times New Roman" w:cs="Times New Roman"/>
          <w:sz w:val="26"/>
          <w:szCs w:val="26"/>
        </w:rPr>
        <w:t>Because</w:t>
      </w:r>
      <w:r w:rsidR="00327DFD">
        <w:rPr>
          <w:rFonts w:ascii="Times New Roman" w:hAnsi="Times New Roman" w:cs="Times New Roman"/>
          <w:sz w:val="26"/>
          <w:szCs w:val="26"/>
        </w:rPr>
        <w:t xml:space="preserve"> of th</w:t>
      </w:r>
      <w:r w:rsidR="00583014">
        <w:rPr>
          <w:rFonts w:ascii="Times New Roman" w:hAnsi="Times New Roman" w:cs="Times New Roman"/>
          <w:sz w:val="26"/>
          <w:szCs w:val="26"/>
        </w:rPr>
        <w:t xml:space="preserve">e </w:t>
      </w:r>
      <w:r w:rsidR="007D690D" w:rsidRPr="007D690D">
        <w:rPr>
          <w:rFonts w:ascii="Times New Roman" w:hAnsi="Times New Roman" w:cs="Times New Roman"/>
          <w:sz w:val="26"/>
          <w:szCs w:val="26"/>
        </w:rPr>
        <w:t xml:space="preserve">concerns raised by </w:t>
      </w:r>
      <w:r w:rsidR="00583014">
        <w:rPr>
          <w:rFonts w:ascii="Times New Roman" w:hAnsi="Times New Roman" w:cs="Times New Roman"/>
          <w:sz w:val="26"/>
          <w:szCs w:val="26"/>
        </w:rPr>
        <w:t xml:space="preserve">the collaborative </w:t>
      </w:r>
      <w:r w:rsidR="007D690D" w:rsidRPr="007D690D">
        <w:rPr>
          <w:rFonts w:ascii="Times New Roman" w:hAnsi="Times New Roman" w:cs="Times New Roman"/>
          <w:sz w:val="26"/>
          <w:szCs w:val="26"/>
        </w:rPr>
        <w:t xml:space="preserve">participants regarding the </w:t>
      </w:r>
      <w:r w:rsidR="00AB0AC0">
        <w:rPr>
          <w:rFonts w:ascii="Times New Roman" w:hAnsi="Times New Roman" w:cs="Times New Roman"/>
          <w:sz w:val="26"/>
          <w:szCs w:val="26"/>
        </w:rPr>
        <w:t xml:space="preserve">operation and </w:t>
      </w:r>
      <w:r w:rsidR="007D690D" w:rsidRPr="007D690D">
        <w:rPr>
          <w:rFonts w:ascii="Times New Roman" w:hAnsi="Times New Roman" w:cs="Times New Roman"/>
          <w:sz w:val="26"/>
          <w:szCs w:val="26"/>
        </w:rPr>
        <w:t>benefits of the Supplier Proposal, and its compliance with the least cost procurement standard</w:t>
      </w:r>
      <w:r w:rsidR="00583014">
        <w:rPr>
          <w:rFonts w:ascii="Times New Roman" w:hAnsi="Times New Roman" w:cs="Times New Roman"/>
          <w:sz w:val="26"/>
          <w:szCs w:val="26"/>
        </w:rPr>
        <w:t xml:space="preserve">, </w:t>
      </w:r>
      <w:r w:rsidR="007D690D" w:rsidRPr="007D690D">
        <w:rPr>
          <w:rFonts w:ascii="Times New Roman" w:hAnsi="Times New Roman" w:cs="Times New Roman"/>
          <w:sz w:val="26"/>
          <w:szCs w:val="26"/>
        </w:rPr>
        <w:t>we will refer the Supplier Proposal to the O</w:t>
      </w:r>
      <w:r w:rsidR="00C01514">
        <w:rPr>
          <w:rFonts w:ascii="Times New Roman" w:hAnsi="Times New Roman" w:cs="Times New Roman"/>
          <w:sz w:val="26"/>
          <w:szCs w:val="26"/>
        </w:rPr>
        <w:t>ffice of Administrative Law Judge (OALJ)</w:t>
      </w:r>
      <w:r w:rsidR="007D690D" w:rsidRPr="007D690D">
        <w:rPr>
          <w:rFonts w:ascii="Times New Roman" w:hAnsi="Times New Roman" w:cs="Times New Roman"/>
          <w:sz w:val="26"/>
          <w:szCs w:val="26"/>
        </w:rPr>
        <w:t xml:space="preserve"> for </w:t>
      </w:r>
      <w:r w:rsidR="00583014">
        <w:rPr>
          <w:rFonts w:ascii="Times New Roman" w:hAnsi="Times New Roman" w:cs="Times New Roman"/>
          <w:sz w:val="26"/>
          <w:szCs w:val="26"/>
        </w:rPr>
        <w:t>an on</w:t>
      </w:r>
      <w:r w:rsidR="00C01514">
        <w:rPr>
          <w:rFonts w:ascii="Times New Roman" w:hAnsi="Times New Roman" w:cs="Times New Roman"/>
          <w:sz w:val="26"/>
          <w:szCs w:val="26"/>
        </w:rPr>
        <w:t xml:space="preserve"> </w:t>
      </w:r>
      <w:r w:rsidR="00583014">
        <w:rPr>
          <w:rFonts w:ascii="Times New Roman" w:hAnsi="Times New Roman" w:cs="Times New Roman"/>
          <w:sz w:val="26"/>
          <w:szCs w:val="26"/>
        </w:rPr>
        <w:t xml:space="preserve">the record proceeding </w:t>
      </w:r>
      <w:r w:rsidR="007D690D" w:rsidRPr="007D690D">
        <w:rPr>
          <w:rFonts w:ascii="Times New Roman" w:hAnsi="Times New Roman" w:cs="Times New Roman"/>
          <w:sz w:val="26"/>
          <w:szCs w:val="26"/>
        </w:rPr>
        <w:t>in which the suppliers will bear the burden of proof.</w:t>
      </w:r>
    </w:p>
    <w:p w:rsidR="00C01514" w:rsidRPr="007D690D" w:rsidRDefault="00C01514" w:rsidP="007D690D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7D690D" w:rsidRDefault="007D690D" w:rsidP="007D690D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7D690D">
        <w:rPr>
          <w:rFonts w:ascii="Times New Roman" w:hAnsi="Times New Roman" w:cs="Times New Roman"/>
          <w:sz w:val="26"/>
          <w:szCs w:val="26"/>
        </w:rPr>
        <w:tab/>
        <w:t xml:space="preserve">If the suppliers wish to pursue the matter </w:t>
      </w:r>
      <w:r w:rsidR="00C01514">
        <w:rPr>
          <w:rFonts w:ascii="Times New Roman" w:hAnsi="Times New Roman" w:cs="Times New Roman"/>
          <w:sz w:val="26"/>
          <w:szCs w:val="26"/>
        </w:rPr>
        <w:t xml:space="preserve">before the </w:t>
      </w:r>
      <w:r w:rsidRPr="007D690D">
        <w:rPr>
          <w:rFonts w:ascii="Times New Roman" w:hAnsi="Times New Roman" w:cs="Times New Roman"/>
          <w:sz w:val="26"/>
          <w:szCs w:val="26"/>
        </w:rPr>
        <w:t>OALJ, the</w:t>
      </w:r>
      <w:r w:rsidR="00C01514">
        <w:rPr>
          <w:rFonts w:ascii="Times New Roman" w:hAnsi="Times New Roman" w:cs="Times New Roman"/>
          <w:sz w:val="26"/>
          <w:szCs w:val="26"/>
        </w:rPr>
        <w:t xml:space="preserve"> suppliers </w:t>
      </w:r>
      <w:r w:rsidRPr="007D690D">
        <w:rPr>
          <w:rFonts w:ascii="Times New Roman" w:hAnsi="Times New Roman" w:cs="Times New Roman"/>
          <w:sz w:val="26"/>
          <w:szCs w:val="26"/>
        </w:rPr>
        <w:t xml:space="preserve">should be prepared to supplement their proposal and provide evidence to address the following concerns and policy preferences of the Commission. </w:t>
      </w:r>
      <w:r w:rsidR="00941B88">
        <w:rPr>
          <w:rFonts w:ascii="Times New Roman" w:hAnsi="Times New Roman" w:cs="Times New Roman"/>
          <w:sz w:val="26"/>
          <w:szCs w:val="26"/>
        </w:rPr>
        <w:t xml:space="preserve"> </w:t>
      </w:r>
      <w:r w:rsidRPr="007D690D">
        <w:rPr>
          <w:rFonts w:ascii="Times New Roman" w:hAnsi="Times New Roman" w:cs="Times New Roman"/>
          <w:sz w:val="26"/>
          <w:szCs w:val="26"/>
        </w:rPr>
        <w:t>Specifically, the Supplier Proposal should:</w:t>
      </w:r>
    </w:p>
    <w:p w:rsidR="00F27DA5" w:rsidRPr="007D690D" w:rsidRDefault="00F27DA5" w:rsidP="007D690D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7D690D" w:rsidRDefault="007D690D" w:rsidP="00C01514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D690D">
        <w:rPr>
          <w:rFonts w:ascii="Times New Roman" w:hAnsi="Times New Roman" w:cs="Times New Roman"/>
          <w:sz w:val="26"/>
          <w:szCs w:val="26"/>
        </w:rPr>
        <w:t>Satisfy the least cost procurement requirements of the Public Utility Code</w:t>
      </w:r>
      <w:r w:rsidR="00941B88">
        <w:rPr>
          <w:rFonts w:ascii="Times New Roman" w:hAnsi="Times New Roman" w:cs="Times New Roman"/>
          <w:sz w:val="26"/>
          <w:szCs w:val="26"/>
        </w:rPr>
        <w:t>;</w:t>
      </w:r>
    </w:p>
    <w:p w:rsidR="007D690D" w:rsidRDefault="007D690D" w:rsidP="007D690D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00173">
        <w:rPr>
          <w:rFonts w:ascii="Times New Roman" w:hAnsi="Times New Roman" w:cs="Times New Roman"/>
          <w:sz w:val="26"/>
          <w:szCs w:val="26"/>
        </w:rPr>
        <w:t>Use a balanced supply portfolio that uses existing storage assets to level purchases and reduce seasonal volatility</w:t>
      </w:r>
      <w:r w:rsidR="00941B88">
        <w:rPr>
          <w:rFonts w:ascii="Times New Roman" w:hAnsi="Times New Roman" w:cs="Times New Roman"/>
          <w:sz w:val="26"/>
          <w:szCs w:val="26"/>
        </w:rPr>
        <w:t>;</w:t>
      </w:r>
    </w:p>
    <w:p w:rsidR="00600173" w:rsidRDefault="007D690D" w:rsidP="007D690D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00173">
        <w:rPr>
          <w:rFonts w:ascii="Times New Roman" w:hAnsi="Times New Roman" w:cs="Times New Roman"/>
          <w:sz w:val="26"/>
          <w:szCs w:val="26"/>
        </w:rPr>
        <w:t>Use a customer assignment process that results in a single clearing price paid by all members of the same customer class (e.g.</w:t>
      </w:r>
      <w:r w:rsidR="005F2322">
        <w:rPr>
          <w:rFonts w:ascii="Times New Roman" w:hAnsi="Times New Roman" w:cs="Times New Roman"/>
          <w:sz w:val="26"/>
          <w:szCs w:val="26"/>
        </w:rPr>
        <w:t>,</w:t>
      </w:r>
      <w:r w:rsidRPr="00600173">
        <w:rPr>
          <w:rFonts w:ascii="Times New Roman" w:hAnsi="Times New Roman" w:cs="Times New Roman"/>
          <w:sz w:val="26"/>
          <w:szCs w:val="26"/>
        </w:rPr>
        <w:t xml:space="preserve"> such as a declining block auction used in default service electric procurements)</w:t>
      </w:r>
      <w:r w:rsidR="00941B88">
        <w:rPr>
          <w:rFonts w:ascii="Times New Roman" w:hAnsi="Times New Roman" w:cs="Times New Roman"/>
          <w:sz w:val="26"/>
          <w:szCs w:val="26"/>
        </w:rPr>
        <w:t>;</w:t>
      </w:r>
    </w:p>
    <w:p w:rsidR="00600173" w:rsidRDefault="007D690D" w:rsidP="007D690D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00173">
        <w:rPr>
          <w:rFonts w:ascii="Times New Roman" w:hAnsi="Times New Roman" w:cs="Times New Roman"/>
          <w:sz w:val="26"/>
          <w:szCs w:val="26"/>
        </w:rPr>
        <w:t>Include a detailed implementation plan for review by all parties</w:t>
      </w:r>
      <w:r w:rsidR="00941B88">
        <w:rPr>
          <w:rFonts w:ascii="Times New Roman" w:hAnsi="Times New Roman" w:cs="Times New Roman"/>
          <w:sz w:val="26"/>
          <w:szCs w:val="26"/>
        </w:rPr>
        <w:t>;</w:t>
      </w:r>
    </w:p>
    <w:p w:rsidR="005E1AB9" w:rsidRPr="00AB0AC0" w:rsidRDefault="007D690D" w:rsidP="007D690D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600173">
        <w:rPr>
          <w:rFonts w:ascii="Times New Roman" w:hAnsi="Times New Roman" w:cs="Times New Roman"/>
          <w:sz w:val="26"/>
          <w:szCs w:val="26"/>
        </w:rPr>
        <w:t xml:space="preserve">Include contingency plans for what happens to affected customers if an alternative supplier defaults on its obligation. </w:t>
      </w:r>
      <w:r w:rsidR="00941B88">
        <w:rPr>
          <w:rFonts w:ascii="Times New Roman" w:hAnsi="Times New Roman" w:cs="Times New Roman"/>
          <w:sz w:val="26"/>
          <w:szCs w:val="26"/>
        </w:rPr>
        <w:t xml:space="preserve"> </w:t>
      </w:r>
      <w:r w:rsidRPr="00600173">
        <w:rPr>
          <w:rFonts w:ascii="Times New Roman" w:hAnsi="Times New Roman" w:cs="Times New Roman"/>
          <w:sz w:val="26"/>
          <w:szCs w:val="26"/>
        </w:rPr>
        <w:t>For example, the affected customers could be reassigned to the remaining suppliers</w:t>
      </w:r>
      <w:r w:rsidR="00AB0AC0">
        <w:rPr>
          <w:rFonts w:ascii="Times New Roman" w:hAnsi="Times New Roman" w:cs="Times New Roman"/>
          <w:sz w:val="26"/>
          <w:szCs w:val="26"/>
        </w:rPr>
        <w:t>.</w:t>
      </w:r>
    </w:p>
    <w:p w:rsidR="00C834B9" w:rsidRDefault="00C834B9" w:rsidP="00EC2AC3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23360A" w:rsidRDefault="000053A2" w:rsidP="005E1AB9">
      <w:pPr>
        <w:pStyle w:val="PlainText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Finally, t</w:t>
      </w:r>
      <w:r w:rsidR="007D690D" w:rsidRPr="007D690D">
        <w:rPr>
          <w:rFonts w:ascii="Times New Roman" w:hAnsi="Times New Roman" w:cs="Times New Roman"/>
          <w:sz w:val="26"/>
          <w:szCs w:val="26"/>
        </w:rPr>
        <w:t>he parties are encouraged to work cooperatively, and pursue reasonable opportunities for settlement.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D690D" w:rsidRPr="007D690D">
        <w:rPr>
          <w:rFonts w:ascii="Times New Roman" w:hAnsi="Times New Roman" w:cs="Times New Roman"/>
          <w:sz w:val="26"/>
          <w:szCs w:val="26"/>
        </w:rPr>
        <w:t>If the suppliers do</w:t>
      </w:r>
      <w:r>
        <w:rPr>
          <w:rFonts w:ascii="Times New Roman" w:hAnsi="Times New Roman" w:cs="Times New Roman"/>
          <w:sz w:val="26"/>
          <w:szCs w:val="26"/>
        </w:rPr>
        <w:t xml:space="preserve"> not</w:t>
      </w:r>
      <w:r w:rsidR="007D690D" w:rsidRPr="007D690D">
        <w:rPr>
          <w:rFonts w:ascii="Times New Roman" w:hAnsi="Times New Roman" w:cs="Times New Roman"/>
          <w:sz w:val="26"/>
          <w:szCs w:val="26"/>
        </w:rPr>
        <w:t xml:space="preserve"> wish to pursue </w:t>
      </w:r>
      <w:r w:rsidR="005E1AB9">
        <w:rPr>
          <w:rFonts w:ascii="Times New Roman" w:hAnsi="Times New Roman" w:cs="Times New Roman"/>
          <w:sz w:val="26"/>
          <w:szCs w:val="26"/>
        </w:rPr>
        <w:t xml:space="preserve">this matter before </w:t>
      </w:r>
      <w:r w:rsidR="00570F3D">
        <w:rPr>
          <w:rFonts w:ascii="Times New Roman" w:hAnsi="Times New Roman" w:cs="Times New Roman"/>
          <w:sz w:val="26"/>
          <w:szCs w:val="26"/>
        </w:rPr>
        <w:t xml:space="preserve">the </w:t>
      </w:r>
      <w:r w:rsidR="00570F3D" w:rsidRPr="007D690D">
        <w:rPr>
          <w:rFonts w:ascii="Times New Roman" w:hAnsi="Times New Roman" w:cs="Times New Roman"/>
          <w:sz w:val="26"/>
          <w:szCs w:val="26"/>
        </w:rPr>
        <w:t>OALJ</w:t>
      </w:r>
      <w:r w:rsidR="005E1AB9">
        <w:rPr>
          <w:rFonts w:ascii="Times New Roman" w:hAnsi="Times New Roman" w:cs="Times New Roman"/>
          <w:sz w:val="26"/>
          <w:szCs w:val="26"/>
        </w:rPr>
        <w:t>,</w:t>
      </w:r>
      <w:r w:rsidR="007D690D" w:rsidRPr="007D690D">
        <w:rPr>
          <w:rFonts w:ascii="Times New Roman" w:hAnsi="Times New Roman" w:cs="Times New Roman"/>
          <w:sz w:val="26"/>
          <w:szCs w:val="26"/>
        </w:rPr>
        <w:t xml:space="preserve"> the</w:t>
      </w:r>
      <w:r>
        <w:rPr>
          <w:rFonts w:ascii="Times New Roman" w:hAnsi="Times New Roman" w:cs="Times New Roman"/>
          <w:sz w:val="26"/>
          <w:szCs w:val="26"/>
        </w:rPr>
        <w:t xml:space="preserve"> suppliers </w:t>
      </w:r>
      <w:r w:rsidR="007D690D" w:rsidRPr="007D690D">
        <w:rPr>
          <w:rFonts w:ascii="Times New Roman" w:hAnsi="Times New Roman" w:cs="Times New Roman"/>
          <w:sz w:val="26"/>
          <w:szCs w:val="26"/>
        </w:rPr>
        <w:t xml:space="preserve">should advise the Commission by </w:t>
      </w:r>
      <w:r w:rsidR="005F023B" w:rsidRPr="005F023B">
        <w:rPr>
          <w:rFonts w:ascii="Times New Roman" w:hAnsi="Times New Roman" w:cs="Times New Roman"/>
          <w:b/>
          <w:sz w:val="26"/>
          <w:szCs w:val="26"/>
        </w:rPr>
        <w:t>May 13, 2011</w:t>
      </w:r>
      <w:r w:rsidR="007D690D" w:rsidRPr="007D690D">
        <w:rPr>
          <w:rFonts w:ascii="Times New Roman" w:hAnsi="Times New Roman" w:cs="Times New Roman"/>
          <w:sz w:val="26"/>
          <w:szCs w:val="26"/>
        </w:rPr>
        <w:t>, and the proceeding will be marked closed.</w:t>
      </w:r>
      <w:r w:rsidR="005C60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360A" w:rsidRDefault="0023360A" w:rsidP="005E1AB9">
      <w:pPr>
        <w:pStyle w:val="PlainText"/>
        <w:ind w:firstLine="720"/>
        <w:rPr>
          <w:rFonts w:ascii="Times New Roman" w:hAnsi="Times New Roman" w:cs="Times New Roman"/>
          <w:sz w:val="26"/>
          <w:szCs w:val="26"/>
        </w:rPr>
      </w:pPr>
    </w:p>
    <w:p w:rsidR="007D690D" w:rsidRPr="007D690D" w:rsidRDefault="0023360A" w:rsidP="005E1AB9">
      <w:pPr>
        <w:pStyle w:val="PlainText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contact person for this</w:t>
      </w:r>
      <w:r w:rsidR="00F9160C">
        <w:rPr>
          <w:rFonts w:ascii="Times New Roman" w:hAnsi="Times New Roman" w:cs="Times New Roman"/>
          <w:sz w:val="26"/>
          <w:szCs w:val="26"/>
        </w:rPr>
        <w:t xml:space="preserve"> matter is Assistant Counsel Stanley E. Brown, 717</w:t>
      </w:r>
      <w:r w:rsidR="00F8108A">
        <w:rPr>
          <w:rFonts w:ascii="Times New Roman" w:hAnsi="Times New Roman" w:cs="Times New Roman"/>
          <w:sz w:val="26"/>
          <w:szCs w:val="26"/>
        </w:rPr>
        <w:noBreakHyphen/>
      </w:r>
      <w:r w:rsidR="00F9160C">
        <w:rPr>
          <w:rFonts w:ascii="Times New Roman" w:hAnsi="Times New Roman" w:cs="Times New Roman"/>
          <w:sz w:val="26"/>
          <w:szCs w:val="26"/>
        </w:rPr>
        <w:t>783-3968.</w:t>
      </w:r>
      <w:r w:rsidR="005C60B7">
        <w:rPr>
          <w:rFonts w:ascii="Times New Roman" w:hAnsi="Times New Roman" w:cs="Times New Roman"/>
          <w:sz w:val="26"/>
          <w:szCs w:val="26"/>
        </w:rPr>
        <w:t xml:space="preserve">    </w:t>
      </w:r>
      <w:r w:rsidR="007D690D" w:rsidRPr="007D690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B724D" w:rsidRDefault="004B724D" w:rsidP="009276F9">
      <w:pPr>
        <w:autoSpaceDE w:val="0"/>
        <w:autoSpaceDN w:val="0"/>
        <w:adjustRightInd w:val="0"/>
        <w:rPr>
          <w:sz w:val="26"/>
          <w:szCs w:val="26"/>
        </w:rPr>
      </w:pPr>
    </w:p>
    <w:p w:rsidR="0004499C" w:rsidRPr="00072012" w:rsidRDefault="0004499C" w:rsidP="006A1199">
      <w:pPr>
        <w:ind w:firstLine="720"/>
        <w:rPr>
          <w:sz w:val="22"/>
          <w:szCs w:val="22"/>
        </w:rPr>
      </w:pPr>
    </w:p>
    <w:p w:rsidR="00A47984" w:rsidRPr="007D690D" w:rsidRDefault="005F023B" w:rsidP="00A47984">
      <w:pPr>
        <w:rPr>
          <w:sz w:val="26"/>
          <w:szCs w:val="26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25400</wp:posOffset>
            </wp:positionV>
            <wp:extent cx="2200275" cy="838200"/>
            <wp:effectExtent l="19050" t="0" r="9525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595C" w:rsidRPr="00072012">
        <w:rPr>
          <w:sz w:val="22"/>
          <w:szCs w:val="22"/>
        </w:rPr>
        <w:tab/>
      </w:r>
      <w:r w:rsidR="0026595C" w:rsidRPr="00072012">
        <w:rPr>
          <w:sz w:val="22"/>
          <w:szCs w:val="22"/>
        </w:rPr>
        <w:tab/>
      </w:r>
      <w:r w:rsidR="0026595C" w:rsidRPr="00072012">
        <w:rPr>
          <w:sz w:val="22"/>
          <w:szCs w:val="22"/>
        </w:rPr>
        <w:tab/>
      </w:r>
      <w:r w:rsidR="0026595C" w:rsidRPr="00072012">
        <w:rPr>
          <w:sz w:val="22"/>
          <w:szCs w:val="22"/>
        </w:rPr>
        <w:tab/>
      </w:r>
      <w:r w:rsidR="0026595C" w:rsidRPr="00072012">
        <w:rPr>
          <w:sz w:val="22"/>
          <w:szCs w:val="22"/>
        </w:rPr>
        <w:tab/>
      </w:r>
      <w:r w:rsidR="0026595C" w:rsidRPr="00072012">
        <w:rPr>
          <w:sz w:val="22"/>
          <w:szCs w:val="22"/>
        </w:rPr>
        <w:tab/>
      </w:r>
      <w:r w:rsidR="0026595C" w:rsidRPr="00072012">
        <w:rPr>
          <w:sz w:val="22"/>
          <w:szCs w:val="22"/>
        </w:rPr>
        <w:tab/>
      </w:r>
      <w:r w:rsidR="00F8108A">
        <w:rPr>
          <w:sz w:val="26"/>
          <w:szCs w:val="26"/>
        </w:rPr>
        <w:t>Sincerely</w:t>
      </w:r>
      <w:r w:rsidR="00A47984" w:rsidRPr="007D690D">
        <w:rPr>
          <w:sz w:val="26"/>
          <w:szCs w:val="26"/>
        </w:rPr>
        <w:t>,</w:t>
      </w:r>
    </w:p>
    <w:p w:rsidR="00A47984" w:rsidRPr="007D690D" w:rsidRDefault="00A47984" w:rsidP="00A47984">
      <w:pPr>
        <w:rPr>
          <w:sz w:val="26"/>
          <w:szCs w:val="26"/>
        </w:rPr>
      </w:pPr>
    </w:p>
    <w:p w:rsidR="00A47984" w:rsidRDefault="00A47984" w:rsidP="00A47984">
      <w:pPr>
        <w:rPr>
          <w:sz w:val="26"/>
          <w:szCs w:val="26"/>
        </w:rPr>
      </w:pPr>
    </w:p>
    <w:p w:rsidR="005C4450" w:rsidRPr="007D690D" w:rsidRDefault="005C4450" w:rsidP="00A47984">
      <w:pPr>
        <w:rPr>
          <w:sz w:val="26"/>
          <w:szCs w:val="26"/>
        </w:rPr>
      </w:pPr>
    </w:p>
    <w:p w:rsidR="00A47984" w:rsidRPr="007D690D" w:rsidRDefault="00A47984" w:rsidP="00A47984">
      <w:pPr>
        <w:rPr>
          <w:sz w:val="26"/>
          <w:szCs w:val="26"/>
        </w:rPr>
      </w:pPr>
      <w:r w:rsidRPr="007D690D">
        <w:rPr>
          <w:sz w:val="26"/>
          <w:szCs w:val="26"/>
        </w:rPr>
        <w:tab/>
      </w:r>
      <w:r w:rsidRPr="007D690D">
        <w:rPr>
          <w:sz w:val="26"/>
          <w:szCs w:val="26"/>
        </w:rPr>
        <w:tab/>
      </w:r>
      <w:r w:rsidRPr="007D690D">
        <w:rPr>
          <w:sz w:val="26"/>
          <w:szCs w:val="26"/>
        </w:rPr>
        <w:tab/>
      </w:r>
      <w:r w:rsidRPr="007D690D">
        <w:rPr>
          <w:sz w:val="26"/>
          <w:szCs w:val="26"/>
        </w:rPr>
        <w:tab/>
      </w:r>
      <w:r w:rsidRPr="007D690D">
        <w:rPr>
          <w:sz w:val="26"/>
          <w:szCs w:val="26"/>
        </w:rPr>
        <w:tab/>
      </w:r>
      <w:r w:rsidRPr="007D690D">
        <w:rPr>
          <w:sz w:val="26"/>
          <w:szCs w:val="26"/>
        </w:rPr>
        <w:tab/>
      </w:r>
      <w:r w:rsidRPr="007D690D">
        <w:rPr>
          <w:sz w:val="26"/>
          <w:szCs w:val="26"/>
        </w:rPr>
        <w:tab/>
      </w:r>
      <w:r w:rsidR="00CE69C3" w:rsidRPr="007D690D">
        <w:rPr>
          <w:sz w:val="26"/>
          <w:szCs w:val="26"/>
        </w:rPr>
        <w:t>Rosemary Chiavetta</w:t>
      </w:r>
    </w:p>
    <w:p w:rsidR="00A47984" w:rsidRPr="007D690D" w:rsidRDefault="00A47984" w:rsidP="00A47984">
      <w:pPr>
        <w:rPr>
          <w:sz w:val="26"/>
          <w:szCs w:val="26"/>
        </w:rPr>
      </w:pPr>
      <w:r w:rsidRPr="007D690D">
        <w:rPr>
          <w:sz w:val="26"/>
          <w:szCs w:val="26"/>
        </w:rPr>
        <w:tab/>
      </w:r>
      <w:r w:rsidRPr="007D690D">
        <w:rPr>
          <w:sz w:val="26"/>
          <w:szCs w:val="26"/>
        </w:rPr>
        <w:tab/>
      </w:r>
      <w:r w:rsidRPr="007D690D">
        <w:rPr>
          <w:sz w:val="26"/>
          <w:szCs w:val="26"/>
        </w:rPr>
        <w:tab/>
      </w:r>
      <w:r w:rsidRPr="007D690D">
        <w:rPr>
          <w:sz w:val="26"/>
          <w:szCs w:val="26"/>
        </w:rPr>
        <w:tab/>
      </w:r>
      <w:r w:rsidRPr="007D690D">
        <w:rPr>
          <w:sz w:val="26"/>
          <w:szCs w:val="26"/>
        </w:rPr>
        <w:tab/>
      </w:r>
      <w:r w:rsidRPr="007D690D">
        <w:rPr>
          <w:sz w:val="26"/>
          <w:szCs w:val="26"/>
        </w:rPr>
        <w:tab/>
      </w:r>
      <w:r w:rsidRPr="007D690D">
        <w:rPr>
          <w:sz w:val="26"/>
          <w:szCs w:val="26"/>
        </w:rPr>
        <w:tab/>
        <w:t>Secretary</w:t>
      </w:r>
    </w:p>
    <w:p w:rsidR="00387B02" w:rsidRPr="007D690D" w:rsidRDefault="00387B02" w:rsidP="00A47984">
      <w:pPr>
        <w:rPr>
          <w:sz w:val="26"/>
          <w:szCs w:val="26"/>
        </w:rPr>
      </w:pPr>
    </w:p>
    <w:p w:rsidR="00BA2687" w:rsidRPr="007D690D" w:rsidRDefault="00BA2687" w:rsidP="00A47984">
      <w:pPr>
        <w:rPr>
          <w:sz w:val="26"/>
          <w:szCs w:val="26"/>
        </w:rPr>
      </w:pPr>
    </w:p>
    <w:p w:rsidR="005213C2" w:rsidRPr="007D690D" w:rsidRDefault="00387B02" w:rsidP="00BA2687">
      <w:pPr>
        <w:rPr>
          <w:sz w:val="26"/>
          <w:szCs w:val="26"/>
        </w:rPr>
      </w:pPr>
      <w:r w:rsidRPr="007D690D">
        <w:rPr>
          <w:sz w:val="26"/>
          <w:szCs w:val="26"/>
        </w:rPr>
        <w:t>cc:</w:t>
      </w:r>
      <w:r w:rsidRPr="007D690D">
        <w:rPr>
          <w:sz w:val="26"/>
          <w:szCs w:val="26"/>
        </w:rPr>
        <w:tab/>
      </w:r>
      <w:r w:rsidR="005213C2" w:rsidRPr="007D690D">
        <w:rPr>
          <w:sz w:val="26"/>
          <w:szCs w:val="26"/>
        </w:rPr>
        <w:t>All Parties of Record</w:t>
      </w:r>
      <w:r w:rsidR="00513F0C" w:rsidRPr="007D690D">
        <w:rPr>
          <w:sz w:val="26"/>
          <w:szCs w:val="26"/>
        </w:rPr>
        <w:t xml:space="preserve"> </w:t>
      </w:r>
      <w:r w:rsidR="00150491">
        <w:rPr>
          <w:sz w:val="26"/>
          <w:szCs w:val="26"/>
        </w:rPr>
        <w:t xml:space="preserve">at </w:t>
      </w:r>
      <w:r w:rsidR="00C20AE8">
        <w:rPr>
          <w:sz w:val="26"/>
          <w:szCs w:val="26"/>
        </w:rPr>
        <w:t xml:space="preserve">Docket No. </w:t>
      </w:r>
      <w:r w:rsidR="00150491">
        <w:rPr>
          <w:sz w:val="26"/>
          <w:szCs w:val="26"/>
        </w:rPr>
        <w:t>R-2008-2073938</w:t>
      </w:r>
    </w:p>
    <w:p w:rsidR="009276F9" w:rsidRDefault="009276F9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All Parties of Record at </w:t>
      </w:r>
      <w:r w:rsidR="00C20AE8">
        <w:rPr>
          <w:sz w:val="26"/>
          <w:szCs w:val="26"/>
        </w:rPr>
        <w:t>Docket No. R-2009-2139884</w:t>
      </w:r>
    </w:p>
    <w:p w:rsidR="00C20AE8" w:rsidRDefault="00C20AE8">
      <w:pPr>
        <w:ind w:firstLine="720"/>
        <w:rPr>
          <w:sz w:val="26"/>
          <w:szCs w:val="26"/>
        </w:rPr>
      </w:pPr>
      <w:r>
        <w:rPr>
          <w:sz w:val="26"/>
          <w:szCs w:val="26"/>
        </w:rPr>
        <w:t>Karen Moury</w:t>
      </w:r>
      <w:r w:rsidR="004144FE">
        <w:rPr>
          <w:sz w:val="26"/>
          <w:szCs w:val="26"/>
        </w:rPr>
        <w:t>, Director of Operations</w:t>
      </w:r>
    </w:p>
    <w:p w:rsidR="006F0188" w:rsidRPr="007D690D" w:rsidRDefault="004144FE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Charles Rainey, </w:t>
      </w:r>
      <w:r w:rsidR="00C20AE8">
        <w:rPr>
          <w:sz w:val="26"/>
          <w:szCs w:val="26"/>
        </w:rPr>
        <w:t xml:space="preserve">Chief </w:t>
      </w:r>
      <w:r w:rsidR="005213C2" w:rsidRPr="007D690D">
        <w:rPr>
          <w:sz w:val="26"/>
          <w:szCs w:val="26"/>
        </w:rPr>
        <w:t>Administrative Law Judge</w:t>
      </w:r>
      <w:r w:rsidR="00C20AE8">
        <w:rPr>
          <w:sz w:val="26"/>
          <w:szCs w:val="26"/>
        </w:rPr>
        <w:t xml:space="preserve"> </w:t>
      </w:r>
    </w:p>
    <w:p w:rsidR="00387B02" w:rsidRDefault="00BA2687" w:rsidP="00A47984">
      <w:pPr>
        <w:rPr>
          <w:sz w:val="26"/>
          <w:szCs w:val="26"/>
        </w:rPr>
      </w:pPr>
      <w:r w:rsidRPr="007D690D">
        <w:rPr>
          <w:sz w:val="26"/>
          <w:szCs w:val="26"/>
        </w:rPr>
        <w:tab/>
        <w:t>Kathy Aunkst</w:t>
      </w:r>
      <w:r w:rsidR="00213E79">
        <w:rPr>
          <w:sz w:val="26"/>
          <w:szCs w:val="26"/>
        </w:rPr>
        <w:t>, Secretary</w:t>
      </w:r>
      <w:r w:rsidR="00F8108A">
        <w:rPr>
          <w:sz w:val="26"/>
          <w:szCs w:val="26"/>
        </w:rPr>
        <w:t>’s</w:t>
      </w:r>
      <w:r w:rsidR="00213E79">
        <w:rPr>
          <w:sz w:val="26"/>
          <w:szCs w:val="26"/>
        </w:rPr>
        <w:t xml:space="preserve"> Bureau</w:t>
      </w:r>
    </w:p>
    <w:p w:rsidR="007F5E2A" w:rsidRPr="007D690D" w:rsidRDefault="005C60B7">
      <w:pPr>
        <w:rPr>
          <w:sz w:val="26"/>
          <w:szCs w:val="26"/>
        </w:rPr>
      </w:pPr>
      <w:r>
        <w:rPr>
          <w:sz w:val="26"/>
          <w:szCs w:val="26"/>
        </w:rPr>
        <w:tab/>
        <w:t>Stanley E. Brown</w:t>
      </w:r>
      <w:r w:rsidR="00213E79">
        <w:rPr>
          <w:sz w:val="26"/>
          <w:szCs w:val="26"/>
        </w:rPr>
        <w:t>, Assistant Counsel</w:t>
      </w:r>
    </w:p>
    <w:sectPr w:rsidR="007F5E2A" w:rsidRPr="007D690D" w:rsidSect="00A44632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27E" w:rsidRDefault="0071627E">
      <w:r>
        <w:separator/>
      </w:r>
    </w:p>
  </w:endnote>
  <w:endnote w:type="continuationSeparator" w:id="0">
    <w:p w:rsidR="0071627E" w:rsidRDefault="00716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33407"/>
      <w:docPartObj>
        <w:docPartGallery w:val="Page Numbers (Bottom of Page)"/>
        <w:docPartUnique/>
      </w:docPartObj>
    </w:sdtPr>
    <w:sdtContent>
      <w:p w:rsidR="00F8108A" w:rsidRDefault="00500DF8">
        <w:pPr>
          <w:pStyle w:val="Footer"/>
          <w:jc w:val="center"/>
        </w:pPr>
        <w:fldSimple w:instr=" PAGE   \* MERGEFORMAT ">
          <w:r w:rsidR="005F023B">
            <w:rPr>
              <w:noProof/>
            </w:rPr>
            <w:t>3</w:t>
          </w:r>
        </w:fldSimple>
      </w:p>
    </w:sdtContent>
  </w:sdt>
  <w:p w:rsidR="00F8108A" w:rsidRDefault="00F810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27E" w:rsidRDefault="0071627E">
      <w:r>
        <w:separator/>
      </w:r>
    </w:p>
  </w:footnote>
  <w:footnote w:type="continuationSeparator" w:id="0">
    <w:p w:rsidR="0071627E" w:rsidRDefault="00716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927" w:rsidRPr="0076371A" w:rsidRDefault="007D1927" w:rsidP="007637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F1199C"/>
    <w:multiLevelType w:val="hybridMultilevel"/>
    <w:tmpl w:val="50264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75B3CE2"/>
    <w:multiLevelType w:val="hybridMultilevel"/>
    <w:tmpl w:val="F500B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60513"/>
    <w:rsid w:val="000053A2"/>
    <w:rsid w:val="0000780F"/>
    <w:rsid w:val="000369A4"/>
    <w:rsid w:val="0004499C"/>
    <w:rsid w:val="00060513"/>
    <w:rsid w:val="000645C8"/>
    <w:rsid w:val="00066EEA"/>
    <w:rsid w:val="00072012"/>
    <w:rsid w:val="00076251"/>
    <w:rsid w:val="00076C43"/>
    <w:rsid w:val="00082382"/>
    <w:rsid w:val="000A3005"/>
    <w:rsid w:val="000D09B4"/>
    <w:rsid w:val="000E44C3"/>
    <w:rsid w:val="000F35A7"/>
    <w:rsid w:val="000F4C11"/>
    <w:rsid w:val="00102FDF"/>
    <w:rsid w:val="00127FC9"/>
    <w:rsid w:val="0013144A"/>
    <w:rsid w:val="00150491"/>
    <w:rsid w:val="00163748"/>
    <w:rsid w:val="001663A3"/>
    <w:rsid w:val="00166AE2"/>
    <w:rsid w:val="001705D5"/>
    <w:rsid w:val="00175006"/>
    <w:rsid w:val="001841D1"/>
    <w:rsid w:val="001860C3"/>
    <w:rsid w:val="001A3151"/>
    <w:rsid w:val="001C51E9"/>
    <w:rsid w:val="001D01B6"/>
    <w:rsid w:val="001D21AB"/>
    <w:rsid w:val="001F4960"/>
    <w:rsid w:val="00203181"/>
    <w:rsid w:val="00210130"/>
    <w:rsid w:val="00213E79"/>
    <w:rsid w:val="00216911"/>
    <w:rsid w:val="00226953"/>
    <w:rsid w:val="00232CEC"/>
    <w:rsid w:val="0023360A"/>
    <w:rsid w:val="0023484F"/>
    <w:rsid w:val="00252BF3"/>
    <w:rsid w:val="0025583A"/>
    <w:rsid w:val="0026595C"/>
    <w:rsid w:val="002822D1"/>
    <w:rsid w:val="00284A42"/>
    <w:rsid w:val="00287D45"/>
    <w:rsid w:val="002929C4"/>
    <w:rsid w:val="00292FA7"/>
    <w:rsid w:val="002A2908"/>
    <w:rsid w:val="002B40CC"/>
    <w:rsid w:val="002D18A7"/>
    <w:rsid w:val="002D5865"/>
    <w:rsid w:val="002F6EE0"/>
    <w:rsid w:val="002F7637"/>
    <w:rsid w:val="00310CDC"/>
    <w:rsid w:val="00316EB1"/>
    <w:rsid w:val="00327DFD"/>
    <w:rsid w:val="003332A2"/>
    <w:rsid w:val="00335EBF"/>
    <w:rsid w:val="00342391"/>
    <w:rsid w:val="0034268C"/>
    <w:rsid w:val="00361C15"/>
    <w:rsid w:val="00362EBA"/>
    <w:rsid w:val="003655C2"/>
    <w:rsid w:val="003755BE"/>
    <w:rsid w:val="00387B02"/>
    <w:rsid w:val="00392976"/>
    <w:rsid w:val="003D135F"/>
    <w:rsid w:val="003D3D79"/>
    <w:rsid w:val="003E1941"/>
    <w:rsid w:val="003E4271"/>
    <w:rsid w:val="003E4694"/>
    <w:rsid w:val="00407DA9"/>
    <w:rsid w:val="004144FE"/>
    <w:rsid w:val="00423E15"/>
    <w:rsid w:val="00432DC0"/>
    <w:rsid w:val="00437120"/>
    <w:rsid w:val="00437F51"/>
    <w:rsid w:val="00443238"/>
    <w:rsid w:val="00445B19"/>
    <w:rsid w:val="00456521"/>
    <w:rsid w:val="00456DCC"/>
    <w:rsid w:val="00474B3A"/>
    <w:rsid w:val="004B0EA3"/>
    <w:rsid w:val="004B1305"/>
    <w:rsid w:val="004B724D"/>
    <w:rsid w:val="004C3EC8"/>
    <w:rsid w:val="004C4E75"/>
    <w:rsid w:val="004E6632"/>
    <w:rsid w:val="00500DF8"/>
    <w:rsid w:val="00513F0C"/>
    <w:rsid w:val="0051429D"/>
    <w:rsid w:val="005213C2"/>
    <w:rsid w:val="00522CCA"/>
    <w:rsid w:val="00530AA0"/>
    <w:rsid w:val="005365D1"/>
    <w:rsid w:val="0054427A"/>
    <w:rsid w:val="00553C39"/>
    <w:rsid w:val="005542AD"/>
    <w:rsid w:val="00570F3D"/>
    <w:rsid w:val="00577217"/>
    <w:rsid w:val="00583014"/>
    <w:rsid w:val="00583DC1"/>
    <w:rsid w:val="00590367"/>
    <w:rsid w:val="005935A5"/>
    <w:rsid w:val="005B3019"/>
    <w:rsid w:val="005B4F4D"/>
    <w:rsid w:val="005C4450"/>
    <w:rsid w:val="005C60B7"/>
    <w:rsid w:val="005E1AB9"/>
    <w:rsid w:val="005E2749"/>
    <w:rsid w:val="005F023B"/>
    <w:rsid w:val="005F2322"/>
    <w:rsid w:val="005F397B"/>
    <w:rsid w:val="00600173"/>
    <w:rsid w:val="00624C0A"/>
    <w:rsid w:val="00637A19"/>
    <w:rsid w:val="00642F58"/>
    <w:rsid w:val="0065334F"/>
    <w:rsid w:val="00654DEF"/>
    <w:rsid w:val="0065702C"/>
    <w:rsid w:val="00675332"/>
    <w:rsid w:val="006762BE"/>
    <w:rsid w:val="0068001A"/>
    <w:rsid w:val="00683F41"/>
    <w:rsid w:val="0068643D"/>
    <w:rsid w:val="0069129E"/>
    <w:rsid w:val="006A1199"/>
    <w:rsid w:val="006A64E0"/>
    <w:rsid w:val="006B5F3E"/>
    <w:rsid w:val="006C33B5"/>
    <w:rsid w:val="006D299B"/>
    <w:rsid w:val="006E0AEC"/>
    <w:rsid w:val="006E709B"/>
    <w:rsid w:val="006F0188"/>
    <w:rsid w:val="006F1649"/>
    <w:rsid w:val="006F5891"/>
    <w:rsid w:val="00703033"/>
    <w:rsid w:val="0071627E"/>
    <w:rsid w:val="00732CC7"/>
    <w:rsid w:val="007349CC"/>
    <w:rsid w:val="00743FAC"/>
    <w:rsid w:val="00760FFA"/>
    <w:rsid w:val="0076371A"/>
    <w:rsid w:val="00775526"/>
    <w:rsid w:val="00791CA9"/>
    <w:rsid w:val="007A0F10"/>
    <w:rsid w:val="007A35BE"/>
    <w:rsid w:val="007B0AE6"/>
    <w:rsid w:val="007B6B40"/>
    <w:rsid w:val="007C3E02"/>
    <w:rsid w:val="007D1927"/>
    <w:rsid w:val="007D690D"/>
    <w:rsid w:val="007E1524"/>
    <w:rsid w:val="007F032B"/>
    <w:rsid w:val="007F5E2A"/>
    <w:rsid w:val="00801412"/>
    <w:rsid w:val="00834B05"/>
    <w:rsid w:val="008477A6"/>
    <w:rsid w:val="00870A16"/>
    <w:rsid w:val="00872804"/>
    <w:rsid w:val="00882977"/>
    <w:rsid w:val="008A6E9A"/>
    <w:rsid w:val="008B2351"/>
    <w:rsid w:val="008B38C9"/>
    <w:rsid w:val="008C1168"/>
    <w:rsid w:val="008C207D"/>
    <w:rsid w:val="008E2BB6"/>
    <w:rsid w:val="008F1211"/>
    <w:rsid w:val="008F4F17"/>
    <w:rsid w:val="00901725"/>
    <w:rsid w:val="0091560A"/>
    <w:rsid w:val="009276F9"/>
    <w:rsid w:val="00941B88"/>
    <w:rsid w:val="009459FD"/>
    <w:rsid w:val="009475DE"/>
    <w:rsid w:val="0095032F"/>
    <w:rsid w:val="0097711F"/>
    <w:rsid w:val="0098671C"/>
    <w:rsid w:val="009875B4"/>
    <w:rsid w:val="009B7288"/>
    <w:rsid w:val="009E1581"/>
    <w:rsid w:val="009F374B"/>
    <w:rsid w:val="00A04B7A"/>
    <w:rsid w:val="00A24FDE"/>
    <w:rsid w:val="00A26CF3"/>
    <w:rsid w:val="00A31FAE"/>
    <w:rsid w:val="00A44632"/>
    <w:rsid w:val="00A4550F"/>
    <w:rsid w:val="00A47984"/>
    <w:rsid w:val="00A52551"/>
    <w:rsid w:val="00A664C5"/>
    <w:rsid w:val="00A7606D"/>
    <w:rsid w:val="00AA1CA5"/>
    <w:rsid w:val="00AB0AC0"/>
    <w:rsid w:val="00AB409A"/>
    <w:rsid w:val="00B0065E"/>
    <w:rsid w:val="00B05CAC"/>
    <w:rsid w:val="00B07E09"/>
    <w:rsid w:val="00B11079"/>
    <w:rsid w:val="00B2572D"/>
    <w:rsid w:val="00B268D7"/>
    <w:rsid w:val="00B27A2A"/>
    <w:rsid w:val="00B32AA0"/>
    <w:rsid w:val="00B3754F"/>
    <w:rsid w:val="00B45EFD"/>
    <w:rsid w:val="00B521E4"/>
    <w:rsid w:val="00B53FD2"/>
    <w:rsid w:val="00B54BBE"/>
    <w:rsid w:val="00B67104"/>
    <w:rsid w:val="00B94905"/>
    <w:rsid w:val="00BA07C3"/>
    <w:rsid w:val="00BA2687"/>
    <w:rsid w:val="00BB2A8A"/>
    <w:rsid w:val="00BB2FC5"/>
    <w:rsid w:val="00BD762C"/>
    <w:rsid w:val="00BD7A24"/>
    <w:rsid w:val="00BE25AE"/>
    <w:rsid w:val="00BE2B4E"/>
    <w:rsid w:val="00BE35A9"/>
    <w:rsid w:val="00BE7E75"/>
    <w:rsid w:val="00BF53B0"/>
    <w:rsid w:val="00C01514"/>
    <w:rsid w:val="00C157C8"/>
    <w:rsid w:val="00C174FB"/>
    <w:rsid w:val="00C20AE8"/>
    <w:rsid w:val="00C23CFB"/>
    <w:rsid w:val="00C24B4C"/>
    <w:rsid w:val="00C30FE5"/>
    <w:rsid w:val="00C31FB0"/>
    <w:rsid w:val="00C3254C"/>
    <w:rsid w:val="00C409F0"/>
    <w:rsid w:val="00C45F98"/>
    <w:rsid w:val="00C51709"/>
    <w:rsid w:val="00C76AD5"/>
    <w:rsid w:val="00C834B9"/>
    <w:rsid w:val="00C90224"/>
    <w:rsid w:val="00C97E6C"/>
    <w:rsid w:val="00CA4550"/>
    <w:rsid w:val="00CA5812"/>
    <w:rsid w:val="00CE3C43"/>
    <w:rsid w:val="00CE4047"/>
    <w:rsid w:val="00CE69C3"/>
    <w:rsid w:val="00D348C8"/>
    <w:rsid w:val="00D354E2"/>
    <w:rsid w:val="00D42C32"/>
    <w:rsid w:val="00D47255"/>
    <w:rsid w:val="00D5057B"/>
    <w:rsid w:val="00D65BC7"/>
    <w:rsid w:val="00D66B60"/>
    <w:rsid w:val="00D757A7"/>
    <w:rsid w:val="00D76CE1"/>
    <w:rsid w:val="00D93898"/>
    <w:rsid w:val="00DA7440"/>
    <w:rsid w:val="00DC0F1A"/>
    <w:rsid w:val="00DC3413"/>
    <w:rsid w:val="00DC4331"/>
    <w:rsid w:val="00DC5D23"/>
    <w:rsid w:val="00DE6CEA"/>
    <w:rsid w:val="00DF7B28"/>
    <w:rsid w:val="00E02D09"/>
    <w:rsid w:val="00E2376B"/>
    <w:rsid w:val="00E278C6"/>
    <w:rsid w:val="00E339CA"/>
    <w:rsid w:val="00E6365D"/>
    <w:rsid w:val="00E63F4D"/>
    <w:rsid w:val="00E66DF0"/>
    <w:rsid w:val="00E94692"/>
    <w:rsid w:val="00E97E20"/>
    <w:rsid w:val="00EA5F6D"/>
    <w:rsid w:val="00EB3374"/>
    <w:rsid w:val="00EC2AC3"/>
    <w:rsid w:val="00EC6D78"/>
    <w:rsid w:val="00ED004C"/>
    <w:rsid w:val="00ED7F68"/>
    <w:rsid w:val="00EF3FD5"/>
    <w:rsid w:val="00F034EA"/>
    <w:rsid w:val="00F27DA5"/>
    <w:rsid w:val="00F30804"/>
    <w:rsid w:val="00F6073E"/>
    <w:rsid w:val="00F8108A"/>
    <w:rsid w:val="00F9160C"/>
    <w:rsid w:val="00FA0C1F"/>
    <w:rsid w:val="00FA66F9"/>
    <w:rsid w:val="00FB09E1"/>
    <w:rsid w:val="00FB6B8C"/>
    <w:rsid w:val="00FC2896"/>
    <w:rsid w:val="00FC5A22"/>
    <w:rsid w:val="00FC5BFD"/>
    <w:rsid w:val="00FD6BCA"/>
    <w:rsid w:val="00FE1293"/>
    <w:rsid w:val="00FF225D"/>
    <w:rsid w:val="00FF5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391"/>
  </w:style>
  <w:style w:type="paragraph" w:styleId="Heading1">
    <w:name w:val="heading 1"/>
    <w:basedOn w:val="Normal"/>
    <w:next w:val="Normal"/>
    <w:qFormat/>
    <w:rsid w:val="0034239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4239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3423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4239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8671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E4047"/>
  </w:style>
  <w:style w:type="character" w:styleId="Hyperlink">
    <w:name w:val="Hyperlink"/>
    <w:basedOn w:val="DefaultParagraphFont"/>
    <w:rsid w:val="00AB409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D690D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D690D"/>
    <w:rPr>
      <w:rFonts w:ascii="Consolas" w:eastAsiaTheme="minorHAnsi" w:hAnsi="Consolas" w:cstheme="minorBidi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81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5C61F-B5A5-4F6D-A415-6279C105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HUFF</dc:creator>
  <cp:keywords/>
  <dc:description/>
  <cp:lastModifiedBy>Administrator</cp:lastModifiedBy>
  <cp:revision>3</cp:revision>
  <cp:lastPrinted>2011-04-13T15:07:00Z</cp:lastPrinted>
  <dcterms:created xsi:type="dcterms:W3CDTF">2011-04-12T13:41:00Z</dcterms:created>
  <dcterms:modified xsi:type="dcterms:W3CDTF">2011-04-13T15:07:00Z</dcterms:modified>
</cp:coreProperties>
</file>