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34" w:rsidRPr="000E5E35" w:rsidRDefault="00B43A34" w:rsidP="00B43A34">
      <w:pPr>
        <w:adjustRightInd w:val="0"/>
        <w:spacing w:line="240" w:lineRule="auto"/>
        <w:ind w:firstLine="0"/>
        <w:jc w:val="center"/>
        <w:rPr>
          <w:rFonts w:cs="Times New Roman"/>
          <w:b/>
          <w:bCs/>
        </w:rPr>
      </w:pPr>
      <w:r>
        <w:rPr>
          <w:rFonts w:cs="Times New Roman"/>
          <w:b/>
          <w:bCs/>
        </w:rPr>
        <w:t>PENNSYL</w:t>
      </w:r>
      <w:r w:rsidRPr="000E5E35">
        <w:rPr>
          <w:rFonts w:cs="Times New Roman"/>
          <w:b/>
          <w:bCs/>
        </w:rPr>
        <w:t>VANIA</w:t>
      </w:r>
    </w:p>
    <w:p w:rsidR="00B43A34" w:rsidRPr="000E5E35" w:rsidRDefault="00B43A34" w:rsidP="00B43A34">
      <w:pPr>
        <w:adjustRightInd w:val="0"/>
        <w:spacing w:line="240" w:lineRule="auto"/>
        <w:ind w:firstLine="0"/>
        <w:jc w:val="center"/>
        <w:rPr>
          <w:rFonts w:cs="Times New Roman"/>
          <w:b/>
          <w:bCs/>
        </w:rPr>
      </w:pPr>
      <w:r w:rsidRPr="000E5E35">
        <w:rPr>
          <w:rFonts w:cs="Times New Roman"/>
          <w:b/>
          <w:bCs/>
        </w:rPr>
        <w:t>PUBLIC UTILITY COMMISSION</w:t>
      </w:r>
    </w:p>
    <w:p w:rsidR="00B43A34" w:rsidRDefault="00B43A34" w:rsidP="00B43A34">
      <w:pPr>
        <w:adjustRightInd w:val="0"/>
        <w:spacing w:line="240" w:lineRule="auto"/>
        <w:ind w:firstLine="0"/>
        <w:jc w:val="center"/>
        <w:rPr>
          <w:rFonts w:cs="Times New Roman"/>
          <w:b/>
          <w:bCs/>
        </w:rPr>
      </w:pPr>
      <w:r w:rsidRPr="000E5E35">
        <w:rPr>
          <w:rFonts w:cs="Times New Roman"/>
          <w:b/>
          <w:bCs/>
        </w:rPr>
        <w:t>Harrisburg, PA 17105-3265</w:t>
      </w:r>
    </w:p>
    <w:p w:rsidR="00B43A34" w:rsidRDefault="00B43A34" w:rsidP="00B43A34">
      <w:pPr>
        <w:adjustRightInd w:val="0"/>
        <w:ind w:firstLine="0"/>
        <w:jc w:val="center"/>
        <w:rPr>
          <w:rFonts w:cs="Times New Roman"/>
          <w:b/>
          <w:bCs/>
        </w:rPr>
      </w:pPr>
    </w:p>
    <w:p w:rsidR="00B43A34" w:rsidRPr="000E5E35" w:rsidRDefault="00B43A34" w:rsidP="00B43A34">
      <w:pPr>
        <w:adjustRightInd w:val="0"/>
        <w:spacing w:line="240" w:lineRule="auto"/>
        <w:ind w:firstLine="0"/>
        <w:jc w:val="right"/>
        <w:rPr>
          <w:rFonts w:cs="Times New Roman"/>
        </w:rPr>
      </w:pPr>
      <w:r w:rsidRPr="000E5E35">
        <w:rPr>
          <w:rFonts w:cs="Times New Roman"/>
        </w:rPr>
        <w:t xml:space="preserve">Public Meeting held </w:t>
      </w:r>
      <w:r w:rsidR="00203754">
        <w:rPr>
          <w:rFonts w:cs="Times New Roman"/>
        </w:rPr>
        <w:t>April 14,</w:t>
      </w:r>
      <w:r>
        <w:rPr>
          <w:rFonts w:cs="Times New Roman"/>
        </w:rPr>
        <w:t xml:space="preserve"> 2011</w:t>
      </w:r>
    </w:p>
    <w:p w:rsidR="00B43A34" w:rsidRDefault="00B43A34" w:rsidP="00B43A34">
      <w:pPr>
        <w:adjustRightInd w:val="0"/>
        <w:spacing w:line="240" w:lineRule="auto"/>
        <w:ind w:firstLine="0"/>
        <w:rPr>
          <w:rFonts w:cs="Times New Roman"/>
        </w:rPr>
      </w:pPr>
    </w:p>
    <w:p w:rsidR="00B43A34" w:rsidRDefault="00B43A34" w:rsidP="00B43A34">
      <w:pPr>
        <w:adjustRightInd w:val="0"/>
        <w:spacing w:line="240" w:lineRule="auto"/>
        <w:ind w:firstLine="0"/>
        <w:rPr>
          <w:rFonts w:cs="Times New Roman"/>
        </w:rPr>
      </w:pPr>
      <w:r w:rsidRPr="000E5E35">
        <w:rPr>
          <w:rFonts w:cs="Times New Roman"/>
        </w:rPr>
        <w:t>Commissioners Present:</w:t>
      </w:r>
    </w:p>
    <w:p w:rsidR="00A0028E" w:rsidRPr="000E5E35" w:rsidRDefault="00A0028E" w:rsidP="00B43A34">
      <w:pPr>
        <w:adjustRightInd w:val="0"/>
        <w:spacing w:line="240" w:lineRule="auto"/>
        <w:ind w:firstLine="0"/>
        <w:rPr>
          <w:rFonts w:cs="Times New Roman"/>
        </w:rPr>
      </w:pPr>
    </w:p>
    <w:p w:rsidR="00B43A34" w:rsidRPr="000E5E35" w:rsidRDefault="00DA4C29" w:rsidP="00B43A34">
      <w:pPr>
        <w:adjustRightInd w:val="0"/>
        <w:spacing w:line="240" w:lineRule="auto"/>
        <w:ind w:firstLine="0"/>
        <w:rPr>
          <w:rFonts w:cs="Times New Roman"/>
        </w:rPr>
      </w:pPr>
      <w:r w:rsidRPr="000E5E35">
        <w:rPr>
          <w:rFonts w:cs="Times New Roman"/>
        </w:rPr>
        <w:t>Robert F. Powelson</w:t>
      </w:r>
      <w:r w:rsidR="00B43A34" w:rsidRPr="000E5E35">
        <w:rPr>
          <w:rFonts w:cs="Times New Roman"/>
        </w:rPr>
        <w:t>, Chairman</w:t>
      </w:r>
    </w:p>
    <w:p w:rsidR="00DA4C29" w:rsidRPr="000E5E35" w:rsidRDefault="00DA4C29" w:rsidP="00DA4C29">
      <w:pPr>
        <w:adjustRightInd w:val="0"/>
        <w:spacing w:line="240" w:lineRule="auto"/>
        <w:ind w:firstLine="0"/>
        <w:rPr>
          <w:rFonts w:cs="Times New Roman"/>
        </w:rPr>
      </w:pPr>
      <w:r w:rsidRPr="000E5E35">
        <w:rPr>
          <w:rFonts w:cs="Times New Roman"/>
        </w:rPr>
        <w:t>John F. Coleman, Jr., Vice Chairman</w:t>
      </w:r>
    </w:p>
    <w:p w:rsidR="00DA4C29" w:rsidRDefault="00DA4C29" w:rsidP="00B43A34">
      <w:pPr>
        <w:adjustRightInd w:val="0"/>
        <w:spacing w:line="240" w:lineRule="auto"/>
        <w:ind w:firstLine="0"/>
        <w:rPr>
          <w:rFonts w:cs="Times New Roman"/>
        </w:rPr>
      </w:pPr>
      <w:r>
        <w:rPr>
          <w:rFonts w:cs="Times New Roman"/>
        </w:rPr>
        <w:t>T</w:t>
      </w:r>
      <w:r w:rsidR="00B43A34">
        <w:rPr>
          <w:rFonts w:cs="Times New Roman"/>
        </w:rPr>
        <w:t>yrone J</w:t>
      </w:r>
      <w:r w:rsidR="00B43A34" w:rsidRPr="000E5E35">
        <w:rPr>
          <w:rFonts w:cs="Times New Roman"/>
        </w:rPr>
        <w:t>. Christy</w:t>
      </w:r>
      <w:r w:rsidR="000C214E">
        <w:rPr>
          <w:rFonts w:cs="Times New Roman"/>
        </w:rPr>
        <w:t>, Statement</w:t>
      </w:r>
    </w:p>
    <w:p w:rsidR="00B43A34" w:rsidRPr="000E5E35" w:rsidRDefault="00B43A34" w:rsidP="00D13C63">
      <w:pPr>
        <w:adjustRightInd w:val="0"/>
        <w:spacing w:line="240" w:lineRule="auto"/>
        <w:ind w:firstLine="0"/>
        <w:rPr>
          <w:rFonts w:cs="Times New Roman"/>
        </w:rPr>
      </w:pPr>
      <w:r w:rsidRPr="000E5E35">
        <w:rPr>
          <w:rFonts w:cs="Times New Roman"/>
        </w:rPr>
        <w:t>Wayne E. Gardner</w:t>
      </w:r>
    </w:p>
    <w:p w:rsidR="00B43A34" w:rsidRDefault="00B43A34" w:rsidP="00D13C63">
      <w:pPr>
        <w:adjustRightInd w:val="0"/>
        <w:spacing w:line="240" w:lineRule="auto"/>
        <w:ind w:firstLine="0"/>
        <w:rPr>
          <w:rFonts w:cs="Times New Roman"/>
        </w:rPr>
      </w:pPr>
      <w:r w:rsidRPr="000E5E35">
        <w:rPr>
          <w:rFonts w:cs="Times New Roman"/>
        </w:rPr>
        <w:t>James H. Cawley</w:t>
      </w:r>
    </w:p>
    <w:p w:rsidR="00C86A9D" w:rsidRDefault="00C86A9D" w:rsidP="00B43A34">
      <w:pPr>
        <w:adjustRightInd w:val="0"/>
        <w:spacing w:line="240" w:lineRule="auto"/>
        <w:ind w:firstLine="0"/>
        <w:rPr>
          <w:rFonts w:cs="Times New Roman"/>
        </w:rPr>
      </w:pPr>
    </w:p>
    <w:p w:rsidR="00634A73" w:rsidRDefault="00634A73" w:rsidP="00DE527B">
      <w:pPr>
        <w:adjustRightInd w:val="0"/>
        <w:spacing w:line="240" w:lineRule="auto"/>
        <w:ind w:firstLine="0"/>
        <w:rPr>
          <w:rFonts w:cs="Times New Roman"/>
        </w:rPr>
      </w:pPr>
    </w:p>
    <w:p w:rsidR="00DE527B" w:rsidRDefault="00DE527B" w:rsidP="00DE527B">
      <w:pPr>
        <w:adjustRightInd w:val="0"/>
        <w:spacing w:line="240" w:lineRule="auto"/>
        <w:ind w:firstLine="0"/>
        <w:rPr>
          <w:rFonts w:cs="Times New Roman"/>
        </w:rPr>
      </w:pPr>
    </w:p>
    <w:p w:rsidR="00E96213" w:rsidRDefault="00E96213" w:rsidP="00DE527B">
      <w:pPr>
        <w:adjustRightInd w:val="0"/>
        <w:spacing w:line="240" w:lineRule="auto"/>
        <w:ind w:firstLine="0"/>
        <w:rPr>
          <w:rFonts w:cs="Times New Roman"/>
        </w:rPr>
        <w:sectPr w:rsidR="00E96213" w:rsidSect="005926AE">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E527B" w:rsidTr="00DE527B">
        <w:tc>
          <w:tcPr>
            <w:tcW w:w="4788" w:type="dxa"/>
          </w:tcPr>
          <w:p w:rsidR="00DE527B" w:rsidRDefault="00DE527B" w:rsidP="00DE527B">
            <w:pPr>
              <w:pStyle w:val="NoSpacing"/>
              <w:ind w:firstLine="0"/>
              <w:rPr>
                <w:szCs w:val="24"/>
              </w:rPr>
            </w:pPr>
            <w:r w:rsidRPr="00A872A6">
              <w:rPr>
                <w:szCs w:val="24"/>
              </w:rPr>
              <w:lastRenderedPageBreak/>
              <w:t>Petition of PE</w:t>
            </w:r>
            <w:r>
              <w:rPr>
                <w:szCs w:val="24"/>
              </w:rPr>
              <w:t xml:space="preserve">CO Energy Company for Approval </w:t>
            </w:r>
            <w:r w:rsidRPr="00A872A6">
              <w:rPr>
                <w:szCs w:val="24"/>
              </w:rPr>
              <w:t>of its Initial Dynamic Pricing and Customer</w:t>
            </w:r>
            <w:r>
              <w:rPr>
                <w:szCs w:val="24"/>
              </w:rPr>
              <w:t xml:space="preserve"> </w:t>
            </w:r>
            <w:r w:rsidRPr="00A872A6">
              <w:rPr>
                <w:szCs w:val="24"/>
              </w:rPr>
              <w:t>Acceptance Plan</w:t>
            </w:r>
            <w:r w:rsidRPr="00A872A6">
              <w:rPr>
                <w:szCs w:val="24"/>
              </w:rPr>
              <w:tab/>
            </w:r>
            <w:r w:rsidRPr="00A872A6">
              <w:rPr>
                <w:szCs w:val="24"/>
              </w:rPr>
              <w:tab/>
            </w:r>
          </w:p>
        </w:tc>
        <w:tc>
          <w:tcPr>
            <w:tcW w:w="4788" w:type="dxa"/>
          </w:tcPr>
          <w:p w:rsidR="00DE527B" w:rsidRDefault="00DE527B" w:rsidP="00DE527B">
            <w:pPr>
              <w:adjustRightInd w:val="0"/>
              <w:ind w:left="720" w:firstLine="0"/>
              <w:jc w:val="right"/>
              <w:rPr>
                <w:szCs w:val="24"/>
              </w:rPr>
            </w:pPr>
            <w:r>
              <w:rPr>
                <w:szCs w:val="24"/>
              </w:rPr>
              <w:t>M-2009-2123944</w:t>
            </w:r>
          </w:p>
        </w:tc>
      </w:tr>
    </w:tbl>
    <w:p w:rsidR="00634A73" w:rsidRDefault="00634A73" w:rsidP="00DE527B">
      <w:pPr>
        <w:adjustRightInd w:val="0"/>
        <w:spacing w:line="240" w:lineRule="auto"/>
        <w:ind w:firstLine="0"/>
        <w:rPr>
          <w:rFonts w:cs="Times New Roman"/>
        </w:rPr>
      </w:pPr>
    </w:p>
    <w:p w:rsidR="00444955" w:rsidRDefault="00444955" w:rsidP="00DE527B">
      <w:pPr>
        <w:adjustRightInd w:val="0"/>
        <w:spacing w:line="240" w:lineRule="auto"/>
        <w:ind w:firstLine="0"/>
        <w:rPr>
          <w:rFonts w:cs="Times New Roman"/>
        </w:rPr>
      </w:pPr>
    </w:p>
    <w:p w:rsidR="00C2708F" w:rsidRPr="00F548AE" w:rsidRDefault="00C2708F" w:rsidP="00B21383">
      <w:pPr>
        <w:adjustRightInd w:val="0"/>
        <w:spacing w:line="240" w:lineRule="auto"/>
        <w:ind w:firstLine="0"/>
        <w:rPr>
          <w:rFonts w:cs="Times New Roman"/>
        </w:rPr>
      </w:pPr>
    </w:p>
    <w:p w:rsidR="00B43A34" w:rsidRDefault="00B43A34" w:rsidP="00B43A34">
      <w:pPr>
        <w:ind w:firstLine="0"/>
        <w:jc w:val="center"/>
        <w:rPr>
          <w:b/>
        </w:rPr>
      </w:pPr>
      <w:r w:rsidRPr="00B43A34">
        <w:rPr>
          <w:b/>
        </w:rPr>
        <w:t>OPINION AND ORDER</w:t>
      </w:r>
    </w:p>
    <w:p w:rsidR="00B43A34" w:rsidRDefault="00B43A34" w:rsidP="00B43A34">
      <w:pPr>
        <w:ind w:firstLine="0"/>
        <w:jc w:val="center"/>
        <w:rPr>
          <w:b/>
        </w:rPr>
      </w:pPr>
    </w:p>
    <w:p w:rsidR="00B43A34" w:rsidRPr="00B43A34" w:rsidRDefault="00B43A34" w:rsidP="00B43A34">
      <w:pPr>
        <w:ind w:firstLine="0"/>
        <w:rPr>
          <w:b/>
        </w:rPr>
      </w:pPr>
      <w:r>
        <w:rPr>
          <w:b/>
        </w:rPr>
        <w:t>BY THE COMMISSION</w:t>
      </w:r>
    </w:p>
    <w:p w:rsidR="00B43A34" w:rsidRDefault="00B43A34" w:rsidP="00C2708F">
      <w:pPr>
        <w:spacing w:line="240" w:lineRule="auto"/>
      </w:pPr>
    </w:p>
    <w:p w:rsidR="001A25B4" w:rsidRDefault="00F729A0" w:rsidP="00EB1898">
      <w:r>
        <w:t xml:space="preserve">Before the Pennsylvania Public Utility Commission (Commission) </w:t>
      </w:r>
      <w:r w:rsidR="00EB1898">
        <w:t xml:space="preserve">for consideration and disposition are the Exceptions </w:t>
      </w:r>
      <w:r w:rsidR="001140F3">
        <w:t xml:space="preserve">of the Office of Consumer Advocate (OCA) </w:t>
      </w:r>
      <w:r w:rsidR="00680DFD">
        <w:t xml:space="preserve">filed on </w:t>
      </w:r>
      <w:r w:rsidR="001140F3">
        <w:t>March 7, 2011</w:t>
      </w:r>
      <w:r w:rsidR="00680DFD">
        <w:t xml:space="preserve">, to the Recommended Decision </w:t>
      </w:r>
      <w:r w:rsidR="00541D17">
        <w:t xml:space="preserve">(R.D.) </w:t>
      </w:r>
      <w:r w:rsidR="00680DFD">
        <w:t xml:space="preserve">of Administrative Law </w:t>
      </w:r>
      <w:r w:rsidR="001140F3">
        <w:t xml:space="preserve">Marlane R. Chestnut </w:t>
      </w:r>
      <w:r w:rsidR="00680DFD">
        <w:t xml:space="preserve">(ALJ), issued on </w:t>
      </w:r>
      <w:r w:rsidR="001140F3">
        <w:t>February 23, 2011.</w:t>
      </w:r>
      <w:r w:rsidR="00680DFD">
        <w:t xml:space="preserve">  </w:t>
      </w:r>
      <w:r w:rsidR="00E96213">
        <w:t>Reply Exceptions were filed by PECO Energy Company (PECO)</w:t>
      </w:r>
      <w:r w:rsidR="00CC37B5">
        <w:t xml:space="preserve">; the Office of Small Business Advocate (OSBA); and Direct Energy Services, LLC (Direct Energy) </w:t>
      </w:r>
      <w:r w:rsidR="00E96213">
        <w:t xml:space="preserve">on March 14, 2011. </w:t>
      </w:r>
      <w:r w:rsidR="00E61D9D">
        <w:t xml:space="preserve"> </w:t>
      </w:r>
      <w:r w:rsidR="007D1835">
        <w:t xml:space="preserve">Also before the Commission </w:t>
      </w:r>
      <w:r w:rsidR="001140F3">
        <w:t xml:space="preserve">is the </w:t>
      </w:r>
      <w:r w:rsidR="0037326E">
        <w:t xml:space="preserve">Joint Petition for </w:t>
      </w:r>
      <w:r w:rsidR="004D34CD">
        <w:t xml:space="preserve">Partial </w:t>
      </w:r>
      <w:r w:rsidR="0037326E">
        <w:t xml:space="preserve">Settlement (Settlement) filed on </w:t>
      </w:r>
      <w:r w:rsidR="004D34CD">
        <w:t>January 28</w:t>
      </w:r>
      <w:r w:rsidR="0037326E">
        <w:t>, 201</w:t>
      </w:r>
      <w:r w:rsidR="004D34CD">
        <w:t>1</w:t>
      </w:r>
      <w:r w:rsidR="0037326E">
        <w:t xml:space="preserve">.  </w:t>
      </w:r>
    </w:p>
    <w:p w:rsidR="00A81413" w:rsidRDefault="00A81413" w:rsidP="00EB1898"/>
    <w:p w:rsidR="001A25B4" w:rsidRPr="001C55E8" w:rsidRDefault="001A25B4" w:rsidP="00E96213">
      <w:pPr>
        <w:pStyle w:val="Heading1"/>
        <w:keepLines w:val="0"/>
      </w:pPr>
      <w:r w:rsidRPr="001C55E8">
        <w:lastRenderedPageBreak/>
        <w:t>I.</w:t>
      </w:r>
      <w:r w:rsidRPr="001C55E8">
        <w:tab/>
        <w:t>Background</w:t>
      </w:r>
    </w:p>
    <w:p w:rsidR="00A81413" w:rsidRPr="00A81413" w:rsidRDefault="00A81413" w:rsidP="00E96213">
      <w:pPr>
        <w:keepNext/>
        <w:spacing w:line="240" w:lineRule="auto"/>
      </w:pPr>
    </w:p>
    <w:p w:rsidR="008F6B6B" w:rsidRDefault="00027018" w:rsidP="00E96213">
      <w:pPr>
        <w:keepNext/>
      </w:pPr>
      <w:r w:rsidRPr="002E63AF">
        <w:t>Act 129 of 2008 (Act 129) was signed into law on October 15, 2008</w:t>
      </w:r>
      <w:r w:rsidR="00FB6B59">
        <w:t>,</w:t>
      </w:r>
      <w:r w:rsidRPr="002E63AF">
        <w:t xml:space="preserve"> and took effect thirty days thereafter on November 14, 2008.  Act 129 has several goals including reducing energy consumption and demand.  Among other things, the Act amended the Public Utility Code (Code), 66 Pa. C.S. §§ 101 </w:t>
      </w:r>
      <w:r w:rsidRPr="002E63AF">
        <w:rPr>
          <w:i/>
        </w:rPr>
        <w:t>et seq</w:t>
      </w:r>
      <w:r w:rsidRPr="002E63AF">
        <w:t xml:space="preserve">., to require the </w:t>
      </w:r>
      <w:r w:rsidR="00FB6B59">
        <w:t xml:space="preserve">Pennsylvania </w:t>
      </w:r>
      <w:r w:rsidR="00D1744B" w:rsidRPr="002E63AF">
        <w:t xml:space="preserve">electric distribution companies (EDCs) with 100,000 or more customers </w:t>
      </w:r>
      <w:r w:rsidR="005968F6" w:rsidRPr="002E63AF">
        <w:t>to file smart meter technology procurement and implementation plans</w:t>
      </w:r>
      <w:r w:rsidR="00A81413" w:rsidRPr="002E63AF">
        <w:t xml:space="preserve"> </w:t>
      </w:r>
      <w:r w:rsidR="00425F13">
        <w:t xml:space="preserve">(smart meter plans) </w:t>
      </w:r>
      <w:r w:rsidR="00A81413" w:rsidRPr="002E63AF">
        <w:t xml:space="preserve">which include </w:t>
      </w:r>
      <w:r w:rsidR="002A37CA" w:rsidRPr="002E63AF">
        <w:t>time-of–use (TOU)</w:t>
      </w:r>
      <w:r w:rsidR="002A37CA" w:rsidRPr="002E63AF">
        <w:rPr>
          <w:color w:val="31849B" w:themeColor="accent5" w:themeShade="BF"/>
        </w:rPr>
        <w:t xml:space="preserve"> </w:t>
      </w:r>
      <w:r w:rsidR="002A37CA" w:rsidRPr="002E63AF">
        <w:t>rates and real-time price plans.</w:t>
      </w:r>
      <w:r w:rsidR="002A37CA" w:rsidRPr="002E63AF">
        <w:rPr>
          <w:color w:val="31849B" w:themeColor="accent5" w:themeShade="BF"/>
        </w:rPr>
        <w:t xml:space="preserve"> </w:t>
      </w:r>
      <w:r w:rsidR="00E61D9D">
        <w:rPr>
          <w:color w:val="31849B" w:themeColor="accent5" w:themeShade="BF"/>
        </w:rPr>
        <w:t xml:space="preserve"> </w:t>
      </w:r>
      <w:r w:rsidR="002A37CA" w:rsidRPr="002E63AF">
        <w:t xml:space="preserve">66 Pa. C.S. </w:t>
      </w:r>
      <w:r w:rsidR="002A37CA" w:rsidRPr="002E63AF">
        <w:rPr>
          <w:rFonts w:cs="Times New Roman"/>
        </w:rPr>
        <w:t>§</w:t>
      </w:r>
      <w:r w:rsidR="002A37CA" w:rsidRPr="002E63AF">
        <w:t xml:space="preserve"> 2807(f).  </w:t>
      </w:r>
      <w:r w:rsidR="00F92379" w:rsidRPr="002E63AF">
        <w:t xml:space="preserve">Act 129 also required </w:t>
      </w:r>
      <w:r w:rsidR="000B6480" w:rsidRPr="002E63AF">
        <w:t xml:space="preserve">that default service providers </w:t>
      </w:r>
      <w:r w:rsidR="00461E39" w:rsidRPr="002E63AF">
        <w:t xml:space="preserve">file </w:t>
      </w:r>
      <w:r w:rsidR="00F92379" w:rsidRPr="002E63AF">
        <w:t xml:space="preserve">by January 1, 2010, </w:t>
      </w:r>
      <w:r w:rsidR="00461E39" w:rsidRPr="002E63AF">
        <w:t>or the end of the EDCs’ generation rate cap,</w:t>
      </w:r>
      <w:r w:rsidR="00A81413" w:rsidRPr="002E63AF">
        <w:rPr>
          <w:rStyle w:val="FootnoteReference"/>
        </w:rPr>
        <w:footnoteReference w:id="1"/>
      </w:r>
      <w:r w:rsidR="00461E39" w:rsidRPr="002E63AF">
        <w:t xml:space="preserve"> whichever is later, </w:t>
      </w:r>
      <w:r w:rsidR="000B6480" w:rsidRPr="002E63AF">
        <w:t xml:space="preserve">one or more </w:t>
      </w:r>
      <w:r w:rsidR="00BA2524">
        <w:t>TOU</w:t>
      </w:r>
      <w:r w:rsidR="000B6480" w:rsidRPr="002E63AF">
        <w:t xml:space="preserve"> rates </w:t>
      </w:r>
      <w:r w:rsidR="00461E39" w:rsidRPr="002E63AF">
        <w:t>a</w:t>
      </w:r>
      <w:r w:rsidR="000B6480" w:rsidRPr="002E63AF">
        <w:t xml:space="preserve">nd real-time price plans.  </w:t>
      </w:r>
      <w:r w:rsidR="00626280" w:rsidRPr="002E63AF">
        <w:t xml:space="preserve">The Commission is required to approve or modify the </w:t>
      </w:r>
      <w:r w:rsidR="00BA2524">
        <w:t>TOU</w:t>
      </w:r>
      <w:r w:rsidR="00626280" w:rsidRPr="002E63AF">
        <w:t xml:space="preserve"> rates and real-time price plans</w:t>
      </w:r>
      <w:r w:rsidR="00461E39" w:rsidRPr="002E63AF">
        <w:t xml:space="preserve"> </w:t>
      </w:r>
      <w:r w:rsidR="00626280" w:rsidRPr="002E63AF">
        <w:t xml:space="preserve">within six months of the EDC’s filing.  66 Pa. C.S. </w:t>
      </w:r>
      <w:r w:rsidR="00626280" w:rsidRPr="002E63AF">
        <w:rPr>
          <w:rFonts w:cs="Times New Roman"/>
        </w:rPr>
        <w:t>§</w:t>
      </w:r>
      <w:r w:rsidR="00626280" w:rsidRPr="002E63AF">
        <w:t xml:space="preserve"> 2807(f)(5).</w:t>
      </w:r>
      <w:r w:rsidR="002E63AF" w:rsidRPr="002E63AF">
        <w:t xml:space="preserve">  </w:t>
      </w:r>
    </w:p>
    <w:p w:rsidR="008F6B6B" w:rsidRDefault="008F6B6B" w:rsidP="00E96213">
      <w:pPr>
        <w:keepNext/>
      </w:pPr>
    </w:p>
    <w:p w:rsidR="002E63AF" w:rsidRPr="002E63AF" w:rsidRDefault="002E63AF" w:rsidP="00E96213">
      <w:pPr>
        <w:keepNext/>
      </w:pPr>
      <w:r>
        <w:t>On June 24, 2009, the Commission entered an Order</w:t>
      </w:r>
      <w:r w:rsidR="00B049FE">
        <w:rPr>
          <w:rStyle w:val="FootnoteReference"/>
        </w:rPr>
        <w:footnoteReference w:id="2"/>
      </w:r>
      <w:r>
        <w:t xml:space="preserve"> </w:t>
      </w:r>
      <w:r w:rsidR="00425F13">
        <w:t>(</w:t>
      </w:r>
      <w:r w:rsidRPr="00425F13">
        <w:rPr>
          <w:i/>
        </w:rPr>
        <w:t>Implementation Order</w:t>
      </w:r>
      <w:r w:rsidR="00425F13">
        <w:t>)</w:t>
      </w:r>
      <w:r w:rsidRPr="002E63AF">
        <w:t xml:space="preserve"> </w:t>
      </w:r>
      <w:r w:rsidR="00425F13">
        <w:t xml:space="preserve">which, </w:t>
      </w:r>
      <w:r w:rsidR="00425F13" w:rsidRPr="00425F13">
        <w:rPr>
          <w:i/>
        </w:rPr>
        <w:t>inter alia</w:t>
      </w:r>
      <w:r w:rsidR="00425F13">
        <w:t xml:space="preserve">, established standards that </w:t>
      </w:r>
      <w:r w:rsidRPr="002E63AF">
        <w:t xml:space="preserve">each </w:t>
      </w:r>
      <w:r w:rsidR="00425F13">
        <w:t xml:space="preserve">smart meter </w:t>
      </w:r>
      <w:r w:rsidRPr="002E63AF">
        <w:t>plan must meet and provide</w:t>
      </w:r>
      <w:r w:rsidR="00425F13">
        <w:t>d</w:t>
      </w:r>
      <w:r w:rsidRPr="002E63AF">
        <w:t xml:space="preserve"> guidance on the procedures to be followed for submittal, review and approval of all aspects of each smart meter plan.  Th</w:t>
      </w:r>
      <w:r w:rsidR="00B049FE">
        <w:t>e</w:t>
      </w:r>
      <w:r w:rsidRPr="002E63AF">
        <w:t xml:space="preserve"> </w:t>
      </w:r>
      <w:r w:rsidRPr="00B049FE">
        <w:rPr>
          <w:i/>
        </w:rPr>
        <w:t xml:space="preserve">Implementation Order </w:t>
      </w:r>
      <w:r w:rsidRPr="002E63AF">
        <w:t>also establish</w:t>
      </w:r>
      <w:r w:rsidR="00B049FE">
        <w:t>ed</w:t>
      </w:r>
      <w:r w:rsidRPr="002E63AF">
        <w:t xml:space="preserve"> minimum smart meter capabilit</w:t>
      </w:r>
      <w:r w:rsidR="00B049FE">
        <w:t>ies</w:t>
      </w:r>
      <w:r w:rsidRPr="002E63AF">
        <w:t xml:space="preserve"> and </w:t>
      </w:r>
      <w:r w:rsidR="00B049FE">
        <w:t xml:space="preserve">provided guidance </w:t>
      </w:r>
      <w:r w:rsidRPr="002E63AF">
        <w:t>on the Commission’s expectations for deployment of smart meters.</w:t>
      </w:r>
    </w:p>
    <w:p w:rsidR="00626280" w:rsidRDefault="00626280" w:rsidP="00F92379"/>
    <w:p w:rsidR="00E8303E" w:rsidRPr="00A872A6" w:rsidRDefault="0013434E" w:rsidP="00E8303E">
      <w:pPr>
        <w:rPr>
          <w:szCs w:val="24"/>
        </w:rPr>
      </w:pPr>
      <w:r>
        <w:t>By Order entered May 6, 2010</w:t>
      </w:r>
      <w:r>
        <w:rPr>
          <w:rStyle w:val="FootnoteReference"/>
          <w:szCs w:val="24"/>
        </w:rPr>
        <w:footnoteReference w:id="3"/>
      </w:r>
      <w:r>
        <w:t xml:space="preserve"> </w:t>
      </w:r>
      <w:r w:rsidR="0082098B" w:rsidRPr="0082098B">
        <w:rPr>
          <w:i/>
        </w:rPr>
        <w:t>(</w:t>
      </w:r>
      <w:r w:rsidRPr="0082098B">
        <w:rPr>
          <w:i/>
        </w:rPr>
        <w:t>May 6, 2010 Order</w:t>
      </w:r>
      <w:r w:rsidR="0082098B" w:rsidRPr="0082098B">
        <w:rPr>
          <w:i/>
        </w:rPr>
        <w:t>),</w:t>
      </w:r>
      <w:r>
        <w:t xml:space="preserve"> </w:t>
      </w:r>
      <w:r w:rsidR="00CF1A48">
        <w:t>The Commission approved PECO</w:t>
      </w:r>
      <w:r>
        <w:t>’s</w:t>
      </w:r>
      <w:r w:rsidR="00CF1A48">
        <w:t xml:space="preserve"> </w:t>
      </w:r>
      <w:r w:rsidR="0082098B">
        <w:t xml:space="preserve">initial </w:t>
      </w:r>
      <w:r w:rsidR="000569E1" w:rsidRPr="00A872A6">
        <w:rPr>
          <w:szCs w:val="24"/>
        </w:rPr>
        <w:t>Smart Meter Technology Procurement and Installation Plan (Smart Meter Plan)</w:t>
      </w:r>
      <w:r w:rsidR="0082098B">
        <w:rPr>
          <w:szCs w:val="24"/>
        </w:rPr>
        <w:t xml:space="preserve">. </w:t>
      </w:r>
      <w:r w:rsidR="00626280">
        <w:rPr>
          <w:szCs w:val="24"/>
        </w:rPr>
        <w:t xml:space="preserve"> </w:t>
      </w:r>
      <w:r w:rsidR="00E8303E" w:rsidRPr="00A872A6">
        <w:rPr>
          <w:bCs/>
          <w:szCs w:val="24"/>
        </w:rPr>
        <w:t xml:space="preserve">On October 28, 2010, </w:t>
      </w:r>
      <w:r w:rsidR="00B9678F">
        <w:rPr>
          <w:szCs w:val="24"/>
        </w:rPr>
        <w:t xml:space="preserve">PECO </w:t>
      </w:r>
      <w:r w:rsidR="00E8303E" w:rsidRPr="00A872A6">
        <w:rPr>
          <w:szCs w:val="24"/>
        </w:rPr>
        <w:t xml:space="preserve">filed </w:t>
      </w:r>
      <w:r w:rsidR="00CB121B">
        <w:rPr>
          <w:szCs w:val="24"/>
        </w:rPr>
        <w:t xml:space="preserve">the </w:t>
      </w:r>
      <w:r w:rsidR="00EB76DC">
        <w:rPr>
          <w:szCs w:val="24"/>
        </w:rPr>
        <w:t xml:space="preserve">next phase of its Smart Meter </w:t>
      </w:r>
      <w:r w:rsidR="00EB76DC">
        <w:rPr>
          <w:szCs w:val="24"/>
        </w:rPr>
        <w:lastRenderedPageBreak/>
        <w:t xml:space="preserve">Plan through the </w:t>
      </w:r>
      <w:r w:rsidR="00CB121B">
        <w:rPr>
          <w:szCs w:val="24"/>
        </w:rPr>
        <w:t xml:space="preserve">instant </w:t>
      </w:r>
      <w:r w:rsidR="00E8303E" w:rsidRPr="00A872A6">
        <w:rPr>
          <w:szCs w:val="24"/>
        </w:rPr>
        <w:t>Petition</w:t>
      </w:r>
      <w:r w:rsidR="00E8303E" w:rsidRPr="00A872A6">
        <w:rPr>
          <w:bCs/>
          <w:szCs w:val="24"/>
        </w:rPr>
        <w:t xml:space="preserve"> </w:t>
      </w:r>
      <w:r w:rsidR="00E8303E" w:rsidRPr="00A872A6">
        <w:rPr>
          <w:szCs w:val="24"/>
        </w:rPr>
        <w:t>for Approval of its Initial Dynamic Pricing and Customer Acceptance Plan (Petition)</w:t>
      </w:r>
      <w:r w:rsidR="00CB121B">
        <w:rPr>
          <w:szCs w:val="24"/>
        </w:rPr>
        <w:t>.</w:t>
      </w:r>
      <w:r w:rsidR="00E8303E" w:rsidRPr="00A872A6">
        <w:rPr>
          <w:szCs w:val="24"/>
        </w:rPr>
        <w:t xml:space="preserve"> </w:t>
      </w:r>
      <w:r w:rsidR="00EB76DC">
        <w:rPr>
          <w:szCs w:val="24"/>
        </w:rPr>
        <w:t xml:space="preserve"> </w:t>
      </w:r>
      <w:r w:rsidR="00E8303E" w:rsidRPr="00A872A6">
        <w:rPr>
          <w:szCs w:val="24"/>
        </w:rPr>
        <w:t>As set out in the Petition, PECO intends to test two initial dynamic pricing options</w:t>
      </w:r>
      <w:r w:rsidR="00EB76DC">
        <w:rPr>
          <w:szCs w:val="24"/>
        </w:rPr>
        <w:t>,</w:t>
      </w:r>
      <w:r w:rsidR="00E8303E" w:rsidRPr="00A872A6">
        <w:rPr>
          <w:szCs w:val="24"/>
        </w:rPr>
        <w:t xml:space="preserve"> Critical Peak Pricing </w:t>
      </w:r>
      <w:r w:rsidR="00B9678F">
        <w:rPr>
          <w:szCs w:val="24"/>
        </w:rPr>
        <w:t>(</w:t>
      </w:r>
      <w:r w:rsidR="00E8303E" w:rsidRPr="00A872A6">
        <w:rPr>
          <w:szCs w:val="24"/>
        </w:rPr>
        <w:t>CPP</w:t>
      </w:r>
      <w:r w:rsidR="00B9678F">
        <w:rPr>
          <w:szCs w:val="24"/>
        </w:rPr>
        <w:t>)</w:t>
      </w:r>
      <w:r w:rsidR="00E8303E" w:rsidRPr="00A872A6">
        <w:rPr>
          <w:szCs w:val="24"/>
        </w:rPr>
        <w:t xml:space="preserve"> and TOU</w:t>
      </w:r>
      <w:r w:rsidR="00B9678F">
        <w:rPr>
          <w:szCs w:val="24"/>
        </w:rPr>
        <w:t xml:space="preserve"> pricing </w:t>
      </w:r>
      <w:r w:rsidR="00E8303E" w:rsidRPr="00A872A6">
        <w:rPr>
          <w:szCs w:val="24"/>
        </w:rPr>
        <w:t xml:space="preserve">to determine effective combinations of rate design, technology, marketing and educational strategies for customers. </w:t>
      </w:r>
      <w:r w:rsidR="00E8303E">
        <w:rPr>
          <w:szCs w:val="24"/>
        </w:rPr>
        <w:t xml:space="preserve"> </w:t>
      </w:r>
      <w:r w:rsidR="00B83353">
        <w:rPr>
          <w:szCs w:val="24"/>
        </w:rPr>
        <w:t>PECO explained that it</w:t>
      </w:r>
      <w:r w:rsidR="00E8303E" w:rsidRPr="00A872A6">
        <w:rPr>
          <w:szCs w:val="24"/>
        </w:rPr>
        <w:t xml:space="preserve"> will use this “test and learn” approach to allow for the “successful deployment of dynamic rates </w:t>
      </w:r>
      <w:r w:rsidR="00B83353">
        <w:rPr>
          <w:szCs w:val="24"/>
        </w:rPr>
        <w:t xml:space="preserve">. </w:t>
      </w:r>
      <w:r w:rsidR="00E8303E" w:rsidRPr="00A872A6">
        <w:rPr>
          <w:szCs w:val="24"/>
        </w:rPr>
        <w:t xml:space="preserve">. . and will add to the general body of knowledge about customer acceptance of dynamic pricing rates.” </w:t>
      </w:r>
      <w:r w:rsidR="007B10DA">
        <w:rPr>
          <w:szCs w:val="24"/>
        </w:rPr>
        <w:t xml:space="preserve"> </w:t>
      </w:r>
      <w:r w:rsidR="00E8303E" w:rsidRPr="00A872A6">
        <w:rPr>
          <w:szCs w:val="24"/>
        </w:rPr>
        <w:t xml:space="preserve">Petition at 2.  </w:t>
      </w:r>
    </w:p>
    <w:p w:rsidR="001C55E8" w:rsidRDefault="001C55E8" w:rsidP="001C55E8">
      <w:pPr>
        <w:pStyle w:val="Heading1"/>
      </w:pPr>
    </w:p>
    <w:p w:rsidR="001C55E8" w:rsidRDefault="001C55E8" w:rsidP="00B40671">
      <w:pPr>
        <w:pStyle w:val="Heading1"/>
        <w:keepLines w:val="0"/>
      </w:pPr>
      <w:r>
        <w:t>II.</w:t>
      </w:r>
      <w:r>
        <w:tab/>
        <w:t xml:space="preserve">History </w:t>
      </w:r>
      <w:r w:rsidR="00E96213">
        <w:t>o</w:t>
      </w:r>
      <w:r>
        <w:t xml:space="preserve">f the Proceeding </w:t>
      </w:r>
    </w:p>
    <w:p w:rsidR="001C55E8" w:rsidRDefault="001C55E8" w:rsidP="00315A11">
      <w:pPr>
        <w:keepNext/>
        <w:spacing w:line="240" w:lineRule="auto"/>
      </w:pPr>
    </w:p>
    <w:p w:rsidR="00B20AAA" w:rsidRPr="00A872A6" w:rsidRDefault="00B40671" w:rsidP="00B20AAA">
      <w:pPr>
        <w:rPr>
          <w:szCs w:val="24"/>
        </w:rPr>
      </w:pPr>
      <w:r w:rsidRPr="00A872A6">
        <w:rPr>
          <w:bCs/>
          <w:szCs w:val="24"/>
        </w:rPr>
        <w:t>On October 28, 2010, PECO</w:t>
      </w:r>
      <w:r>
        <w:rPr>
          <w:bCs/>
          <w:szCs w:val="24"/>
        </w:rPr>
        <w:t xml:space="preserve"> </w:t>
      </w:r>
      <w:r w:rsidRPr="00A872A6">
        <w:rPr>
          <w:szCs w:val="24"/>
        </w:rPr>
        <w:t xml:space="preserve">filed with the </w:t>
      </w:r>
      <w:r>
        <w:rPr>
          <w:szCs w:val="24"/>
        </w:rPr>
        <w:t>C</w:t>
      </w:r>
      <w:r w:rsidRPr="00A872A6">
        <w:rPr>
          <w:szCs w:val="24"/>
        </w:rPr>
        <w:t xml:space="preserve">ommission </w:t>
      </w:r>
      <w:r w:rsidR="00BA2524">
        <w:rPr>
          <w:szCs w:val="24"/>
        </w:rPr>
        <w:t>the instant P</w:t>
      </w:r>
      <w:r w:rsidRPr="00A872A6">
        <w:rPr>
          <w:szCs w:val="24"/>
        </w:rPr>
        <w:t>etition</w:t>
      </w:r>
      <w:r w:rsidR="00BA2524">
        <w:rPr>
          <w:szCs w:val="24"/>
        </w:rPr>
        <w:t>.</w:t>
      </w:r>
      <w:r w:rsidRPr="00A872A6">
        <w:rPr>
          <w:bCs/>
          <w:szCs w:val="24"/>
        </w:rPr>
        <w:t xml:space="preserve"> </w:t>
      </w:r>
      <w:r w:rsidR="00B20AAA">
        <w:rPr>
          <w:szCs w:val="24"/>
        </w:rPr>
        <w:t xml:space="preserve">Specifically the </w:t>
      </w:r>
      <w:r w:rsidR="00315A11">
        <w:rPr>
          <w:szCs w:val="24"/>
        </w:rPr>
        <w:t>Petition</w:t>
      </w:r>
      <w:r w:rsidR="00B20AAA">
        <w:rPr>
          <w:szCs w:val="24"/>
        </w:rPr>
        <w:t xml:space="preserve"> requested that the Commission: </w:t>
      </w:r>
      <w:r w:rsidR="00B20AAA" w:rsidRPr="00A872A6">
        <w:rPr>
          <w:szCs w:val="24"/>
        </w:rPr>
        <w:t>(1) find that the Dynamic Pricing Plan</w:t>
      </w:r>
      <w:r w:rsidR="0060103F">
        <w:rPr>
          <w:szCs w:val="24"/>
        </w:rPr>
        <w:t xml:space="preserve"> </w:t>
      </w:r>
      <w:r w:rsidR="00B20AAA" w:rsidRPr="00A872A6">
        <w:rPr>
          <w:szCs w:val="24"/>
        </w:rPr>
        <w:t>satisfies the requirements of 66 Pa.</w:t>
      </w:r>
      <w:r w:rsidR="00676A6A">
        <w:rPr>
          <w:szCs w:val="24"/>
        </w:rPr>
        <w:t xml:space="preserve"> </w:t>
      </w:r>
      <w:r w:rsidR="00B20AAA" w:rsidRPr="00A872A6">
        <w:rPr>
          <w:szCs w:val="24"/>
        </w:rPr>
        <w:t>C.S. § 2807(f)</w:t>
      </w:r>
      <w:r w:rsidR="00B20AAA">
        <w:rPr>
          <w:szCs w:val="24"/>
        </w:rPr>
        <w:t xml:space="preserve">(1)-(f)(3); </w:t>
      </w:r>
      <w:r w:rsidR="00B20AAA" w:rsidRPr="00A872A6">
        <w:rPr>
          <w:szCs w:val="24"/>
        </w:rPr>
        <w:t xml:space="preserve"> (2) approve </w:t>
      </w:r>
      <w:r w:rsidR="00676A6A">
        <w:rPr>
          <w:szCs w:val="24"/>
        </w:rPr>
        <w:t xml:space="preserve">the procurement of 600,000 smart meters by PECO during the 30-month grace period established in the </w:t>
      </w:r>
      <w:r w:rsidR="00676A6A" w:rsidRPr="00676A6A">
        <w:rPr>
          <w:i/>
          <w:szCs w:val="24"/>
        </w:rPr>
        <w:t>Implementation Order</w:t>
      </w:r>
      <w:r w:rsidR="00676A6A">
        <w:rPr>
          <w:szCs w:val="24"/>
        </w:rPr>
        <w:t xml:space="preserve">; </w:t>
      </w:r>
      <w:r w:rsidR="00924BD4">
        <w:rPr>
          <w:szCs w:val="24"/>
        </w:rPr>
        <w:t xml:space="preserve"> (</w:t>
      </w:r>
      <w:r w:rsidR="00676A6A">
        <w:rPr>
          <w:szCs w:val="24"/>
        </w:rPr>
        <w:t xml:space="preserve">3) approve </w:t>
      </w:r>
      <w:r w:rsidR="00B20AAA" w:rsidRPr="00A872A6">
        <w:rPr>
          <w:szCs w:val="24"/>
        </w:rPr>
        <w:t>PECO’s proposed tariff provisions and recovery of Dynamic Pricing Plan costs through the company’s Generation Supply Adjustment (GSA) filings</w:t>
      </w:r>
      <w:r w:rsidR="00AB4C5C">
        <w:rPr>
          <w:szCs w:val="24"/>
        </w:rPr>
        <w:t>;</w:t>
      </w:r>
      <w:r w:rsidR="00B20AAA" w:rsidRPr="00A872A6">
        <w:rPr>
          <w:szCs w:val="24"/>
        </w:rPr>
        <w:t xml:space="preserve"> </w:t>
      </w:r>
      <w:r w:rsidR="00AB4C5C">
        <w:rPr>
          <w:szCs w:val="24"/>
        </w:rPr>
        <w:t xml:space="preserve">and </w:t>
      </w:r>
      <w:r w:rsidR="00924BD4">
        <w:rPr>
          <w:szCs w:val="24"/>
        </w:rPr>
        <w:t xml:space="preserve"> </w:t>
      </w:r>
      <w:r w:rsidR="00AB4C5C">
        <w:rPr>
          <w:szCs w:val="24"/>
        </w:rPr>
        <w:t xml:space="preserve">(4) approve PECO’s proposed incremental charges for installation of individual smart meters in advance of system-wide deployment </w:t>
      </w:r>
      <w:r w:rsidR="00315A11">
        <w:rPr>
          <w:szCs w:val="24"/>
        </w:rPr>
        <w:t>pursuant</w:t>
      </w:r>
      <w:r w:rsidR="00AB4C5C">
        <w:rPr>
          <w:szCs w:val="24"/>
        </w:rPr>
        <w:t xml:space="preserve"> to 66 Pa. C.S. </w:t>
      </w:r>
      <w:r w:rsidR="00AB4C5C">
        <w:rPr>
          <w:rFonts w:cs="Times New Roman"/>
          <w:szCs w:val="24"/>
        </w:rPr>
        <w:t>§</w:t>
      </w:r>
      <w:r w:rsidR="00E96213">
        <w:rPr>
          <w:rFonts w:cs="Times New Roman"/>
          <w:szCs w:val="24"/>
        </w:rPr>
        <w:t xml:space="preserve"> </w:t>
      </w:r>
      <w:r w:rsidR="00AB4C5C">
        <w:rPr>
          <w:szCs w:val="24"/>
        </w:rPr>
        <w:t>2807(f</w:t>
      </w:r>
      <w:r w:rsidR="000508BA">
        <w:rPr>
          <w:szCs w:val="24"/>
        </w:rPr>
        <w:t>)</w:t>
      </w:r>
      <w:r w:rsidR="00315A11">
        <w:rPr>
          <w:szCs w:val="24"/>
        </w:rPr>
        <w:t>(2)(i).</w:t>
      </w:r>
      <w:r w:rsidR="00AB4C5C">
        <w:rPr>
          <w:szCs w:val="24"/>
        </w:rPr>
        <w:t xml:space="preserve"> </w:t>
      </w:r>
      <w:r w:rsidR="00315A11">
        <w:rPr>
          <w:szCs w:val="24"/>
        </w:rPr>
        <w:t xml:space="preserve"> Petition at 1. </w:t>
      </w:r>
    </w:p>
    <w:p w:rsidR="009918B1" w:rsidRDefault="009918B1" w:rsidP="009918B1">
      <w:pPr>
        <w:keepNext/>
        <w:rPr>
          <w:szCs w:val="24"/>
        </w:rPr>
      </w:pPr>
    </w:p>
    <w:p w:rsidR="00D359D6" w:rsidRPr="00A872A6" w:rsidRDefault="00D359D6" w:rsidP="00D359D6">
      <w:pPr>
        <w:rPr>
          <w:szCs w:val="24"/>
        </w:rPr>
      </w:pPr>
      <w:r>
        <w:rPr>
          <w:szCs w:val="24"/>
        </w:rPr>
        <w:t xml:space="preserve">By Secretarial Letter issued </w:t>
      </w:r>
      <w:r w:rsidRPr="00A872A6">
        <w:rPr>
          <w:szCs w:val="24"/>
        </w:rPr>
        <w:t xml:space="preserve">November 4, 2010, the Commission directed that notice </w:t>
      </w:r>
      <w:r>
        <w:rPr>
          <w:szCs w:val="24"/>
        </w:rPr>
        <w:t xml:space="preserve">of the petition be </w:t>
      </w:r>
      <w:r w:rsidRPr="00A872A6">
        <w:rPr>
          <w:szCs w:val="24"/>
        </w:rPr>
        <w:t xml:space="preserve">published in the November 13, 2010 </w:t>
      </w:r>
      <w:r w:rsidRPr="00A872A6">
        <w:rPr>
          <w:i/>
          <w:szCs w:val="24"/>
        </w:rPr>
        <w:t>Pennsylvania Bulletin</w:t>
      </w:r>
      <w:r>
        <w:rPr>
          <w:i/>
          <w:szCs w:val="24"/>
        </w:rPr>
        <w:t xml:space="preserve">. </w:t>
      </w:r>
      <w:r w:rsidRPr="00A872A6">
        <w:rPr>
          <w:szCs w:val="24"/>
        </w:rPr>
        <w:t xml:space="preserve"> 40 </w:t>
      </w:r>
      <w:r w:rsidRPr="00D359D6">
        <w:rPr>
          <w:i/>
          <w:szCs w:val="24"/>
        </w:rPr>
        <w:t>Pa.</w:t>
      </w:r>
      <w:r w:rsidR="008F6B6B">
        <w:rPr>
          <w:i/>
          <w:szCs w:val="24"/>
        </w:rPr>
        <w:t xml:space="preserve"> </w:t>
      </w:r>
      <w:r w:rsidRPr="00D359D6">
        <w:rPr>
          <w:i/>
          <w:szCs w:val="24"/>
        </w:rPr>
        <w:t>B.</w:t>
      </w:r>
      <w:r w:rsidRPr="00A872A6">
        <w:rPr>
          <w:szCs w:val="24"/>
        </w:rPr>
        <w:t xml:space="preserve"> 6619</w:t>
      </w:r>
      <w:r>
        <w:rPr>
          <w:szCs w:val="24"/>
        </w:rPr>
        <w:t>.</w:t>
      </w:r>
      <w:r w:rsidRPr="00A872A6">
        <w:rPr>
          <w:szCs w:val="24"/>
        </w:rPr>
        <w:t xml:space="preserve"> </w:t>
      </w:r>
      <w:r w:rsidR="008F6B6B">
        <w:rPr>
          <w:szCs w:val="24"/>
        </w:rPr>
        <w:t xml:space="preserve"> </w:t>
      </w:r>
      <w:r w:rsidRPr="00A872A6">
        <w:rPr>
          <w:szCs w:val="24"/>
        </w:rPr>
        <w:t>The Commission further directed that parties seeking to intervene must file the appropriate notices/petitions on or before November 29, 2010</w:t>
      </w:r>
      <w:r w:rsidR="0067418A">
        <w:rPr>
          <w:szCs w:val="24"/>
        </w:rPr>
        <w:t>,</w:t>
      </w:r>
      <w:r w:rsidRPr="00A872A6">
        <w:rPr>
          <w:szCs w:val="24"/>
        </w:rPr>
        <w:t xml:space="preserve"> and referred the Petition to the Office of Administrative Law Judge for expedited resolution.</w:t>
      </w:r>
    </w:p>
    <w:p w:rsidR="00D359D6" w:rsidRPr="00A872A6" w:rsidRDefault="00D359D6" w:rsidP="00D359D6">
      <w:pPr>
        <w:rPr>
          <w:szCs w:val="24"/>
        </w:rPr>
      </w:pPr>
    </w:p>
    <w:p w:rsidR="00D359D6" w:rsidRPr="00A872A6" w:rsidRDefault="00D359D6" w:rsidP="00D359D6">
      <w:pPr>
        <w:rPr>
          <w:szCs w:val="24"/>
        </w:rPr>
      </w:pPr>
      <w:r w:rsidRPr="00A872A6">
        <w:rPr>
          <w:szCs w:val="24"/>
        </w:rPr>
        <w:lastRenderedPageBreak/>
        <w:t>On November 29, 2010, Direct Energy, the Philadelphia Area Industrial Energy Users Group (PAIEUG)</w:t>
      </w:r>
      <w:r w:rsidRPr="00A872A6">
        <w:rPr>
          <w:rStyle w:val="FootnoteReference"/>
          <w:rFonts w:eastAsiaTheme="majorEastAsia"/>
          <w:szCs w:val="24"/>
        </w:rPr>
        <w:footnoteReference w:id="4"/>
      </w:r>
      <w:r w:rsidRPr="00A872A6">
        <w:rPr>
          <w:szCs w:val="24"/>
        </w:rPr>
        <w:t xml:space="preserve"> and the Retail Energy Supply Association (RESA) each filed a Petition to Intervene.  Also on November 29, 2010, </w:t>
      </w:r>
      <w:r>
        <w:rPr>
          <w:szCs w:val="24"/>
        </w:rPr>
        <w:t xml:space="preserve">the </w:t>
      </w:r>
      <w:r w:rsidRPr="00A872A6">
        <w:rPr>
          <w:szCs w:val="24"/>
        </w:rPr>
        <w:t xml:space="preserve">OCA filed an Answer and </w:t>
      </w:r>
      <w:r w:rsidR="000C45F2">
        <w:rPr>
          <w:szCs w:val="24"/>
        </w:rPr>
        <w:t xml:space="preserve">the </w:t>
      </w:r>
      <w:r w:rsidRPr="00A872A6">
        <w:rPr>
          <w:szCs w:val="24"/>
        </w:rPr>
        <w:t xml:space="preserve">OSBA filed a Protest and Verification.  </w:t>
      </w:r>
      <w:r>
        <w:rPr>
          <w:szCs w:val="24"/>
        </w:rPr>
        <w:t xml:space="preserve">The </w:t>
      </w:r>
      <w:r w:rsidR="008F6B6B">
        <w:rPr>
          <w:szCs w:val="24"/>
        </w:rPr>
        <w:t>Office of Trial Staff (</w:t>
      </w:r>
      <w:r w:rsidRPr="00A872A6">
        <w:rPr>
          <w:szCs w:val="24"/>
        </w:rPr>
        <w:t>OTS</w:t>
      </w:r>
      <w:r w:rsidR="008F6B6B">
        <w:rPr>
          <w:szCs w:val="24"/>
        </w:rPr>
        <w:t>)</w:t>
      </w:r>
      <w:r w:rsidRPr="00A872A6">
        <w:rPr>
          <w:szCs w:val="24"/>
        </w:rPr>
        <w:t xml:space="preserve"> filed a Notice of Appearance on December 1, 2010.  </w:t>
      </w:r>
    </w:p>
    <w:p w:rsidR="00D359D6" w:rsidRPr="00A872A6" w:rsidRDefault="00D359D6" w:rsidP="00D359D6">
      <w:pPr>
        <w:rPr>
          <w:szCs w:val="24"/>
        </w:rPr>
      </w:pPr>
    </w:p>
    <w:p w:rsidR="00D359D6" w:rsidRPr="00A872A6" w:rsidRDefault="00D359D6" w:rsidP="00D359D6">
      <w:pPr>
        <w:rPr>
          <w:szCs w:val="24"/>
        </w:rPr>
      </w:pPr>
      <w:r w:rsidRPr="00A872A6">
        <w:rPr>
          <w:szCs w:val="24"/>
        </w:rPr>
        <w:t>On December</w:t>
      </w:r>
      <w:r>
        <w:rPr>
          <w:szCs w:val="24"/>
        </w:rPr>
        <w:t xml:space="preserve"> 8, 2010, </w:t>
      </w:r>
      <w:r w:rsidR="00477223">
        <w:rPr>
          <w:szCs w:val="24"/>
        </w:rPr>
        <w:t xml:space="preserve">the ALJ </w:t>
      </w:r>
      <w:r>
        <w:rPr>
          <w:szCs w:val="24"/>
        </w:rPr>
        <w:t>issued a Protective O</w:t>
      </w:r>
      <w:r w:rsidRPr="00A872A6">
        <w:rPr>
          <w:szCs w:val="24"/>
        </w:rPr>
        <w:t xml:space="preserve">rder and on December 9, 2010, </w:t>
      </w:r>
      <w:r w:rsidR="00477223">
        <w:rPr>
          <w:szCs w:val="24"/>
        </w:rPr>
        <w:t xml:space="preserve">she </w:t>
      </w:r>
      <w:r w:rsidRPr="00A872A6">
        <w:rPr>
          <w:szCs w:val="24"/>
        </w:rPr>
        <w:t xml:space="preserve">issued a Prehearing Order that granted the various Petitions to Intervene, addressed various other procedural issues, and established a litigation schedule that included evidentiary hearings to be held on January 20-21, 2011.  </w:t>
      </w:r>
      <w:r w:rsidR="00477223">
        <w:rPr>
          <w:szCs w:val="24"/>
        </w:rPr>
        <w:t xml:space="preserve">Direct testimony was filed by </w:t>
      </w:r>
      <w:r w:rsidR="004021C0">
        <w:rPr>
          <w:szCs w:val="24"/>
        </w:rPr>
        <w:t>PECO and the OCA, PECO filed rebuttal testimony and the OCA filed sur</w:t>
      </w:r>
      <w:r w:rsidR="0064219A">
        <w:rPr>
          <w:szCs w:val="24"/>
        </w:rPr>
        <w:t>re</w:t>
      </w:r>
      <w:r w:rsidR="004021C0">
        <w:rPr>
          <w:szCs w:val="24"/>
        </w:rPr>
        <w:t xml:space="preserve">buttal testimony.  </w:t>
      </w:r>
      <w:r w:rsidRPr="00A872A6">
        <w:rPr>
          <w:szCs w:val="24"/>
        </w:rPr>
        <w:t xml:space="preserve">On December 21, 2010, RESA filed a Petition to Withdraw Intervention.  </w:t>
      </w:r>
    </w:p>
    <w:p w:rsidR="00D359D6" w:rsidRPr="00A872A6" w:rsidRDefault="00D359D6" w:rsidP="00D359D6">
      <w:pPr>
        <w:rPr>
          <w:szCs w:val="24"/>
        </w:rPr>
      </w:pPr>
    </w:p>
    <w:p w:rsidR="00D359D6" w:rsidRPr="00A872A6" w:rsidRDefault="00D359D6" w:rsidP="00D359D6">
      <w:pPr>
        <w:rPr>
          <w:szCs w:val="24"/>
        </w:rPr>
      </w:pPr>
      <w:r w:rsidRPr="00A872A6">
        <w:rPr>
          <w:szCs w:val="24"/>
        </w:rPr>
        <w:t>As a result of negotiations</w:t>
      </w:r>
      <w:r w:rsidR="00A01B88">
        <w:rPr>
          <w:szCs w:val="24"/>
        </w:rPr>
        <w:t>,</w:t>
      </w:r>
      <w:r w:rsidR="004021C0">
        <w:rPr>
          <w:szCs w:val="24"/>
        </w:rPr>
        <w:t xml:space="preserve"> Parties</w:t>
      </w:r>
      <w:r w:rsidRPr="00A872A6">
        <w:rPr>
          <w:szCs w:val="24"/>
        </w:rPr>
        <w:t xml:space="preserve"> </w:t>
      </w:r>
      <w:r w:rsidR="00A01B88">
        <w:rPr>
          <w:szCs w:val="24"/>
        </w:rPr>
        <w:t>a</w:t>
      </w:r>
      <w:r w:rsidRPr="00A872A6">
        <w:rPr>
          <w:szCs w:val="24"/>
        </w:rPr>
        <w:t xml:space="preserve">dvised </w:t>
      </w:r>
      <w:r w:rsidR="004021C0">
        <w:rPr>
          <w:szCs w:val="24"/>
        </w:rPr>
        <w:t xml:space="preserve">the ALJ </w:t>
      </w:r>
      <w:r w:rsidRPr="00A872A6">
        <w:rPr>
          <w:szCs w:val="24"/>
        </w:rPr>
        <w:t xml:space="preserve">that </w:t>
      </w:r>
      <w:r w:rsidR="004021C0">
        <w:rPr>
          <w:szCs w:val="24"/>
        </w:rPr>
        <w:t xml:space="preserve">they had reaches a </w:t>
      </w:r>
      <w:r w:rsidRPr="00A872A6">
        <w:rPr>
          <w:szCs w:val="24"/>
        </w:rPr>
        <w:t xml:space="preserve">settlement of all but one </w:t>
      </w:r>
      <w:r w:rsidR="000C45F2">
        <w:rPr>
          <w:szCs w:val="24"/>
        </w:rPr>
        <w:t xml:space="preserve">of the </w:t>
      </w:r>
      <w:r w:rsidRPr="00A872A6">
        <w:rPr>
          <w:szCs w:val="24"/>
        </w:rPr>
        <w:t>issue</w:t>
      </w:r>
      <w:r w:rsidR="004021C0">
        <w:rPr>
          <w:szCs w:val="24"/>
        </w:rPr>
        <w:t>s</w:t>
      </w:r>
      <w:r w:rsidRPr="00A872A6">
        <w:rPr>
          <w:szCs w:val="24"/>
        </w:rPr>
        <w:t xml:space="preserve"> and that cross-examination of the proposed witnesses was not necessary.  Based on these representations, </w:t>
      </w:r>
      <w:r w:rsidR="004021C0">
        <w:rPr>
          <w:szCs w:val="24"/>
        </w:rPr>
        <w:t xml:space="preserve">the ALJ </w:t>
      </w:r>
      <w:r w:rsidRPr="00A872A6">
        <w:rPr>
          <w:szCs w:val="24"/>
        </w:rPr>
        <w:t>cancelled the hearings scheduled for January 20 and 21, 2011.</w:t>
      </w:r>
      <w:r w:rsidR="004021C0">
        <w:rPr>
          <w:szCs w:val="24"/>
        </w:rPr>
        <w:t xml:space="preserve">  </w:t>
      </w:r>
      <w:r w:rsidR="00EB26FE">
        <w:rPr>
          <w:szCs w:val="24"/>
        </w:rPr>
        <w:t xml:space="preserve">R.D. at 3. </w:t>
      </w:r>
    </w:p>
    <w:p w:rsidR="00D359D6" w:rsidRPr="00A872A6" w:rsidRDefault="00D359D6" w:rsidP="00D359D6">
      <w:pPr>
        <w:rPr>
          <w:szCs w:val="24"/>
        </w:rPr>
      </w:pPr>
    </w:p>
    <w:p w:rsidR="00EB26FE" w:rsidRDefault="00D359D6" w:rsidP="00D359D6">
      <w:pPr>
        <w:rPr>
          <w:szCs w:val="24"/>
        </w:rPr>
      </w:pPr>
      <w:r w:rsidRPr="00A872A6">
        <w:rPr>
          <w:szCs w:val="24"/>
        </w:rPr>
        <w:t xml:space="preserve">On January 28, 2011, PECO, </w:t>
      </w:r>
      <w:r w:rsidR="00EB26FE">
        <w:rPr>
          <w:szCs w:val="24"/>
        </w:rPr>
        <w:t xml:space="preserve">the </w:t>
      </w:r>
      <w:r w:rsidRPr="00A872A6">
        <w:rPr>
          <w:szCs w:val="24"/>
        </w:rPr>
        <w:t xml:space="preserve">OCA and </w:t>
      </w:r>
      <w:r w:rsidR="00EB26FE">
        <w:rPr>
          <w:szCs w:val="24"/>
        </w:rPr>
        <w:t xml:space="preserve">the </w:t>
      </w:r>
      <w:r w:rsidRPr="00A872A6">
        <w:rPr>
          <w:szCs w:val="24"/>
        </w:rPr>
        <w:t>OSBA (</w:t>
      </w:r>
      <w:r w:rsidR="00EB26FE">
        <w:rPr>
          <w:szCs w:val="24"/>
        </w:rPr>
        <w:t>S</w:t>
      </w:r>
      <w:r w:rsidRPr="00A872A6">
        <w:rPr>
          <w:szCs w:val="24"/>
        </w:rPr>
        <w:t xml:space="preserve">ettling </w:t>
      </w:r>
      <w:r w:rsidR="00EB26FE">
        <w:rPr>
          <w:szCs w:val="24"/>
        </w:rPr>
        <w:t>P</w:t>
      </w:r>
      <w:r w:rsidRPr="00A872A6">
        <w:rPr>
          <w:szCs w:val="24"/>
        </w:rPr>
        <w:t>arties</w:t>
      </w:r>
      <w:r w:rsidR="00EB26FE">
        <w:rPr>
          <w:szCs w:val="24"/>
        </w:rPr>
        <w:t xml:space="preserve">) </w:t>
      </w:r>
      <w:r>
        <w:rPr>
          <w:szCs w:val="24"/>
        </w:rPr>
        <w:t>filed</w:t>
      </w:r>
      <w:r w:rsidRPr="00A872A6">
        <w:rPr>
          <w:szCs w:val="24"/>
        </w:rPr>
        <w:t xml:space="preserve"> a Joint Petition for Partial Settlement (Settlement</w:t>
      </w:r>
      <w:r w:rsidR="00EB26FE">
        <w:rPr>
          <w:szCs w:val="24"/>
        </w:rPr>
        <w:t>)</w:t>
      </w:r>
      <w:r w:rsidRPr="00A872A6">
        <w:rPr>
          <w:szCs w:val="24"/>
        </w:rPr>
        <w:t xml:space="preserve">.  </w:t>
      </w:r>
      <w:r w:rsidR="00EB26FE">
        <w:rPr>
          <w:szCs w:val="24"/>
        </w:rPr>
        <w:t xml:space="preserve">The Settling Parties </w:t>
      </w:r>
      <w:r w:rsidRPr="00A872A6">
        <w:rPr>
          <w:szCs w:val="24"/>
        </w:rPr>
        <w:t>represented in the Settlement that the other parties (</w:t>
      </w:r>
      <w:r w:rsidR="00EB26FE">
        <w:rPr>
          <w:szCs w:val="24"/>
        </w:rPr>
        <w:t xml:space="preserve">the </w:t>
      </w:r>
      <w:r w:rsidRPr="00A872A6">
        <w:rPr>
          <w:szCs w:val="24"/>
        </w:rPr>
        <w:t>OTS, PAIEUG and Direct Energy) d</w:t>
      </w:r>
      <w:r>
        <w:rPr>
          <w:szCs w:val="24"/>
        </w:rPr>
        <w:t xml:space="preserve">id not oppose the </w:t>
      </w:r>
      <w:r w:rsidR="00EB26FE">
        <w:rPr>
          <w:szCs w:val="24"/>
        </w:rPr>
        <w:t>S</w:t>
      </w:r>
      <w:r>
        <w:rPr>
          <w:szCs w:val="24"/>
        </w:rPr>
        <w:t xml:space="preserve">ettlement.  The </w:t>
      </w:r>
      <w:r w:rsidR="00EB26FE">
        <w:rPr>
          <w:szCs w:val="24"/>
        </w:rPr>
        <w:t>Settling Parties each submitted S</w:t>
      </w:r>
      <w:r w:rsidRPr="00A872A6">
        <w:rPr>
          <w:szCs w:val="24"/>
        </w:rPr>
        <w:t xml:space="preserve">tatements in </w:t>
      </w:r>
      <w:r w:rsidR="00EB26FE">
        <w:rPr>
          <w:szCs w:val="24"/>
        </w:rPr>
        <w:t>S</w:t>
      </w:r>
      <w:r w:rsidRPr="00A872A6">
        <w:rPr>
          <w:szCs w:val="24"/>
        </w:rPr>
        <w:t xml:space="preserve">upport of the </w:t>
      </w:r>
      <w:r w:rsidR="00EB26FE">
        <w:rPr>
          <w:szCs w:val="24"/>
        </w:rPr>
        <w:t>S</w:t>
      </w:r>
      <w:r w:rsidRPr="00A872A6">
        <w:rPr>
          <w:szCs w:val="24"/>
        </w:rPr>
        <w:t xml:space="preserve">ettlement </w:t>
      </w:r>
      <w:r w:rsidR="00EB26FE">
        <w:rPr>
          <w:szCs w:val="24"/>
        </w:rPr>
        <w:t>with the Settlement</w:t>
      </w:r>
      <w:r w:rsidR="00C63259">
        <w:rPr>
          <w:szCs w:val="24"/>
        </w:rPr>
        <w:t xml:space="preserve">. </w:t>
      </w:r>
      <w:r w:rsidR="00E46AC6">
        <w:rPr>
          <w:szCs w:val="24"/>
        </w:rPr>
        <w:t xml:space="preserve"> </w:t>
      </w:r>
      <w:r w:rsidR="0031269A">
        <w:rPr>
          <w:szCs w:val="24"/>
        </w:rPr>
        <w:t xml:space="preserve">As discussed </w:t>
      </w:r>
      <w:r w:rsidR="0031269A" w:rsidRPr="0031269A">
        <w:rPr>
          <w:i/>
          <w:szCs w:val="24"/>
        </w:rPr>
        <w:t>infra</w:t>
      </w:r>
      <w:r w:rsidR="0031269A">
        <w:rPr>
          <w:szCs w:val="24"/>
        </w:rPr>
        <w:t xml:space="preserve">, the Settlement reserves the </w:t>
      </w:r>
      <w:r w:rsidR="00392302">
        <w:rPr>
          <w:szCs w:val="24"/>
        </w:rPr>
        <w:t xml:space="preserve">issue of </w:t>
      </w:r>
      <w:r w:rsidR="00392302">
        <w:rPr>
          <w:szCs w:val="24"/>
        </w:rPr>
        <w:lastRenderedPageBreak/>
        <w:t xml:space="preserve">the </w:t>
      </w:r>
      <w:r w:rsidR="0031269A">
        <w:rPr>
          <w:szCs w:val="24"/>
        </w:rPr>
        <w:t xml:space="preserve">allocation </w:t>
      </w:r>
      <w:r w:rsidR="00FA7761">
        <w:rPr>
          <w:szCs w:val="24"/>
        </w:rPr>
        <w:t xml:space="preserve">of the administrative costs </w:t>
      </w:r>
      <w:r w:rsidR="007721CA">
        <w:rPr>
          <w:szCs w:val="24"/>
        </w:rPr>
        <w:t xml:space="preserve">of the Dynamic Pricing Plan for further litigation.  </w:t>
      </w:r>
      <w:r w:rsidR="00C63259">
        <w:rPr>
          <w:szCs w:val="24"/>
        </w:rPr>
        <w:t>A</w:t>
      </w:r>
      <w:r w:rsidR="00C63259" w:rsidRPr="00A872A6">
        <w:rPr>
          <w:spacing w:val="-3"/>
          <w:szCs w:val="24"/>
        </w:rPr>
        <w:t xml:space="preserve">lso on January 28, 2011, PECO, </w:t>
      </w:r>
      <w:r w:rsidR="00C63259">
        <w:rPr>
          <w:spacing w:val="-3"/>
          <w:szCs w:val="24"/>
        </w:rPr>
        <w:t xml:space="preserve">the </w:t>
      </w:r>
      <w:r w:rsidR="00C63259" w:rsidRPr="00A872A6">
        <w:rPr>
          <w:spacing w:val="-3"/>
          <w:szCs w:val="24"/>
        </w:rPr>
        <w:t xml:space="preserve">OCA, </w:t>
      </w:r>
      <w:r w:rsidR="00C63259">
        <w:rPr>
          <w:spacing w:val="-3"/>
          <w:szCs w:val="24"/>
        </w:rPr>
        <w:t xml:space="preserve">the </w:t>
      </w:r>
      <w:r w:rsidR="00C63259" w:rsidRPr="00A872A6">
        <w:rPr>
          <w:spacing w:val="-3"/>
          <w:szCs w:val="24"/>
        </w:rPr>
        <w:t xml:space="preserve">OSBA, </w:t>
      </w:r>
      <w:r w:rsidR="00C63259">
        <w:rPr>
          <w:spacing w:val="-3"/>
          <w:szCs w:val="24"/>
        </w:rPr>
        <w:t xml:space="preserve">the </w:t>
      </w:r>
      <w:r w:rsidR="00C63259" w:rsidRPr="00A872A6">
        <w:rPr>
          <w:spacing w:val="-3"/>
          <w:szCs w:val="24"/>
        </w:rPr>
        <w:t xml:space="preserve">OTS, PAIEUG and Direct Energy filed a Stipulation and Motion for Admission of Testimony and Exhibits. </w:t>
      </w:r>
      <w:r w:rsidR="00C63259">
        <w:rPr>
          <w:szCs w:val="24"/>
        </w:rPr>
        <w:t xml:space="preserve">  </w:t>
      </w:r>
    </w:p>
    <w:p w:rsidR="007721CA" w:rsidRPr="00A872A6" w:rsidRDefault="007721CA" w:rsidP="00D359D6">
      <w:pPr>
        <w:rPr>
          <w:szCs w:val="24"/>
        </w:rPr>
      </w:pPr>
    </w:p>
    <w:p w:rsidR="00D359D6" w:rsidRPr="00A872A6" w:rsidRDefault="00D359D6" w:rsidP="00D359D6">
      <w:pPr>
        <w:rPr>
          <w:szCs w:val="24"/>
        </w:rPr>
      </w:pPr>
      <w:r w:rsidRPr="00A872A6">
        <w:rPr>
          <w:szCs w:val="24"/>
        </w:rPr>
        <w:t xml:space="preserve">Main Briefs on the reserved issue </w:t>
      </w:r>
      <w:r w:rsidR="007721CA">
        <w:rPr>
          <w:szCs w:val="24"/>
        </w:rPr>
        <w:t xml:space="preserve">of cost allocation </w:t>
      </w:r>
      <w:r w:rsidRPr="00A872A6">
        <w:rPr>
          <w:szCs w:val="24"/>
        </w:rPr>
        <w:t xml:space="preserve">were filed by PECO, </w:t>
      </w:r>
      <w:r w:rsidR="007721CA">
        <w:rPr>
          <w:szCs w:val="24"/>
        </w:rPr>
        <w:t xml:space="preserve">the </w:t>
      </w:r>
      <w:r w:rsidRPr="00A872A6">
        <w:rPr>
          <w:szCs w:val="24"/>
        </w:rPr>
        <w:t xml:space="preserve">OCA, </w:t>
      </w:r>
      <w:r w:rsidR="007721CA">
        <w:rPr>
          <w:szCs w:val="24"/>
        </w:rPr>
        <w:t xml:space="preserve">the </w:t>
      </w:r>
      <w:r w:rsidRPr="00A872A6">
        <w:rPr>
          <w:szCs w:val="24"/>
        </w:rPr>
        <w:t>OSBA and PAIEUG on January 28, 2011.  Reply Briefs were filed by</w:t>
      </w:r>
      <w:r>
        <w:rPr>
          <w:szCs w:val="24"/>
        </w:rPr>
        <w:t xml:space="preserve"> PECO,</w:t>
      </w:r>
      <w:r w:rsidRPr="00A872A6">
        <w:rPr>
          <w:szCs w:val="24"/>
        </w:rPr>
        <w:t xml:space="preserve"> </w:t>
      </w:r>
      <w:r w:rsidR="007721CA">
        <w:rPr>
          <w:szCs w:val="24"/>
        </w:rPr>
        <w:t xml:space="preserve">the </w:t>
      </w:r>
      <w:r w:rsidRPr="00A872A6">
        <w:rPr>
          <w:szCs w:val="24"/>
        </w:rPr>
        <w:t xml:space="preserve">OCA, </w:t>
      </w:r>
      <w:r w:rsidR="007721CA">
        <w:rPr>
          <w:szCs w:val="24"/>
        </w:rPr>
        <w:t xml:space="preserve">the </w:t>
      </w:r>
      <w:r w:rsidRPr="00A872A6">
        <w:rPr>
          <w:szCs w:val="24"/>
        </w:rPr>
        <w:t xml:space="preserve">OSBA and Direct Energy on February 3, 2011.  </w:t>
      </w:r>
      <w:r w:rsidR="007721CA">
        <w:rPr>
          <w:szCs w:val="24"/>
        </w:rPr>
        <w:t xml:space="preserve">The ALJ closed the record on February 4, 2011.  </w:t>
      </w:r>
    </w:p>
    <w:p w:rsidR="00D359D6" w:rsidRPr="00A872A6" w:rsidRDefault="00D359D6" w:rsidP="00D359D6">
      <w:pPr>
        <w:rPr>
          <w:bCs/>
          <w:szCs w:val="24"/>
        </w:rPr>
      </w:pPr>
    </w:p>
    <w:p w:rsidR="009918B1" w:rsidRPr="00A744DA" w:rsidRDefault="00A14B1C" w:rsidP="009918B1">
      <w:pPr>
        <w:keepNext/>
        <w:rPr>
          <w:szCs w:val="24"/>
        </w:rPr>
      </w:pPr>
      <w:r>
        <w:rPr>
          <w:szCs w:val="24"/>
        </w:rPr>
        <w:t xml:space="preserve">By Recommended Decision issued February 23, 2011, the ALJ recommended, </w:t>
      </w:r>
      <w:r w:rsidRPr="00FA7761">
        <w:rPr>
          <w:i/>
          <w:szCs w:val="24"/>
        </w:rPr>
        <w:t>inter alia</w:t>
      </w:r>
      <w:r>
        <w:rPr>
          <w:szCs w:val="24"/>
        </w:rPr>
        <w:t xml:space="preserve">, that the </w:t>
      </w:r>
      <w:r w:rsidR="00B820D8">
        <w:rPr>
          <w:szCs w:val="24"/>
        </w:rPr>
        <w:t xml:space="preserve">Settlement be approved </w:t>
      </w:r>
      <w:r w:rsidR="00FA7761">
        <w:rPr>
          <w:szCs w:val="24"/>
        </w:rPr>
        <w:t xml:space="preserve">and that the administrative costs </w:t>
      </w:r>
      <w:r w:rsidR="004E6936">
        <w:rPr>
          <w:szCs w:val="24"/>
        </w:rPr>
        <w:t xml:space="preserve">assigned to each default service procurement class should be recovered only from the default service customers in those classes through </w:t>
      </w:r>
      <w:r w:rsidR="00392302">
        <w:rPr>
          <w:szCs w:val="24"/>
        </w:rPr>
        <w:t xml:space="preserve">PECO’s </w:t>
      </w:r>
      <w:r w:rsidR="004E6936">
        <w:rPr>
          <w:szCs w:val="24"/>
        </w:rPr>
        <w:t xml:space="preserve">GSA charge. R.D. at 20-23. </w:t>
      </w:r>
      <w:r w:rsidR="00B820D8">
        <w:rPr>
          <w:szCs w:val="24"/>
        </w:rPr>
        <w:t xml:space="preserve"> </w:t>
      </w:r>
      <w:r w:rsidR="00292A61">
        <w:rPr>
          <w:szCs w:val="24"/>
        </w:rPr>
        <w:t xml:space="preserve">The OCA filed Exceptions to the Recommended Decision on March 7, 2011, and </w:t>
      </w:r>
      <w:r w:rsidR="00292A61" w:rsidRPr="00A744DA">
        <w:rPr>
          <w:szCs w:val="24"/>
        </w:rPr>
        <w:t>PECO</w:t>
      </w:r>
      <w:r w:rsidR="00392302">
        <w:rPr>
          <w:szCs w:val="24"/>
        </w:rPr>
        <w:t xml:space="preserve">, the OSBA and Direct Energy </w:t>
      </w:r>
      <w:r w:rsidR="00292A61" w:rsidRPr="00A744DA">
        <w:rPr>
          <w:szCs w:val="24"/>
        </w:rPr>
        <w:t>filed Reply Exceptions on Ma</w:t>
      </w:r>
      <w:r w:rsidR="00A744DA" w:rsidRPr="00A744DA">
        <w:rPr>
          <w:szCs w:val="24"/>
        </w:rPr>
        <w:t>r</w:t>
      </w:r>
      <w:r w:rsidR="00292A61" w:rsidRPr="00A744DA">
        <w:rPr>
          <w:szCs w:val="24"/>
        </w:rPr>
        <w:t xml:space="preserve">ch </w:t>
      </w:r>
      <w:r w:rsidR="00A744DA" w:rsidRPr="00A744DA">
        <w:rPr>
          <w:szCs w:val="24"/>
        </w:rPr>
        <w:t>14, 2011.</w:t>
      </w:r>
      <w:r w:rsidRPr="00A744DA">
        <w:rPr>
          <w:szCs w:val="24"/>
        </w:rPr>
        <w:t xml:space="preserve"> </w:t>
      </w:r>
    </w:p>
    <w:p w:rsidR="009918B1" w:rsidRDefault="009918B1" w:rsidP="009918B1">
      <w:pPr>
        <w:keepNext/>
        <w:rPr>
          <w:szCs w:val="24"/>
        </w:rPr>
      </w:pPr>
    </w:p>
    <w:p w:rsidR="00F06FED" w:rsidRDefault="00F06FED" w:rsidP="00292A61">
      <w:pPr>
        <w:pStyle w:val="Heading1"/>
      </w:pPr>
      <w:r>
        <w:t>III.</w:t>
      </w:r>
      <w:r>
        <w:tab/>
        <w:t>Discussion</w:t>
      </w:r>
    </w:p>
    <w:p w:rsidR="00AD5DB2" w:rsidRDefault="00AD5DB2" w:rsidP="00AD5DB2">
      <w:pPr>
        <w:spacing w:line="240" w:lineRule="auto"/>
      </w:pPr>
    </w:p>
    <w:p w:rsidR="00FA15A6" w:rsidRDefault="00FA15A6" w:rsidP="00FA15A6">
      <w:pPr>
        <w:pStyle w:val="Heading2"/>
      </w:pPr>
      <w:r>
        <w:t>Burden of Proof</w:t>
      </w:r>
    </w:p>
    <w:p w:rsidR="00FA15A6" w:rsidRPr="00AD5DB2" w:rsidRDefault="00FA15A6" w:rsidP="00AD5DB2">
      <w:pPr>
        <w:spacing w:line="240" w:lineRule="auto"/>
      </w:pPr>
    </w:p>
    <w:p w:rsidR="00A13D34" w:rsidRDefault="00A13D34" w:rsidP="00A13D34">
      <w:pPr>
        <w:rPr>
          <w:iCs/>
        </w:rPr>
      </w:pPr>
      <w:r>
        <w:rPr>
          <w:snapToGrid w:val="0"/>
        </w:rPr>
        <w:t>Section 332(a) of the Code, 66 Pa. C.S. §</w:t>
      </w:r>
      <w:r w:rsidR="005A2756">
        <w:rPr>
          <w:snapToGrid w:val="0"/>
        </w:rPr>
        <w:t xml:space="preserve"> </w:t>
      </w:r>
      <w:r>
        <w:rPr>
          <w:snapToGrid w:val="0"/>
        </w:rPr>
        <w:t xml:space="preserve">332(a),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Pr>
          <w:i/>
          <w:snapToGrid w:val="0"/>
        </w:rPr>
        <w:t>Samuel J. Lansberry, Inc. v. Pa. PUC</w:t>
      </w:r>
      <w:r>
        <w:rPr>
          <w:snapToGrid w:val="0"/>
        </w:rPr>
        <w:t>, 578</w:t>
      </w:r>
      <w:r w:rsidRPr="00797A0E">
        <w:rPr>
          <w:rFonts w:cs="Arial"/>
          <w:bCs/>
          <w:szCs w:val="18"/>
        </w:rPr>
        <w:t xml:space="preserve"> A.2d 6</w:t>
      </w:r>
      <w:r>
        <w:rPr>
          <w:rFonts w:cs="Arial"/>
          <w:bCs/>
          <w:szCs w:val="18"/>
        </w:rPr>
        <w:t xml:space="preserve">00, 602 (Pa. Cmwlth. 1990), </w:t>
      </w:r>
      <w:r w:rsidRPr="00E917E9">
        <w:rPr>
          <w:rFonts w:cs="Arial"/>
          <w:bCs/>
          <w:i/>
          <w:szCs w:val="18"/>
        </w:rPr>
        <w:t>alloc. denied</w:t>
      </w:r>
      <w:r>
        <w:rPr>
          <w:rFonts w:cs="Arial"/>
          <w:bCs/>
          <w:szCs w:val="18"/>
        </w:rPr>
        <w:t>, 529 Pa. 654,</w:t>
      </w:r>
      <w:r w:rsidR="005A2756">
        <w:rPr>
          <w:rFonts w:cs="Arial"/>
          <w:bCs/>
          <w:szCs w:val="18"/>
        </w:rPr>
        <w:t xml:space="preserve"> </w:t>
      </w:r>
      <w:r>
        <w:rPr>
          <w:rFonts w:cs="Arial"/>
          <w:bCs/>
          <w:szCs w:val="18"/>
        </w:rPr>
        <w:t>602 A.2d 863 (1992).  T</w:t>
      </w:r>
      <w:r>
        <w:rPr>
          <w:iCs/>
        </w:rPr>
        <w:t xml:space="preserve">he term “preponderance of the evidence” means that one party has presented evidence that is more convincing, by even the smallest amount, than the evidence presented by the other </w:t>
      </w:r>
      <w:r>
        <w:rPr>
          <w:iCs/>
        </w:rPr>
        <w:lastRenderedPageBreak/>
        <w:t xml:space="preserve">party.  </w:t>
      </w:r>
      <w:r>
        <w:rPr>
          <w:i/>
          <w:iCs/>
        </w:rPr>
        <w:t xml:space="preserve">Se-ling Hosiery v. Margulies, </w:t>
      </w:r>
      <w:r>
        <w:rPr>
          <w:iCs/>
        </w:rPr>
        <w:t>364 Pa. 45</w:t>
      </w:r>
      <w:r w:rsidR="005A2756">
        <w:rPr>
          <w:iCs/>
        </w:rPr>
        <w:t xml:space="preserve">, </w:t>
      </w:r>
      <w:r>
        <w:rPr>
          <w:iCs/>
        </w:rPr>
        <w:t xml:space="preserve">70 A.2d 857 (1950).  In this instance, </w:t>
      </w:r>
      <w:r w:rsidR="003E2008">
        <w:rPr>
          <w:iCs/>
        </w:rPr>
        <w:t>PECO</w:t>
      </w:r>
      <w:r>
        <w:rPr>
          <w:iCs/>
        </w:rPr>
        <w:t xml:space="preserve"> has the burden of proof.</w:t>
      </w:r>
    </w:p>
    <w:p w:rsidR="00D364F6" w:rsidRDefault="00D364F6" w:rsidP="00A13D34">
      <w:pPr>
        <w:rPr>
          <w:iCs/>
        </w:rPr>
      </w:pPr>
    </w:p>
    <w:p w:rsidR="003E2008" w:rsidRDefault="0056062B" w:rsidP="0064219A">
      <w:pPr>
        <w:pStyle w:val="Heading2"/>
      </w:pPr>
      <w:r>
        <w:tab/>
      </w:r>
      <w:r w:rsidR="00E411DC">
        <w:t xml:space="preserve">Relevant </w:t>
      </w:r>
      <w:r w:rsidR="003E2008">
        <w:t>Requirements of Act 129</w:t>
      </w:r>
    </w:p>
    <w:p w:rsidR="00464C96" w:rsidRDefault="00464C96" w:rsidP="0064219A">
      <w:pPr>
        <w:keepNext/>
        <w:spacing w:line="240" w:lineRule="auto"/>
      </w:pPr>
    </w:p>
    <w:p w:rsidR="00464C96" w:rsidRPr="00464C96" w:rsidRDefault="00464C96" w:rsidP="0064219A">
      <w:pPr>
        <w:pStyle w:val="Heading3"/>
        <w:ind w:left="2520"/>
      </w:pPr>
      <w:r>
        <w:t>T</w:t>
      </w:r>
      <w:r w:rsidRPr="00A872A6">
        <w:t>ime-of-</w:t>
      </w:r>
      <w:r>
        <w:t>U</w:t>
      </w:r>
      <w:r w:rsidRPr="00A872A6">
        <w:t xml:space="preserve">se </w:t>
      </w:r>
      <w:r>
        <w:t>R</w:t>
      </w:r>
      <w:r w:rsidRPr="00A872A6">
        <w:t xml:space="preserve">ates and </w:t>
      </w:r>
      <w:r>
        <w:t>R</w:t>
      </w:r>
      <w:r w:rsidRPr="00A872A6">
        <w:t>eal-</w:t>
      </w:r>
      <w:r>
        <w:t>T</w:t>
      </w:r>
      <w:r w:rsidRPr="00A872A6">
        <w:t xml:space="preserve">ime </w:t>
      </w:r>
      <w:r>
        <w:t>P</w:t>
      </w:r>
      <w:r w:rsidRPr="00A872A6">
        <w:t xml:space="preserve">rice </w:t>
      </w:r>
      <w:r>
        <w:t>P</w:t>
      </w:r>
      <w:r w:rsidRPr="00A872A6">
        <w:t>lans</w:t>
      </w:r>
    </w:p>
    <w:p w:rsidR="003E2008" w:rsidRPr="008313F9" w:rsidRDefault="003E2008" w:rsidP="0064219A">
      <w:pPr>
        <w:keepNext/>
        <w:spacing w:line="240" w:lineRule="auto"/>
      </w:pPr>
    </w:p>
    <w:p w:rsidR="0056062B" w:rsidRDefault="003E2008" w:rsidP="0064219A">
      <w:pPr>
        <w:keepNext/>
        <w:rPr>
          <w:szCs w:val="24"/>
        </w:rPr>
      </w:pPr>
      <w:r w:rsidRPr="00A872A6">
        <w:rPr>
          <w:szCs w:val="24"/>
        </w:rPr>
        <w:t xml:space="preserve">Act </w:t>
      </w:r>
      <w:r w:rsidR="00666024">
        <w:rPr>
          <w:szCs w:val="24"/>
        </w:rPr>
        <w:t xml:space="preserve">129 </w:t>
      </w:r>
      <w:r w:rsidRPr="00A872A6">
        <w:rPr>
          <w:szCs w:val="24"/>
        </w:rPr>
        <w:t xml:space="preserve">requires electric distribution companies and default service providers, such as PECO, </w:t>
      </w:r>
      <w:r w:rsidR="00666024">
        <w:rPr>
          <w:szCs w:val="24"/>
        </w:rPr>
        <w:t>to</w:t>
      </w:r>
      <w:r w:rsidRPr="00A872A6">
        <w:rPr>
          <w:szCs w:val="24"/>
        </w:rPr>
        <w:t xml:space="preserve"> submit “one or more proposed time-of-use rates and real-time price plans” for customers who have smart meters.  </w:t>
      </w:r>
      <w:r w:rsidR="00C83117" w:rsidRPr="0004323C">
        <w:rPr>
          <w:szCs w:val="24"/>
        </w:rPr>
        <w:t>66 Pa.</w:t>
      </w:r>
      <w:r w:rsidR="00C83117">
        <w:rPr>
          <w:szCs w:val="24"/>
        </w:rPr>
        <w:t xml:space="preserve"> </w:t>
      </w:r>
      <w:r w:rsidR="00C83117" w:rsidRPr="0004323C">
        <w:rPr>
          <w:szCs w:val="24"/>
        </w:rPr>
        <w:t>C.S. § 2807(f)(5)</w:t>
      </w:r>
      <w:r w:rsidR="00C83117">
        <w:rPr>
          <w:szCs w:val="24"/>
        </w:rPr>
        <w:t>.</w:t>
      </w:r>
      <w:r w:rsidR="00464C96">
        <w:rPr>
          <w:szCs w:val="24"/>
        </w:rPr>
        <w:t xml:space="preserve">  Act 129 defines </w:t>
      </w:r>
      <w:r w:rsidR="00922B95">
        <w:rPr>
          <w:szCs w:val="24"/>
        </w:rPr>
        <w:t>“</w:t>
      </w:r>
      <w:r w:rsidR="00591E39">
        <w:rPr>
          <w:szCs w:val="24"/>
        </w:rPr>
        <w:t>time-of-use rate</w:t>
      </w:r>
      <w:r w:rsidR="00922B95">
        <w:rPr>
          <w:szCs w:val="24"/>
        </w:rPr>
        <w:t>”</w:t>
      </w:r>
      <w:r w:rsidR="00591E39">
        <w:rPr>
          <w:szCs w:val="24"/>
        </w:rPr>
        <w:t xml:space="preserve"> as “</w:t>
      </w:r>
      <w:r w:rsidR="006B6716">
        <w:rPr>
          <w:szCs w:val="24"/>
        </w:rPr>
        <w:t>[a]</w:t>
      </w:r>
      <w:r w:rsidR="00591E39">
        <w:rPr>
          <w:szCs w:val="24"/>
        </w:rPr>
        <w:t xml:space="preserve"> rate that reflects the costs of serving customers during different time periods, including off-peak and on-peak periods, but not as frequently as each hour.” </w:t>
      </w:r>
      <w:r w:rsidR="005A2756">
        <w:rPr>
          <w:szCs w:val="24"/>
        </w:rPr>
        <w:t xml:space="preserve">66 Pa. C.S. </w:t>
      </w:r>
      <w:r w:rsidR="005A2756">
        <w:rPr>
          <w:rFonts w:cs="Times New Roman"/>
          <w:szCs w:val="24"/>
        </w:rPr>
        <w:t>§</w:t>
      </w:r>
      <w:r w:rsidR="005A2756">
        <w:rPr>
          <w:szCs w:val="24"/>
        </w:rPr>
        <w:t xml:space="preserve"> 2801.1(m)</w:t>
      </w:r>
      <w:r w:rsidR="00591E39">
        <w:rPr>
          <w:szCs w:val="24"/>
        </w:rPr>
        <w:t xml:space="preserve"> </w:t>
      </w:r>
      <w:r w:rsidR="00922B95">
        <w:rPr>
          <w:szCs w:val="24"/>
        </w:rPr>
        <w:t>“Real-time price</w:t>
      </w:r>
      <w:r w:rsidR="006B6716">
        <w:rPr>
          <w:szCs w:val="24"/>
        </w:rPr>
        <w:t>”</w:t>
      </w:r>
      <w:r w:rsidR="00922B95">
        <w:rPr>
          <w:szCs w:val="24"/>
        </w:rPr>
        <w:t xml:space="preserve"> is defined as “</w:t>
      </w:r>
      <w:r w:rsidR="006B6716">
        <w:rPr>
          <w:szCs w:val="24"/>
        </w:rPr>
        <w:t>[a]</w:t>
      </w:r>
      <w:r w:rsidR="00922B95">
        <w:rPr>
          <w:szCs w:val="24"/>
        </w:rPr>
        <w:t xml:space="preserve"> rate that directly reflects the different cost of energy during each hour.” </w:t>
      </w:r>
      <w:r w:rsidR="005A2756" w:rsidRPr="0027744E">
        <w:rPr>
          <w:i/>
          <w:sz w:val="24"/>
          <w:szCs w:val="24"/>
        </w:rPr>
        <w:t>Id</w:t>
      </w:r>
      <w:r w:rsidR="005A2756">
        <w:rPr>
          <w:szCs w:val="24"/>
        </w:rPr>
        <w:t xml:space="preserve">. </w:t>
      </w:r>
      <w:r w:rsidR="006B6716">
        <w:rPr>
          <w:szCs w:val="24"/>
        </w:rPr>
        <w:t xml:space="preserve"> </w:t>
      </w:r>
      <w:r w:rsidRPr="00A872A6">
        <w:rPr>
          <w:szCs w:val="24"/>
        </w:rPr>
        <w:t xml:space="preserve">PECO </w:t>
      </w:r>
      <w:r w:rsidR="00666024">
        <w:rPr>
          <w:szCs w:val="24"/>
        </w:rPr>
        <w:t xml:space="preserve">stated that it </w:t>
      </w:r>
      <w:r w:rsidRPr="00A872A6">
        <w:rPr>
          <w:szCs w:val="24"/>
        </w:rPr>
        <w:t xml:space="preserve">is proposing to offer two different rate options as part of the </w:t>
      </w:r>
      <w:r w:rsidR="0060103F">
        <w:rPr>
          <w:szCs w:val="24"/>
        </w:rPr>
        <w:t>D</w:t>
      </w:r>
      <w:r w:rsidRPr="00A872A6">
        <w:rPr>
          <w:szCs w:val="24"/>
        </w:rPr>
        <w:t xml:space="preserve">ynamic </w:t>
      </w:r>
      <w:r w:rsidR="0060103F">
        <w:rPr>
          <w:szCs w:val="24"/>
        </w:rPr>
        <w:t>P</w:t>
      </w:r>
      <w:r w:rsidRPr="00A872A6">
        <w:rPr>
          <w:szCs w:val="24"/>
        </w:rPr>
        <w:t xml:space="preserve">ricing </w:t>
      </w:r>
      <w:r w:rsidR="0060103F">
        <w:rPr>
          <w:szCs w:val="24"/>
        </w:rPr>
        <w:t>P</w:t>
      </w:r>
      <w:r w:rsidRPr="00A872A6">
        <w:rPr>
          <w:szCs w:val="24"/>
        </w:rPr>
        <w:t>lan to satisfy th</w:t>
      </w:r>
      <w:r w:rsidR="006B6716">
        <w:rPr>
          <w:szCs w:val="24"/>
        </w:rPr>
        <w:t>e</w:t>
      </w:r>
      <w:r w:rsidRPr="00A872A6">
        <w:rPr>
          <w:szCs w:val="24"/>
        </w:rPr>
        <w:t xml:space="preserve"> requirement</w:t>
      </w:r>
      <w:r w:rsidR="006B6716">
        <w:rPr>
          <w:szCs w:val="24"/>
        </w:rPr>
        <w:t>s of Act 129</w:t>
      </w:r>
      <w:r w:rsidR="00C14B2D">
        <w:rPr>
          <w:szCs w:val="24"/>
        </w:rPr>
        <w:t>:</w:t>
      </w:r>
      <w:r w:rsidRPr="00A872A6">
        <w:rPr>
          <w:szCs w:val="24"/>
        </w:rPr>
        <w:t xml:space="preserve">  CPP and </w:t>
      </w:r>
      <w:r w:rsidR="00666024">
        <w:rPr>
          <w:szCs w:val="24"/>
        </w:rPr>
        <w:t>T</w:t>
      </w:r>
      <w:r w:rsidRPr="00A872A6">
        <w:rPr>
          <w:szCs w:val="24"/>
        </w:rPr>
        <w:t xml:space="preserve">OU pricing.  </w:t>
      </w:r>
      <w:r w:rsidR="0056062B" w:rsidRPr="00A872A6">
        <w:rPr>
          <w:szCs w:val="24"/>
        </w:rPr>
        <w:t>PECO Statement in Support at 2.</w:t>
      </w:r>
    </w:p>
    <w:p w:rsidR="00E04AE9" w:rsidRDefault="00E04AE9" w:rsidP="003E2008">
      <w:pPr>
        <w:rPr>
          <w:szCs w:val="24"/>
        </w:rPr>
      </w:pPr>
    </w:p>
    <w:p w:rsidR="003E2008" w:rsidRDefault="00E04AE9" w:rsidP="003E2008">
      <w:pPr>
        <w:rPr>
          <w:szCs w:val="24"/>
        </w:rPr>
      </w:pPr>
      <w:r>
        <w:rPr>
          <w:szCs w:val="24"/>
        </w:rPr>
        <w:t xml:space="preserve">PECO explained that </w:t>
      </w:r>
      <w:r w:rsidR="003E2008" w:rsidRPr="00A872A6">
        <w:rPr>
          <w:szCs w:val="24"/>
        </w:rPr>
        <w:t>CPP features a discounted flat rate for all kWh consumed other than when critical days are called (</w:t>
      </w:r>
      <w:r w:rsidR="0027744E">
        <w:rPr>
          <w:szCs w:val="24"/>
        </w:rPr>
        <w:t xml:space="preserve">fifteen </w:t>
      </w:r>
      <w:r w:rsidR="003E2008" w:rsidRPr="00A872A6">
        <w:rPr>
          <w:szCs w:val="24"/>
        </w:rPr>
        <w:t xml:space="preserve">days per summer), and a discounted off-peak rate for the other hours of the year.  On critical days, customers will pay a premium for all kWh used during a 4-hour peak period.  Under TOU pricing, each weekday is divided into peak and off-peak periods, and customers pay a discounted rate for off-peak usage and a higher rate for peak usage relative to PECO’s standard, non-time-differentiated tariff.  The peak period is defined as between 2:00 p.m. and 6:00 p.m. on non-holiday summer weekdays (June through September).  Residential customers not enrolled in the company’s Customer Assistance Program (CAP) will be eligible for both CPP and TOU rates; small and medium commercial and industrial </w:t>
      </w:r>
      <w:r w:rsidR="00CE2DF8">
        <w:rPr>
          <w:szCs w:val="24"/>
        </w:rPr>
        <w:t xml:space="preserve">(C&amp;I) </w:t>
      </w:r>
      <w:r w:rsidR="003E2008" w:rsidRPr="00A872A6">
        <w:rPr>
          <w:szCs w:val="24"/>
        </w:rPr>
        <w:t>customers will be eligible for the CPP rate only</w:t>
      </w:r>
      <w:r w:rsidR="00C14B2D">
        <w:rPr>
          <w:szCs w:val="24"/>
        </w:rPr>
        <w:t xml:space="preserve">.  </w:t>
      </w:r>
      <w:r w:rsidR="000B14F1" w:rsidRPr="000B14F1">
        <w:rPr>
          <w:i/>
          <w:szCs w:val="24"/>
        </w:rPr>
        <w:t>Id.</w:t>
      </w:r>
      <w:r w:rsidR="00C14B2D" w:rsidRPr="00A872A6">
        <w:rPr>
          <w:szCs w:val="24"/>
        </w:rPr>
        <w:t xml:space="preserve"> at 2.</w:t>
      </w:r>
    </w:p>
    <w:p w:rsidR="00C14B2D" w:rsidRPr="00A872A6" w:rsidRDefault="00C14B2D" w:rsidP="003E2008">
      <w:pPr>
        <w:rPr>
          <w:szCs w:val="24"/>
        </w:rPr>
      </w:pPr>
    </w:p>
    <w:p w:rsidR="00C14B2D" w:rsidRDefault="003E2008" w:rsidP="003E2008">
      <w:pPr>
        <w:rPr>
          <w:szCs w:val="24"/>
        </w:rPr>
      </w:pPr>
      <w:r w:rsidRPr="00A872A6">
        <w:rPr>
          <w:szCs w:val="24"/>
        </w:rPr>
        <w:t xml:space="preserve">PECO further stated that, “PECO’s Plan, as modified by the Settlement, will implement a robust and balanced ‘test and learn’ approach to determine effective combinations of dynamic rate design, technology, marketing and educational strategies for its customers.  The lessons learned from this initial testing will allow for the successful broad-scale deployment of dynamic rates throughout the company’s service territory and will add to the general body of knowledge about customer acceptance of dynamic pricing rates.”  </w:t>
      </w:r>
      <w:r w:rsidR="000B14F1" w:rsidRPr="00EA052C">
        <w:rPr>
          <w:i/>
          <w:szCs w:val="24"/>
        </w:rPr>
        <w:t>Id</w:t>
      </w:r>
      <w:r w:rsidR="00EA052C">
        <w:rPr>
          <w:szCs w:val="24"/>
        </w:rPr>
        <w:t>.</w:t>
      </w:r>
      <w:r w:rsidRPr="00A872A6">
        <w:rPr>
          <w:szCs w:val="24"/>
        </w:rPr>
        <w:t xml:space="preserve"> at 2.  </w:t>
      </w:r>
    </w:p>
    <w:p w:rsidR="00B230EF" w:rsidRDefault="00B230EF" w:rsidP="003E2008">
      <w:pPr>
        <w:rPr>
          <w:szCs w:val="24"/>
        </w:rPr>
      </w:pPr>
    </w:p>
    <w:p w:rsidR="00C14B2D" w:rsidRDefault="00A11A91" w:rsidP="003E2008">
      <w:pPr>
        <w:rPr>
          <w:szCs w:val="24"/>
        </w:rPr>
      </w:pPr>
      <w:r>
        <w:rPr>
          <w:szCs w:val="24"/>
        </w:rPr>
        <w:t xml:space="preserve">The ALJ concluded that </w:t>
      </w:r>
      <w:r w:rsidR="00CE2DF8">
        <w:rPr>
          <w:szCs w:val="24"/>
        </w:rPr>
        <w:t xml:space="preserve">PECO’s approach is reasonable given that dynamically priced rates for service will be a new type of offering for PECO’s residential and small C&amp;I customers.  </w:t>
      </w:r>
      <w:r w:rsidR="00900021">
        <w:rPr>
          <w:szCs w:val="24"/>
        </w:rPr>
        <w:t xml:space="preserve">R.D. at 11.  </w:t>
      </w:r>
      <w:r w:rsidR="00C83117">
        <w:rPr>
          <w:szCs w:val="24"/>
        </w:rPr>
        <w:t xml:space="preserve">We agree.  </w:t>
      </w:r>
      <w:r w:rsidR="00B14A85">
        <w:rPr>
          <w:szCs w:val="24"/>
        </w:rPr>
        <w:t xml:space="preserve">It is essential that default service providers develop the appropriate </w:t>
      </w:r>
      <w:r w:rsidR="0022267D">
        <w:rPr>
          <w:szCs w:val="24"/>
        </w:rPr>
        <w:t xml:space="preserve">combination </w:t>
      </w:r>
      <w:r w:rsidR="007B10DA">
        <w:rPr>
          <w:szCs w:val="24"/>
        </w:rPr>
        <w:t xml:space="preserve">of </w:t>
      </w:r>
      <w:r w:rsidR="0022267D" w:rsidRPr="00A872A6">
        <w:rPr>
          <w:szCs w:val="24"/>
        </w:rPr>
        <w:t xml:space="preserve">marketing and educational strategies </w:t>
      </w:r>
      <w:r w:rsidR="0022267D">
        <w:rPr>
          <w:szCs w:val="24"/>
        </w:rPr>
        <w:t xml:space="preserve">that will attract customers to the program and cost-based rate designs that will induce participating customers to alter their consumption patterns.  </w:t>
      </w:r>
      <w:r w:rsidR="00021BF7">
        <w:rPr>
          <w:szCs w:val="24"/>
        </w:rPr>
        <w:t xml:space="preserve">PECO’s </w:t>
      </w:r>
      <w:r w:rsidR="00B91C32">
        <w:rPr>
          <w:szCs w:val="24"/>
        </w:rPr>
        <w:t>D</w:t>
      </w:r>
      <w:r w:rsidR="00B91C32" w:rsidRPr="00A872A6">
        <w:rPr>
          <w:szCs w:val="24"/>
        </w:rPr>
        <w:t xml:space="preserve">ynamic </w:t>
      </w:r>
      <w:r w:rsidR="00B91C32">
        <w:rPr>
          <w:szCs w:val="24"/>
        </w:rPr>
        <w:t>P</w:t>
      </w:r>
      <w:r w:rsidR="00B91C32" w:rsidRPr="00A872A6">
        <w:rPr>
          <w:szCs w:val="24"/>
        </w:rPr>
        <w:t xml:space="preserve">ricing </w:t>
      </w:r>
      <w:r w:rsidR="00021BF7">
        <w:rPr>
          <w:szCs w:val="24"/>
        </w:rPr>
        <w:t xml:space="preserve">Plan should provide valuable insights into </w:t>
      </w:r>
      <w:r w:rsidR="0027744E">
        <w:rPr>
          <w:szCs w:val="24"/>
        </w:rPr>
        <w:t>t</w:t>
      </w:r>
      <w:r w:rsidR="007B10DA">
        <w:rPr>
          <w:szCs w:val="24"/>
        </w:rPr>
        <w:t xml:space="preserve">he </w:t>
      </w:r>
      <w:r w:rsidR="00021BF7">
        <w:rPr>
          <w:szCs w:val="24"/>
        </w:rPr>
        <w:t xml:space="preserve">design and </w:t>
      </w:r>
      <w:r w:rsidR="007B10DA">
        <w:rPr>
          <w:szCs w:val="24"/>
        </w:rPr>
        <w:t>implementation</w:t>
      </w:r>
      <w:r w:rsidR="00021BF7">
        <w:rPr>
          <w:szCs w:val="24"/>
        </w:rPr>
        <w:t xml:space="preserve"> </w:t>
      </w:r>
      <w:r w:rsidR="007B10DA">
        <w:rPr>
          <w:szCs w:val="24"/>
        </w:rPr>
        <w:t xml:space="preserve">of </w:t>
      </w:r>
      <w:r w:rsidR="00021BF7">
        <w:rPr>
          <w:szCs w:val="24"/>
        </w:rPr>
        <w:t>successful load management rate programs</w:t>
      </w:r>
      <w:r w:rsidR="00A30814">
        <w:rPr>
          <w:szCs w:val="24"/>
        </w:rPr>
        <w:t xml:space="preserve"> and should be adopted, subject to the modifications discussed </w:t>
      </w:r>
      <w:r w:rsidR="00A30814" w:rsidRPr="00A30814">
        <w:rPr>
          <w:i/>
          <w:szCs w:val="24"/>
        </w:rPr>
        <w:t>infra</w:t>
      </w:r>
      <w:r w:rsidR="00A30814">
        <w:rPr>
          <w:szCs w:val="24"/>
        </w:rPr>
        <w:t xml:space="preserve">. </w:t>
      </w:r>
    </w:p>
    <w:p w:rsidR="00021BF7" w:rsidRDefault="00021BF7" w:rsidP="003E2008">
      <w:pPr>
        <w:rPr>
          <w:szCs w:val="24"/>
        </w:rPr>
      </w:pPr>
    </w:p>
    <w:p w:rsidR="00EA052C" w:rsidRPr="00EA052C" w:rsidRDefault="00EA052C" w:rsidP="00E411DC">
      <w:pPr>
        <w:pStyle w:val="Heading3"/>
        <w:ind w:left="2520"/>
      </w:pPr>
      <w:r w:rsidRPr="00EA052C">
        <w:t xml:space="preserve">Availability of Rate Options </w:t>
      </w:r>
    </w:p>
    <w:p w:rsidR="00EA052C" w:rsidRDefault="00EA052C" w:rsidP="00EA052C">
      <w:pPr>
        <w:spacing w:line="240" w:lineRule="auto"/>
        <w:rPr>
          <w:szCs w:val="24"/>
        </w:rPr>
      </w:pPr>
    </w:p>
    <w:p w:rsidR="0027744E" w:rsidRDefault="0004323C" w:rsidP="003E2008">
      <w:pPr>
        <w:rPr>
          <w:szCs w:val="24"/>
        </w:rPr>
      </w:pPr>
      <w:r>
        <w:rPr>
          <w:szCs w:val="24"/>
        </w:rPr>
        <w:t>Act 129 requires that the default service provider shall offer the TOU rates and real-time price plan to all customers that have been offered smart meter technology</w:t>
      </w:r>
      <w:r w:rsidR="00DE0794">
        <w:rPr>
          <w:szCs w:val="24"/>
        </w:rPr>
        <w:t xml:space="preserve"> under </w:t>
      </w:r>
      <w:r w:rsidR="00DE0794" w:rsidRPr="0004323C">
        <w:rPr>
          <w:szCs w:val="24"/>
        </w:rPr>
        <w:t>66 Pa.</w:t>
      </w:r>
      <w:r w:rsidR="00DE0794">
        <w:rPr>
          <w:szCs w:val="24"/>
        </w:rPr>
        <w:t xml:space="preserve"> </w:t>
      </w:r>
      <w:r w:rsidR="00DE0794" w:rsidRPr="0004323C">
        <w:rPr>
          <w:szCs w:val="24"/>
        </w:rPr>
        <w:t>C.S. § 2807(f)(</w:t>
      </w:r>
      <w:r w:rsidR="00DE0794">
        <w:rPr>
          <w:szCs w:val="24"/>
        </w:rPr>
        <w:t>2</w:t>
      </w:r>
      <w:r w:rsidR="00DE0794" w:rsidRPr="0004323C">
        <w:rPr>
          <w:szCs w:val="24"/>
        </w:rPr>
        <w:t>)</w:t>
      </w:r>
      <w:r w:rsidR="00DE0794">
        <w:rPr>
          <w:szCs w:val="24"/>
        </w:rPr>
        <w:t>(iii).</w:t>
      </w:r>
      <w:r>
        <w:rPr>
          <w:szCs w:val="24"/>
        </w:rPr>
        <w:t xml:space="preserve">  </w:t>
      </w:r>
      <w:r w:rsidR="003275BE" w:rsidRPr="0004323C">
        <w:rPr>
          <w:szCs w:val="24"/>
        </w:rPr>
        <w:t>66 Pa.</w:t>
      </w:r>
      <w:r w:rsidR="003275BE">
        <w:rPr>
          <w:szCs w:val="24"/>
        </w:rPr>
        <w:t xml:space="preserve"> </w:t>
      </w:r>
      <w:r w:rsidR="003275BE" w:rsidRPr="0004323C">
        <w:rPr>
          <w:szCs w:val="24"/>
        </w:rPr>
        <w:t>C.S. § 2807(f)(5)</w:t>
      </w:r>
      <w:r w:rsidR="003275BE">
        <w:rPr>
          <w:szCs w:val="24"/>
        </w:rPr>
        <w:t xml:space="preserve">.  </w:t>
      </w:r>
      <w:r w:rsidR="00DE0794">
        <w:rPr>
          <w:szCs w:val="24"/>
        </w:rPr>
        <w:t>Section 2807(f)(2)(iii) requires EDCs to furnish smart meter</w:t>
      </w:r>
      <w:r w:rsidR="007B10DA">
        <w:rPr>
          <w:szCs w:val="24"/>
        </w:rPr>
        <w:t xml:space="preserve"> technology</w:t>
      </w:r>
      <w:r w:rsidR="00DE0794">
        <w:rPr>
          <w:szCs w:val="24"/>
        </w:rPr>
        <w:t xml:space="preserve"> in accordance with a depreciation schedule </w:t>
      </w:r>
      <w:r w:rsidR="00904F8B">
        <w:rPr>
          <w:szCs w:val="24"/>
        </w:rPr>
        <w:t xml:space="preserve">not to exceed fifteen years.  </w:t>
      </w:r>
    </w:p>
    <w:p w:rsidR="0027744E" w:rsidRDefault="0027744E" w:rsidP="003E2008">
      <w:pPr>
        <w:rPr>
          <w:szCs w:val="24"/>
        </w:rPr>
      </w:pPr>
    </w:p>
    <w:p w:rsidR="00091843" w:rsidRDefault="00F5324E" w:rsidP="003E2008">
      <w:pPr>
        <w:rPr>
          <w:szCs w:val="24"/>
        </w:rPr>
      </w:pPr>
      <w:r>
        <w:rPr>
          <w:szCs w:val="24"/>
        </w:rPr>
        <w:t>In its Petition, PECO explained that it</w:t>
      </w:r>
      <w:r w:rsidR="003E2008" w:rsidRPr="00A872A6">
        <w:rPr>
          <w:szCs w:val="24"/>
        </w:rPr>
        <w:t xml:space="preserve"> proposes to package the CPP and TOU rate options with different combinations of marketing, education and enabling </w:t>
      </w:r>
      <w:r w:rsidR="003E2008" w:rsidRPr="00A872A6">
        <w:rPr>
          <w:szCs w:val="24"/>
        </w:rPr>
        <w:lastRenderedPageBreak/>
        <w:t>technology “in order to understand the effect on enrollment of each feature, including the rate i</w:t>
      </w:r>
      <w:r w:rsidR="003E2008">
        <w:rPr>
          <w:szCs w:val="24"/>
        </w:rPr>
        <w:t>tself.”  Only customers in the “</w:t>
      </w:r>
      <w:r w:rsidR="003E2008" w:rsidRPr="00A872A6">
        <w:rPr>
          <w:szCs w:val="24"/>
        </w:rPr>
        <w:t>test and learn</w:t>
      </w:r>
      <w:r w:rsidR="003E2008">
        <w:rPr>
          <w:szCs w:val="24"/>
        </w:rPr>
        <w:t>”</w:t>
      </w:r>
      <w:r w:rsidR="003E2008" w:rsidRPr="00A872A6">
        <w:rPr>
          <w:szCs w:val="24"/>
        </w:rPr>
        <w:t xml:space="preserve"> population (estimated to be between 150,000 and 200,00</w:t>
      </w:r>
      <w:r w:rsidR="0027744E">
        <w:rPr>
          <w:szCs w:val="24"/>
        </w:rPr>
        <w:t>0</w:t>
      </w:r>
      <w:r w:rsidR="003E2008" w:rsidRPr="00A872A6">
        <w:rPr>
          <w:szCs w:val="24"/>
        </w:rPr>
        <w:t xml:space="preserve"> customers) will be offered the opportunity to enroll in these options proactively, although any customer with a smart meter installed may request to be placed on a dynamic rate.  </w:t>
      </w:r>
      <w:r w:rsidR="003F5056">
        <w:rPr>
          <w:szCs w:val="24"/>
        </w:rPr>
        <w:t xml:space="preserve">Petition at 6-7.  </w:t>
      </w:r>
      <w:r w:rsidR="00FF5CD8">
        <w:rPr>
          <w:szCs w:val="24"/>
        </w:rPr>
        <w:t xml:space="preserve">Since </w:t>
      </w:r>
      <w:r w:rsidR="001516A5">
        <w:rPr>
          <w:szCs w:val="24"/>
        </w:rPr>
        <w:t xml:space="preserve">all </w:t>
      </w:r>
      <w:r w:rsidR="00FF5CD8">
        <w:rPr>
          <w:szCs w:val="24"/>
        </w:rPr>
        <w:t xml:space="preserve">customers with a smart meter may participate in the CPP and TOU rate options </w:t>
      </w:r>
      <w:r w:rsidR="002E148D">
        <w:rPr>
          <w:szCs w:val="24"/>
        </w:rPr>
        <w:t xml:space="preserve">proposed by the instant Petition </w:t>
      </w:r>
      <w:r w:rsidR="00FF5CD8">
        <w:rPr>
          <w:szCs w:val="24"/>
        </w:rPr>
        <w:t xml:space="preserve">and </w:t>
      </w:r>
      <w:r w:rsidR="00795E27">
        <w:rPr>
          <w:szCs w:val="24"/>
        </w:rPr>
        <w:t xml:space="preserve">since PECO will </w:t>
      </w:r>
      <w:r w:rsidR="00904F8B">
        <w:rPr>
          <w:szCs w:val="24"/>
        </w:rPr>
        <w:t>off</w:t>
      </w:r>
      <w:r w:rsidR="002E148D">
        <w:rPr>
          <w:szCs w:val="24"/>
        </w:rPr>
        <w:t>er</w:t>
      </w:r>
      <w:r w:rsidR="00904F8B">
        <w:rPr>
          <w:szCs w:val="24"/>
        </w:rPr>
        <w:t xml:space="preserve"> TOU rates and real-time price plan</w:t>
      </w:r>
      <w:r w:rsidR="002E148D">
        <w:rPr>
          <w:szCs w:val="24"/>
        </w:rPr>
        <w:t>s</w:t>
      </w:r>
      <w:r w:rsidR="00904F8B">
        <w:rPr>
          <w:szCs w:val="24"/>
        </w:rPr>
        <w:t xml:space="preserve"> </w:t>
      </w:r>
      <w:r w:rsidR="002E148D">
        <w:rPr>
          <w:szCs w:val="24"/>
        </w:rPr>
        <w:t>for all customers with smart meter</w:t>
      </w:r>
      <w:r w:rsidR="003B6876">
        <w:rPr>
          <w:szCs w:val="24"/>
        </w:rPr>
        <w:t>s</w:t>
      </w:r>
      <w:r w:rsidR="002E148D">
        <w:rPr>
          <w:szCs w:val="24"/>
        </w:rPr>
        <w:t xml:space="preserve"> concurrent with the system-wide deployment of smart meters, we find that the Petition </w:t>
      </w:r>
      <w:r w:rsidR="001516A5">
        <w:rPr>
          <w:szCs w:val="24"/>
        </w:rPr>
        <w:t>compl</w:t>
      </w:r>
      <w:r w:rsidR="00B91C32">
        <w:rPr>
          <w:szCs w:val="24"/>
        </w:rPr>
        <w:t>ies</w:t>
      </w:r>
      <w:r w:rsidR="001516A5">
        <w:rPr>
          <w:szCs w:val="24"/>
        </w:rPr>
        <w:t xml:space="preserve"> with the availability requirement of </w:t>
      </w:r>
      <w:r w:rsidR="001516A5" w:rsidRPr="0004323C">
        <w:rPr>
          <w:szCs w:val="24"/>
        </w:rPr>
        <w:t>66 Pa.</w:t>
      </w:r>
      <w:r w:rsidR="001516A5">
        <w:rPr>
          <w:szCs w:val="24"/>
        </w:rPr>
        <w:t xml:space="preserve"> </w:t>
      </w:r>
      <w:r w:rsidR="001516A5" w:rsidRPr="0004323C">
        <w:rPr>
          <w:szCs w:val="24"/>
        </w:rPr>
        <w:t>C.S. § 2807(f)(5)</w:t>
      </w:r>
      <w:r w:rsidR="001516A5">
        <w:rPr>
          <w:szCs w:val="24"/>
        </w:rPr>
        <w:t>.</w:t>
      </w:r>
    </w:p>
    <w:p w:rsidR="00091843" w:rsidRDefault="00091843" w:rsidP="003E2008">
      <w:pPr>
        <w:rPr>
          <w:szCs w:val="24"/>
        </w:rPr>
      </w:pPr>
    </w:p>
    <w:p w:rsidR="00EA052C" w:rsidRDefault="00EA052C" w:rsidP="00E411DC">
      <w:pPr>
        <w:pStyle w:val="Heading3"/>
        <w:ind w:left="2520"/>
      </w:pPr>
      <w:r>
        <w:t xml:space="preserve">Annual Reports to </w:t>
      </w:r>
      <w:r w:rsidR="00DD015C">
        <w:t xml:space="preserve">the </w:t>
      </w:r>
      <w:r>
        <w:t xml:space="preserve">Commission </w:t>
      </w:r>
    </w:p>
    <w:p w:rsidR="00EA052C" w:rsidRDefault="00EA052C" w:rsidP="00EA052C">
      <w:pPr>
        <w:spacing w:line="240" w:lineRule="auto"/>
        <w:rPr>
          <w:szCs w:val="24"/>
        </w:rPr>
      </w:pPr>
    </w:p>
    <w:p w:rsidR="003E2008" w:rsidRDefault="003275BE" w:rsidP="003E2008">
      <w:pPr>
        <w:rPr>
          <w:szCs w:val="24"/>
        </w:rPr>
      </w:pPr>
      <w:r>
        <w:rPr>
          <w:szCs w:val="24"/>
        </w:rPr>
        <w:t xml:space="preserve">Act 129 also requires that the default service provider shall submit an annual report “to the price </w:t>
      </w:r>
      <w:r w:rsidR="00B442D6">
        <w:rPr>
          <w:szCs w:val="24"/>
        </w:rPr>
        <w:t>programs and t</w:t>
      </w:r>
      <w:r w:rsidR="001F018A">
        <w:rPr>
          <w:szCs w:val="24"/>
        </w:rPr>
        <w:t>he efficacy of the programs in a</w:t>
      </w:r>
      <w:r w:rsidR="00B442D6">
        <w:rPr>
          <w:szCs w:val="24"/>
        </w:rPr>
        <w:t>ffecting energy demand and consumption and the effect on wholesale market prices.</w:t>
      </w:r>
      <w:r w:rsidR="001F018A">
        <w:rPr>
          <w:szCs w:val="24"/>
        </w:rPr>
        <w:t xml:space="preserve">” </w:t>
      </w:r>
      <w:r w:rsidR="00B442D6">
        <w:rPr>
          <w:szCs w:val="24"/>
        </w:rPr>
        <w:t xml:space="preserve"> </w:t>
      </w:r>
      <w:r w:rsidR="00B442D6" w:rsidRPr="0004323C">
        <w:rPr>
          <w:szCs w:val="24"/>
        </w:rPr>
        <w:t>66 Pa.</w:t>
      </w:r>
      <w:r w:rsidR="00B442D6">
        <w:rPr>
          <w:szCs w:val="24"/>
        </w:rPr>
        <w:t xml:space="preserve"> </w:t>
      </w:r>
      <w:r w:rsidR="00B442D6" w:rsidRPr="0004323C">
        <w:rPr>
          <w:szCs w:val="24"/>
        </w:rPr>
        <w:t xml:space="preserve">C.S. </w:t>
      </w:r>
      <w:r w:rsidR="00B442D6">
        <w:rPr>
          <w:szCs w:val="24"/>
        </w:rPr>
        <w:br/>
      </w:r>
      <w:r w:rsidR="00B442D6" w:rsidRPr="0004323C">
        <w:rPr>
          <w:szCs w:val="24"/>
        </w:rPr>
        <w:t>§ 2807(f)(5)</w:t>
      </w:r>
      <w:r w:rsidR="00B442D6">
        <w:rPr>
          <w:szCs w:val="24"/>
        </w:rPr>
        <w:t xml:space="preserve">.  </w:t>
      </w:r>
      <w:r w:rsidR="003F5056">
        <w:rPr>
          <w:szCs w:val="24"/>
        </w:rPr>
        <w:t>PECO explained that</w:t>
      </w:r>
      <w:r w:rsidR="001F018A">
        <w:rPr>
          <w:szCs w:val="24"/>
        </w:rPr>
        <w:t xml:space="preserve">, </w:t>
      </w:r>
      <w:r w:rsidR="003F5056">
        <w:rPr>
          <w:szCs w:val="24"/>
        </w:rPr>
        <w:t>i</w:t>
      </w:r>
      <w:r w:rsidR="003E2008" w:rsidRPr="00A872A6">
        <w:rPr>
          <w:szCs w:val="24"/>
        </w:rPr>
        <w:t xml:space="preserve">n addition to the organized stakeholder process, </w:t>
      </w:r>
      <w:r w:rsidR="003F5056">
        <w:rPr>
          <w:szCs w:val="24"/>
        </w:rPr>
        <w:t xml:space="preserve">it </w:t>
      </w:r>
      <w:r w:rsidR="003E2008" w:rsidRPr="00A872A6">
        <w:rPr>
          <w:szCs w:val="24"/>
        </w:rPr>
        <w:t>will prepare two reports for the Commission</w:t>
      </w:r>
      <w:r w:rsidR="003F5056">
        <w:rPr>
          <w:szCs w:val="24"/>
        </w:rPr>
        <w:t>.  First, PECO will submit a</w:t>
      </w:r>
      <w:r w:rsidR="003E2008" w:rsidRPr="00A872A6">
        <w:rPr>
          <w:szCs w:val="24"/>
        </w:rPr>
        <w:t>n interim report at the end</w:t>
      </w:r>
      <w:r w:rsidR="003E2008">
        <w:rPr>
          <w:szCs w:val="24"/>
        </w:rPr>
        <w:t xml:space="preserve"> of 2013 that will present the “</w:t>
      </w:r>
      <w:r w:rsidR="003E2008" w:rsidRPr="00A872A6">
        <w:rPr>
          <w:szCs w:val="24"/>
        </w:rPr>
        <w:t>test and learn</w:t>
      </w:r>
      <w:r w:rsidR="003E2008">
        <w:rPr>
          <w:szCs w:val="24"/>
        </w:rPr>
        <w:t>”</w:t>
      </w:r>
      <w:r w:rsidR="003E2008" w:rsidRPr="00A872A6">
        <w:rPr>
          <w:szCs w:val="24"/>
        </w:rPr>
        <w:t xml:space="preserve"> results to date</w:t>
      </w:r>
      <w:r w:rsidR="00CC29B0">
        <w:rPr>
          <w:szCs w:val="24"/>
        </w:rPr>
        <w:t>,</w:t>
      </w:r>
      <w:r w:rsidR="003E2008" w:rsidRPr="00A872A6">
        <w:rPr>
          <w:szCs w:val="24"/>
        </w:rPr>
        <w:t xml:space="preserve"> for customer acceptance and demand response</w:t>
      </w:r>
      <w:r w:rsidR="003F5056">
        <w:rPr>
          <w:szCs w:val="24"/>
        </w:rPr>
        <w:t xml:space="preserve">.  </w:t>
      </w:r>
      <w:r w:rsidR="003E2008" w:rsidRPr="00A872A6">
        <w:rPr>
          <w:szCs w:val="24"/>
        </w:rPr>
        <w:t xml:space="preserve"> </w:t>
      </w:r>
      <w:r w:rsidR="00393813">
        <w:rPr>
          <w:szCs w:val="24"/>
        </w:rPr>
        <w:t>A</w:t>
      </w:r>
      <w:r w:rsidR="003E2008" w:rsidRPr="00A872A6">
        <w:rPr>
          <w:szCs w:val="24"/>
        </w:rPr>
        <w:t xml:space="preserve"> final report </w:t>
      </w:r>
      <w:r w:rsidR="00393813">
        <w:rPr>
          <w:szCs w:val="24"/>
        </w:rPr>
        <w:t xml:space="preserve">planned for December 2014 </w:t>
      </w:r>
      <w:r w:rsidR="003E2008" w:rsidRPr="00A872A6">
        <w:rPr>
          <w:szCs w:val="24"/>
        </w:rPr>
        <w:t>will summarize key findings</w:t>
      </w:r>
      <w:r w:rsidR="003E2008">
        <w:rPr>
          <w:szCs w:val="24"/>
        </w:rPr>
        <w:t>;</w:t>
      </w:r>
      <w:r w:rsidR="003E2008" w:rsidRPr="00A872A6">
        <w:rPr>
          <w:szCs w:val="24"/>
        </w:rPr>
        <w:t xml:space="preserve"> provide insight concerning why some offering</w:t>
      </w:r>
      <w:r w:rsidR="003E2008">
        <w:rPr>
          <w:szCs w:val="24"/>
        </w:rPr>
        <w:t>s</w:t>
      </w:r>
      <w:r w:rsidR="003E2008" w:rsidRPr="00A872A6">
        <w:rPr>
          <w:szCs w:val="24"/>
        </w:rPr>
        <w:t xml:space="preserve"> were more effective than others</w:t>
      </w:r>
      <w:r w:rsidR="001F018A">
        <w:rPr>
          <w:szCs w:val="24"/>
        </w:rPr>
        <w:t>;</w:t>
      </w:r>
      <w:r w:rsidR="003E2008" w:rsidRPr="00A872A6">
        <w:rPr>
          <w:szCs w:val="24"/>
        </w:rPr>
        <w:t xml:space="preserve"> and will present PECO’s recommended combinations of rates, technologies, promotional strategies and customer education efforts that will be offered</w:t>
      </w:r>
      <w:r w:rsidR="00393813">
        <w:rPr>
          <w:szCs w:val="24"/>
        </w:rPr>
        <w:t xml:space="preserve"> to all smart meter customers</w:t>
      </w:r>
      <w:r w:rsidR="001F018A">
        <w:rPr>
          <w:szCs w:val="24"/>
        </w:rPr>
        <w:t>.</w:t>
      </w:r>
      <w:r w:rsidR="00393813">
        <w:rPr>
          <w:szCs w:val="24"/>
        </w:rPr>
        <w:t xml:space="preserve"> </w:t>
      </w:r>
      <w:r w:rsidR="003E2008" w:rsidRPr="00A872A6">
        <w:rPr>
          <w:szCs w:val="24"/>
        </w:rPr>
        <w:t xml:space="preserve"> Petition at 6-7</w:t>
      </w:r>
      <w:r w:rsidR="00393813">
        <w:rPr>
          <w:szCs w:val="24"/>
        </w:rPr>
        <w:t xml:space="preserve"> and PECO Exh. No. 12 at 4. </w:t>
      </w:r>
      <w:r w:rsidR="001516A5">
        <w:rPr>
          <w:szCs w:val="24"/>
        </w:rPr>
        <w:t xml:space="preserve"> </w:t>
      </w:r>
    </w:p>
    <w:p w:rsidR="00EC5285" w:rsidRDefault="00EC5285" w:rsidP="003E2008">
      <w:pPr>
        <w:rPr>
          <w:szCs w:val="24"/>
        </w:rPr>
      </w:pPr>
    </w:p>
    <w:p w:rsidR="00393813" w:rsidRDefault="00CC29B0" w:rsidP="003E2008">
      <w:pPr>
        <w:rPr>
          <w:szCs w:val="24"/>
        </w:rPr>
      </w:pPr>
      <w:r>
        <w:rPr>
          <w:szCs w:val="24"/>
        </w:rPr>
        <w:t>C</w:t>
      </w:r>
      <w:r w:rsidR="00507477">
        <w:rPr>
          <w:szCs w:val="24"/>
        </w:rPr>
        <w:t xml:space="preserve">ustomer solicitations for dynamic pricing </w:t>
      </w:r>
      <w:r w:rsidR="00D15F7C">
        <w:rPr>
          <w:szCs w:val="24"/>
        </w:rPr>
        <w:t xml:space="preserve">are </w:t>
      </w:r>
      <w:r w:rsidR="00507477">
        <w:rPr>
          <w:szCs w:val="24"/>
        </w:rPr>
        <w:t>scheduled to begin in the fall of 2012</w:t>
      </w:r>
      <w:r w:rsidR="00D15F7C">
        <w:rPr>
          <w:szCs w:val="24"/>
        </w:rPr>
        <w:t xml:space="preserve">.  </w:t>
      </w:r>
      <w:r w:rsidR="00A305BA">
        <w:rPr>
          <w:szCs w:val="24"/>
        </w:rPr>
        <w:t xml:space="preserve">PECO Exh. No. 1 at 4.  </w:t>
      </w:r>
      <w:r w:rsidR="00D15F7C">
        <w:rPr>
          <w:szCs w:val="24"/>
        </w:rPr>
        <w:t xml:space="preserve">Therefore, </w:t>
      </w:r>
      <w:r w:rsidR="003B6876">
        <w:rPr>
          <w:szCs w:val="24"/>
        </w:rPr>
        <w:t xml:space="preserve">we find that PECO’s proposal to file annual reports approximately one and two years after initial implementation </w:t>
      </w:r>
      <w:r w:rsidR="0086377B">
        <w:rPr>
          <w:szCs w:val="24"/>
        </w:rPr>
        <w:t xml:space="preserve">of its dynamic rate programs </w:t>
      </w:r>
      <w:r w:rsidR="00A305BA">
        <w:rPr>
          <w:szCs w:val="24"/>
        </w:rPr>
        <w:t xml:space="preserve">would </w:t>
      </w:r>
      <w:r w:rsidR="0086377B">
        <w:rPr>
          <w:szCs w:val="24"/>
        </w:rPr>
        <w:t>compl</w:t>
      </w:r>
      <w:r w:rsidR="00A305BA">
        <w:rPr>
          <w:szCs w:val="24"/>
        </w:rPr>
        <w:t>y</w:t>
      </w:r>
      <w:r w:rsidR="0086377B">
        <w:rPr>
          <w:szCs w:val="24"/>
        </w:rPr>
        <w:t xml:space="preserve"> with the reporting requirements of </w:t>
      </w:r>
      <w:r w:rsidR="0086377B" w:rsidRPr="0004323C">
        <w:rPr>
          <w:szCs w:val="24"/>
        </w:rPr>
        <w:t>66 Pa.</w:t>
      </w:r>
      <w:r w:rsidR="0086377B">
        <w:rPr>
          <w:szCs w:val="24"/>
        </w:rPr>
        <w:t xml:space="preserve"> </w:t>
      </w:r>
      <w:r w:rsidR="0086377B" w:rsidRPr="0004323C">
        <w:rPr>
          <w:szCs w:val="24"/>
        </w:rPr>
        <w:t xml:space="preserve">C.S. </w:t>
      </w:r>
      <w:r w:rsidR="00A94539">
        <w:rPr>
          <w:szCs w:val="24"/>
        </w:rPr>
        <w:br/>
      </w:r>
      <w:r w:rsidR="0086377B" w:rsidRPr="0004323C">
        <w:rPr>
          <w:szCs w:val="24"/>
        </w:rPr>
        <w:t>§</w:t>
      </w:r>
      <w:r w:rsidR="0086377B">
        <w:rPr>
          <w:szCs w:val="24"/>
        </w:rPr>
        <w:t xml:space="preserve"> </w:t>
      </w:r>
      <w:r w:rsidR="0086377B" w:rsidRPr="0004323C">
        <w:rPr>
          <w:szCs w:val="24"/>
        </w:rPr>
        <w:t>2807(f)(5)</w:t>
      </w:r>
      <w:r w:rsidR="0086377B">
        <w:rPr>
          <w:szCs w:val="24"/>
        </w:rPr>
        <w:t xml:space="preserve">.  </w:t>
      </w:r>
    </w:p>
    <w:p w:rsidR="0086377B" w:rsidRPr="00A872A6" w:rsidRDefault="0086377B" w:rsidP="003E2008">
      <w:pPr>
        <w:rPr>
          <w:szCs w:val="24"/>
        </w:rPr>
      </w:pPr>
    </w:p>
    <w:p w:rsidR="00E64828" w:rsidRPr="00E64828" w:rsidRDefault="00E863DB" w:rsidP="00E863DB">
      <w:pPr>
        <w:pStyle w:val="Heading2"/>
      </w:pPr>
      <w:bookmarkStart w:id="0" w:name="_Toc271015508"/>
      <w:r>
        <w:tab/>
      </w:r>
      <w:r w:rsidR="00E64828" w:rsidRPr="00E64828">
        <w:t>Terms of the Settlement</w:t>
      </w:r>
      <w:bookmarkEnd w:id="0"/>
    </w:p>
    <w:p w:rsidR="00E64828" w:rsidRDefault="00E64828" w:rsidP="00D364F6">
      <w:pPr>
        <w:keepNext/>
        <w:spacing w:line="240" w:lineRule="auto"/>
      </w:pPr>
    </w:p>
    <w:p w:rsidR="00E64828" w:rsidRDefault="00E64828" w:rsidP="00E64828">
      <w:pPr>
        <w:keepNext/>
      </w:pPr>
      <w:r w:rsidRPr="000D6043">
        <w:t>Pursuant to our Regulations at 52 Pa. Code §</w:t>
      </w:r>
      <w:r>
        <w:t xml:space="preserve"> </w:t>
      </w:r>
      <w:r w:rsidRPr="000D6043">
        <w:t xml:space="preserve">5.231, it is the Commission’s policy to promote settlements.  </w:t>
      </w:r>
      <w:r>
        <w:t>T</w:t>
      </w:r>
      <w:r w:rsidRPr="000D6043">
        <w:t>he Commission must</w:t>
      </w:r>
      <w:r>
        <w:t>, however,</w:t>
      </w:r>
      <w:r w:rsidRPr="000D6043">
        <w:t xml:space="preserve"> review proposed settlements to determine whether the terms are in the public interest.</w:t>
      </w:r>
      <w:r>
        <w:t xml:space="preserve"> </w:t>
      </w:r>
      <w:r w:rsidRPr="000D6043">
        <w:t xml:space="preserve"> </w:t>
      </w:r>
      <w:r w:rsidRPr="00416218">
        <w:rPr>
          <w:i/>
        </w:rPr>
        <w:t>Pa. PUC v. Philadelphia Gas Works</w:t>
      </w:r>
      <w:r w:rsidRPr="00416218">
        <w:t>, M-00031768 (</w:t>
      </w:r>
      <w:r w:rsidR="00793C8D">
        <w:t xml:space="preserve">Order entered </w:t>
      </w:r>
      <w:r w:rsidRPr="00416218">
        <w:t>January</w:t>
      </w:r>
      <w:r>
        <w:t xml:space="preserve"> </w:t>
      </w:r>
      <w:r w:rsidRPr="00416218">
        <w:t>7, 2004)</w:t>
      </w:r>
      <w:r>
        <w:t xml:space="preserve">; </w:t>
      </w:r>
      <w:r w:rsidRPr="00416218">
        <w:rPr>
          <w:i/>
        </w:rPr>
        <w:t>Pa. PUC</w:t>
      </w:r>
      <w:r>
        <w:rPr>
          <w:i/>
        </w:rPr>
        <w:t xml:space="preserve"> </w:t>
      </w:r>
      <w:r w:rsidRPr="00416218">
        <w:rPr>
          <w:i/>
        </w:rPr>
        <w:t>v. C S Water and Sewer Assoc.</w:t>
      </w:r>
      <w:r w:rsidRPr="00416218">
        <w:t>, 74 Pa.</w:t>
      </w:r>
      <w:r>
        <w:t xml:space="preserve"> </w:t>
      </w:r>
      <w:r w:rsidRPr="00416218">
        <w:t>P</w:t>
      </w:r>
      <w:r>
        <w:t>.</w:t>
      </w:r>
      <w:r w:rsidRPr="00416218">
        <w:t>U</w:t>
      </w:r>
      <w:r>
        <w:t>.</w:t>
      </w:r>
      <w:r w:rsidRPr="00416218">
        <w:t>C</w:t>
      </w:r>
      <w:r>
        <w:t>.</w:t>
      </w:r>
      <w:r w:rsidRPr="00416218">
        <w:t xml:space="preserve"> 767 (1991); </w:t>
      </w:r>
      <w:r w:rsidRPr="00416218">
        <w:rPr>
          <w:i/>
        </w:rPr>
        <w:t>Pa. PUC</w:t>
      </w:r>
      <w:r>
        <w:rPr>
          <w:i/>
        </w:rPr>
        <w:t xml:space="preserve"> </w:t>
      </w:r>
      <w:r w:rsidRPr="00416218">
        <w:rPr>
          <w:i/>
        </w:rPr>
        <w:t>v. Philadelphia Electric Co.</w:t>
      </w:r>
      <w:r w:rsidRPr="00416218">
        <w:t>, 60 Pa.</w:t>
      </w:r>
      <w:r>
        <w:t xml:space="preserve"> </w:t>
      </w:r>
      <w:r w:rsidRPr="00416218">
        <w:t>P</w:t>
      </w:r>
      <w:r>
        <w:t>.</w:t>
      </w:r>
      <w:r w:rsidRPr="00416218">
        <w:t>U</w:t>
      </w:r>
      <w:r>
        <w:t>.</w:t>
      </w:r>
      <w:r w:rsidRPr="00416218">
        <w:t>C</w:t>
      </w:r>
      <w:r>
        <w:t>.</w:t>
      </w:r>
      <w:r w:rsidRPr="00416218">
        <w:t xml:space="preserve"> 1 (1985</w:t>
      </w:r>
      <w:r>
        <w:t>)</w:t>
      </w:r>
      <w:r w:rsidRPr="00416218">
        <w:t>.</w:t>
      </w:r>
    </w:p>
    <w:p w:rsidR="00E863DB" w:rsidRDefault="00E863DB" w:rsidP="00E64828">
      <w:pPr>
        <w:keepNext/>
      </w:pPr>
    </w:p>
    <w:p w:rsidR="00E863DB" w:rsidRDefault="00E863DB" w:rsidP="00E863DB">
      <w:r>
        <w:t>The following discussion is intended to be a summary of the terms of the Settlement</w:t>
      </w:r>
      <w:r w:rsidR="00D92474">
        <w:t xml:space="preserve"> and</w:t>
      </w:r>
      <w:r w:rsidR="00B641AB">
        <w:t>,</w:t>
      </w:r>
      <w:r w:rsidR="00D92474">
        <w:t xml:space="preserve"> </w:t>
      </w:r>
      <w:r w:rsidR="00B641AB">
        <w:t xml:space="preserve">accordingly, </w:t>
      </w:r>
      <w:r w:rsidR="00D92474">
        <w:t xml:space="preserve">not every detail </w:t>
      </w:r>
      <w:r>
        <w:t>has been reflected.  Consequently, th</w:t>
      </w:r>
      <w:r w:rsidR="002D6A25">
        <w:t xml:space="preserve">e omission of any details of the Settlement </w:t>
      </w:r>
      <w:r>
        <w:t>should not be interpreted as amending the provisions of the Settlement.</w:t>
      </w:r>
    </w:p>
    <w:p w:rsidR="00B76655" w:rsidRDefault="00B76655" w:rsidP="00E863DB"/>
    <w:p w:rsidR="00E4679E" w:rsidRPr="00E4679E" w:rsidRDefault="00E4679E" w:rsidP="00DB3217">
      <w:pPr>
        <w:pStyle w:val="Heading3"/>
        <w:numPr>
          <w:ilvl w:val="0"/>
          <w:numId w:val="36"/>
        </w:numPr>
      </w:pPr>
      <w:r w:rsidRPr="00E4679E">
        <w:t>PJM’s Proposed New Demand Response Product</w:t>
      </w:r>
    </w:p>
    <w:p w:rsidR="00E4679E" w:rsidRDefault="00E4679E" w:rsidP="00BF7273">
      <w:pPr>
        <w:spacing w:line="240" w:lineRule="auto"/>
      </w:pPr>
    </w:p>
    <w:p w:rsidR="000F3C5E" w:rsidRDefault="00793C8D" w:rsidP="00E4679E">
      <w:pPr>
        <w:rPr>
          <w:szCs w:val="24"/>
        </w:rPr>
      </w:pPr>
      <w:r>
        <w:rPr>
          <w:szCs w:val="24"/>
        </w:rPr>
        <w:t xml:space="preserve">The </w:t>
      </w:r>
      <w:r w:rsidR="005F2CF6">
        <w:rPr>
          <w:szCs w:val="24"/>
        </w:rPr>
        <w:t>O</w:t>
      </w:r>
      <w:r w:rsidR="00E4679E" w:rsidRPr="00A872A6">
        <w:rPr>
          <w:szCs w:val="24"/>
        </w:rPr>
        <w:t>CA</w:t>
      </w:r>
      <w:r>
        <w:rPr>
          <w:szCs w:val="24"/>
        </w:rPr>
        <w:t>’s</w:t>
      </w:r>
      <w:r w:rsidR="00E4679E" w:rsidRPr="00A872A6">
        <w:rPr>
          <w:szCs w:val="24"/>
        </w:rPr>
        <w:t xml:space="preserve"> witness Hornby </w:t>
      </w:r>
      <w:r w:rsidR="002C5C51">
        <w:rPr>
          <w:szCs w:val="24"/>
        </w:rPr>
        <w:t xml:space="preserve">testified that </w:t>
      </w:r>
      <w:r w:rsidR="00F2065D" w:rsidRPr="00A872A6">
        <w:rPr>
          <w:szCs w:val="24"/>
        </w:rPr>
        <w:t>shortly after PECO filed the instant Petition</w:t>
      </w:r>
      <w:r w:rsidR="00F2065D">
        <w:rPr>
          <w:szCs w:val="24"/>
        </w:rPr>
        <w:t>,</w:t>
      </w:r>
      <w:r w:rsidR="00F2065D" w:rsidRPr="00A872A6">
        <w:rPr>
          <w:szCs w:val="24"/>
        </w:rPr>
        <w:t xml:space="preserve"> PJM</w:t>
      </w:r>
      <w:r w:rsidR="00F2065D">
        <w:rPr>
          <w:szCs w:val="24"/>
        </w:rPr>
        <w:t xml:space="preserve"> submitted a petition to the F</w:t>
      </w:r>
      <w:r w:rsidR="00F2065D" w:rsidRPr="00A872A6">
        <w:rPr>
          <w:szCs w:val="24"/>
        </w:rPr>
        <w:t xml:space="preserve">ederal Energy Regulatory Commission </w:t>
      </w:r>
      <w:r w:rsidR="00F2065D">
        <w:rPr>
          <w:szCs w:val="24"/>
        </w:rPr>
        <w:t xml:space="preserve">on </w:t>
      </w:r>
      <w:r w:rsidR="00F2065D" w:rsidRPr="00A872A6">
        <w:rPr>
          <w:szCs w:val="24"/>
        </w:rPr>
        <w:t xml:space="preserve">December 2, </w:t>
      </w:r>
      <w:r w:rsidR="00F2065D">
        <w:rPr>
          <w:szCs w:val="24"/>
        </w:rPr>
        <w:t>2</w:t>
      </w:r>
      <w:r w:rsidR="00F2065D" w:rsidRPr="00A872A6">
        <w:rPr>
          <w:szCs w:val="24"/>
        </w:rPr>
        <w:t>0</w:t>
      </w:r>
      <w:r w:rsidR="00F2065D">
        <w:rPr>
          <w:szCs w:val="24"/>
        </w:rPr>
        <w:t xml:space="preserve">10, </w:t>
      </w:r>
      <w:r w:rsidR="00E4679E" w:rsidRPr="00A872A6">
        <w:rPr>
          <w:szCs w:val="24"/>
        </w:rPr>
        <w:t>to create two new additional demand response products</w:t>
      </w:r>
      <w:r w:rsidR="00F2065D">
        <w:rPr>
          <w:szCs w:val="24"/>
        </w:rPr>
        <w:t xml:space="preserve">.  The OCA was concerned that </w:t>
      </w:r>
      <w:r w:rsidR="00E4679E" w:rsidRPr="00A872A6">
        <w:rPr>
          <w:szCs w:val="24"/>
        </w:rPr>
        <w:t xml:space="preserve">the peak period </w:t>
      </w:r>
      <w:r w:rsidR="000F3C5E">
        <w:rPr>
          <w:szCs w:val="24"/>
        </w:rPr>
        <w:t xml:space="preserve">PECO has </w:t>
      </w:r>
      <w:r w:rsidR="00E4679E" w:rsidRPr="00A872A6">
        <w:rPr>
          <w:szCs w:val="24"/>
        </w:rPr>
        <w:t xml:space="preserve">proposed for the CPP may not cover all or most of the hours in which the system peak will occur in the future.  </w:t>
      </w:r>
      <w:r w:rsidR="000F3C5E">
        <w:rPr>
          <w:szCs w:val="24"/>
        </w:rPr>
        <w:t xml:space="preserve">The OCA recommended that PECO should evaluate the implications of PJM’s proposed changes in its selection of peak periods for the CPP and TOU rates.  </w:t>
      </w:r>
      <w:r w:rsidR="000F3C5E" w:rsidRPr="00A872A6">
        <w:rPr>
          <w:szCs w:val="24"/>
        </w:rPr>
        <w:t xml:space="preserve">OCA St. 1 at 15-17.  </w:t>
      </w:r>
    </w:p>
    <w:p w:rsidR="000F3C5E" w:rsidRDefault="000F3C5E" w:rsidP="00E4679E">
      <w:pPr>
        <w:rPr>
          <w:szCs w:val="24"/>
        </w:rPr>
      </w:pPr>
    </w:p>
    <w:p w:rsidR="00E44322" w:rsidRDefault="000F3C5E" w:rsidP="00E4679E">
      <w:pPr>
        <w:rPr>
          <w:szCs w:val="24"/>
        </w:rPr>
      </w:pPr>
      <w:r>
        <w:rPr>
          <w:szCs w:val="24"/>
        </w:rPr>
        <w:t xml:space="preserve">In response to the OCA’s concerns, </w:t>
      </w:r>
      <w:r w:rsidR="00E4679E" w:rsidRPr="00A872A6">
        <w:rPr>
          <w:szCs w:val="24"/>
        </w:rPr>
        <w:t xml:space="preserve">PECO </w:t>
      </w:r>
      <w:r w:rsidR="00AA6417">
        <w:rPr>
          <w:szCs w:val="24"/>
        </w:rPr>
        <w:t>stated</w:t>
      </w:r>
      <w:r w:rsidR="00385BFF">
        <w:rPr>
          <w:szCs w:val="24"/>
        </w:rPr>
        <w:t xml:space="preserve"> that it </w:t>
      </w:r>
      <w:r w:rsidR="00E4679E" w:rsidRPr="00A872A6">
        <w:rPr>
          <w:szCs w:val="24"/>
        </w:rPr>
        <w:t>used historical load data regarding system load and energy prices to determine the timing of the peak period for the proposed CPP and TOU rates</w:t>
      </w:r>
      <w:r w:rsidR="00385BFF">
        <w:rPr>
          <w:szCs w:val="24"/>
        </w:rPr>
        <w:t xml:space="preserve"> and </w:t>
      </w:r>
      <w:r w:rsidR="00E4679E" w:rsidRPr="00A872A6">
        <w:rPr>
          <w:szCs w:val="24"/>
        </w:rPr>
        <w:t xml:space="preserve">it did not take into account the pending PJM </w:t>
      </w:r>
      <w:r w:rsidR="00E4679E" w:rsidRPr="00A872A6">
        <w:rPr>
          <w:szCs w:val="24"/>
        </w:rPr>
        <w:lastRenderedPageBreak/>
        <w:t>proposal</w:t>
      </w:r>
      <w:r w:rsidR="00385BFF">
        <w:rPr>
          <w:szCs w:val="24"/>
        </w:rPr>
        <w:t xml:space="preserve">.  PECO explained that </w:t>
      </w:r>
      <w:r w:rsidR="00E4679E" w:rsidRPr="00A872A6">
        <w:rPr>
          <w:szCs w:val="24"/>
        </w:rPr>
        <w:t xml:space="preserve">it regarded </w:t>
      </w:r>
      <w:r w:rsidR="00385BFF">
        <w:rPr>
          <w:szCs w:val="24"/>
        </w:rPr>
        <w:t xml:space="preserve">the PJM </w:t>
      </w:r>
      <w:r w:rsidR="00BF7273">
        <w:rPr>
          <w:szCs w:val="24"/>
        </w:rPr>
        <w:t xml:space="preserve">petition </w:t>
      </w:r>
      <w:r w:rsidR="00E4679E" w:rsidRPr="00A872A6">
        <w:rPr>
          <w:szCs w:val="24"/>
        </w:rPr>
        <w:t xml:space="preserve">as “premature” and if approved, would not be available for use by customers until June 2014.  </w:t>
      </w:r>
    </w:p>
    <w:p w:rsidR="00E4679E" w:rsidRPr="00A872A6" w:rsidRDefault="00E4679E" w:rsidP="00E44322">
      <w:pPr>
        <w:ind w:firstLine="0"/>
        <w:rPr>
          <w:szCs w:val="24"/>
        </w:rPr>
      </w:pPr>
      <w:r w:rsidRPr="00A872A6">
        <w:rPr>
          <w:szCs w:val="24"/>
        </w:rPr>
        <w:t>PECO St. 1-R at 2-3.</w:t>
      </w:r>
    </w:p>
    <w:p w:rsidR="00E4679E" w:rsidRPr="00A872A6" w:rsidRDefault="00E4679E" w:rsidP="00E4679E">
      <w:pPr>
        <w:rPr>
          <w:szCs w:val="24"/>
        </w:rPr>
      </w:pPr>
    </w:p>
    <w:p w:rsidR="00E4679E" w:rsidRPr="00A872A6" w:rsidRDefault="00E4679E" w:rsidP="00E4679E">
      <w:pPr>
        <w:rPr>
          <w:szCs w:val="24"/>
        </w:rPr>
      </w:pPr>
      <w:r w:rsidRPr="00A872A6">
        <w:rPr>
          <w:szCs w:val="24"/>
        </w:rPr>
        <w:t xml:space="preserve">The </w:t>
      </w:r>
      <w:r w:rsidR="00BF7273">
        <w:rPr>
          <w:szCs w:val="24"/>
        </w:rPr>
        <w:t>S</w:t>
      </w:r>
      <w:r w:rsidRPr="00A872A6">
        <w:rPr>
          <w:szCs w:val="24"/>
        </w:rPr>
        <w:t>ettlement provides that PECO will monitor PJM’s request and</w:t>
      </w:r>
      <w:r w:rsidR="00793C8D">
        <w:rPr>
          <w:szCs w:val="24"/>
        </w:rPr>
        <w:t>,</w:t>
      </w:r>
      <w:r w:rsidRPr="00A872A6">
        <w:rPr>
          <w:szCs w:val="24"/>
        </w:rPr>
        <w:t xml:space="preserve"> if the products are approved and impact PECO’s peak periods in 2014 or beyond, PECO will propose appropriate adjustments to the Dynamic Pricing Plan after consultation with </w:t>
      </w:r>
      <w:r w:rsidR="00BF7273">
        <w:rPr>
          <w:szCs w:val="24"/>
        </w:rPr>
        <w:t xml:space="preserve">the </w:t>
      </w:r>
      <w:r w:rsidRPr="00A872A6">
        <w:rPr>
          <w:szCs w:val="24"/>
        </w:rPr>
        <w:t xml:space="preserve">stakeholders.  </w:t>
      </w:r>
      <w:r w:rsidR="00BF7273">
        <w:rPr>
          <w:szCs w:val="24"/>
        </w:rPr>
        <w:t xml:space="preserve">Settlement </w:t>
      </w:r>
      <w:r w:rsidR="00BF7273">
        <w:rPr>
          <w:rFonts w:cs="Times New Roman"/>
          <w:szCs w:val="24"/>
        </w:rPr>
        <w:t>¶</w:t>
      </w:r>
      <w:r w:rsidR="00BF7273">
        <w:rPr>
          <w:szCs w:val="24"/>
        </w:rPr>
        <w:t xml:space="preserve"> 9</w:t>
      </w:r>
      <w:r w:rsidR="00F7277F">
        <w:rPr>
          <w:szCs w:val="24"/>
        </w:rPr>
        <w:t>.</w:t>
      </w:r>
      <w:r w:rsidR="00BF7273">
        <w:rPr>
          <w:szCs w:val="24"/>
        </w:rPr>
        <w:t>A</w:t>
      </w:r>
      <w:r w:rsidR="00F7277F">
        <w:rPr>
          <w:szCs w:val="24"/>
        </w:rPr>
        <w:t>.</w:t>
      </w:r>
      <w:r w:rsidR="00BF7273">
        <w:rPr>
          <w:szCs w:val="24"/>
        </w:rPr>
        <w:t xml:space="preserve"> at 4.  We concur with the ALJ that this</w:t>
      </w:r>
      <w:r w:rsidRPr="00A872A6">
        <w:rPr>
          <w:szCs w:val="24"/>
        </w:rPr>
        <w:t xml:space="preserve"> is a reasonable approach that addresses the valid concern raised by </w:t>
      </w:r>
      <w:r w:rsidR="00793C8D">
        <w:rPr>
          <w:szCs w:val="24"/>
        </w:rPr>
        <w:t xml:space="preserve">the </w:t>
      </w:r>
      <w:r w:rsidRPr="00A872A6">
        <w:rPr>
          <w:szCs w:val="24"/>
        </w:rPr>
        <w:t>OCA while continuing to determine peak periods through analysis of actual data which are currently available.</w:t>
      </w:r>
      <w:r w:rsidR="00887291">
        <w:rPr>
          <w:szCs w:val="24"/>
        </w:rPr>
        <w:t xml:space="preserve">  R.D. at 12. </w:t>
      </w:r>
    </w:p>
    <w:p w:rsidR="00E863DB" w:rsidRDefault="00E863DB" w:rsidP="00E863DB"/>
    <w:p w:rsidR="00CC1811" w:rsidRDefault="00887291" w:rsidP="00C25EDC">
      <w:pPr>
        <w:pStyle w:val="Heading3"/>
        <w:numPr>
          <w:ilvl w:val="0"/>
          <w:numId w:val="36"/>
        </w:numPr>
        <w:spacing w:line="240" w:lineRule="auto"/>
        <w:rPr>
          <w:szCs w:val="24"/>
        </w:rPr>
      </w:pPr>
      <w:r w:rsidRPr="00C25EDC">
        <w:t>Stakeholder Involvement</w:t>
      </w:r>
      <w:r w:rsidR="00C25EDC" w:rsidRPr="00C25EDC">
        <w:rPr>
          <w:szCs w:val="24"/>
        </w:rPr>
        <w:t xml:space="preserve"> and Consideration of Other Dynamic Rates</w:t>
      </w:r>
    </w:p>
    <w:p w:rsidR="00C25EDC" w:rsidRDefault="00C25EDC" w:rsidP="00AA6417">
      <w:pPr>
        <w:spacing w:line="240" w:lineRule="auto"/>
      </w:pPr>
    </w:p>
    <w:p w:rsidR="00232223" w:rsidRDefault="00C25EDC" w:rsidP="00C25EDC">
      <w:r>
        <w:t xml:space="preserve">In its Petition, PECO stated that it will keep stakeholders and the Commission informed regarding Plan implementation through periodic meetings and annual reporting.  </w:t>
      </w:r>
      <w:r w:rsidR="00757E1B">
        <w:t xml:space="preserve">PECO pledged to continue to organize stakeholder update and feedback sessions in order to share information about the status of Plan implementation as well as results from the “test and learn” process.  Petition at 7.  </w:t>
      </w:r>
      <w:r w:rsidR="009806DD">
        <w:t xml:space="preserve">OCA witness Brockway </w:t>
      </w:r>
      <w:r w:rsidR="00EA7777">
        <w:t xml:space="preserve">expressed a concern that the Plan limited the functions of the stakeholder process to one of information instead of collaboration. </w:t>
      </w:r>
      <w:r w:rsidR="00D41658">
        <w:t xml:space="preserve"> </w:t>
      </w:r>
      <w:r w:rsidR="00EA7777">
        <w:t xml:space="preserve">OCA St. </w:t>
      </w:r>
      <w:r w:rsidR="00D41658">
        <w:t xml:space="preserve">No. </w:t>
      </w:r>
      <w:r w:rsidR="00EA7777">
        <w:t>2 a</w:t>
      </w:r>
      <w:r w:rsidR="00D41658">
        <w:t>t</w:t>
      </w:r>
      <w:r w:rsidR="00EA7777">
        <w:t xml:space="preserve"> 13. </w:t>
      </w:r>
      <w:r w:rsidR="00757E1B">
        <w:t xml:space="preserve"> </w:t>
      </w:r>
    </w:p>
    <w:p w:rsidR="00232223" w:rsidRDefault="00232223" w:rsidP="00C25EDC"/>
    <w:p w:rsidR="00CA236F" w:rsidRDefault="00232223" w:rsidP="00CA236F">
      <w:r>
        <w:t xml:space="preserve">In </w:t>
      </w:r>
      <w:r w:rsidR="00D41658">
        <w:t>our</w:t>
      </w:r>
      <w:r>
        <w:t xml:space="preserve"> </w:t>
      </w:r>
      <w:r w:rsidRPr="00232223">
        <w:rPr>
          <w:i/>
        </w:rPr>
        <w:t>May 6, 2010 Order,</w:t>
      </w:r>
      <w:r>
        <w:t xml:space="preserve"> </w:t>
      </w:r>
      <w:r w:rsidR="00D41658">
        <w:t>t</w:t>
      </w:r>
      <w:r w:rsidR="00BA51D1">
        <w:t>he Commission adopted the stakeholder process whereby</w:t>
      </w:r>
      <w:r w:rsidR="008262BD">
        <w:t xml:space="preserve">, </w:t>
      </w:r>
      <w:r w:rsidR="008262BD" w:rsidRPr="008262BD">
        <w:rPr>
          <w:i/>
        </w:rPr>
        <w:t>inter alia</w:t>
      </w:r>
      <w:r w:rsidR="008262BD">
        <w:t xml:space="preserve">, </w:t>
      </w:r>
      <w:r w:rsidR="00BA51D1">
        <w:t>PECO would meet with stakeholders no less than two times per year through 2012</w:t>
      </w:r>
      <w:r w:rsidR="008262BD">
        <w:t xml:space="preserve">.  </w:t>
      </w:r>
      <w:r w:rsidR="00BD7E0E">
        <w:t xml:space="preserve"> </w:t>
      </w:r>
      <w:r w:rsidR="008262BD">
        <w:t>T</w:t>
      </w:r>
      <w:r w:rsidR="00BD7E0E">
        <w:t xml:space="preserve">he stakeholder meeting would address, at the minimum eight specific subject areas delineated in the Settlement Petition of PECO’s </w:t>
      </w:r>
      <w:r w:rsidR="00E00708">
        <w:t>Smart Meter Plan.</w:t>
      </w:r>
      <w:r w:rsidR="00E00708">
        <w:br/>
      </w:r>
      <w:r w:rsidR="008262BD" w:rsidRPr="008262BD">
        <w:rPr>
          <w:i/>
        </w:rPr>
        <w:t>May 6, 2010 Order</w:t>
      </w:r>
      <w:r w:rsidR="008262BD">
        <w:t xml:space="preserve"> at 9-10. </w:t>
      </w:r>
      <w:r w:rsidR="00BA51D1">
        <w:t xml:space="preserve"> </w:t>
      </w:r>
      <w:r w:rsidR="008262BD">
        <w:t>The instant Settlement provides that PECO will continue the stakeholder process</w:t>
      </w:r>
      <w:r w:rsidR="00F7277F">
        <w:t xml:space="preserve"> as the implementation of the </w:t>
      </w:r>
      <w:r w:rsidR="00FA02D3">
        <w:t xml:space="preserve">Dynamic Pricing </w:t>
      </w:r>
      <w:r w:rsidR="00F7277F">
        <w:t xml:space="preserve">Plan moves forward.  Settlement </w:t>
      </w:r>
      <w:r w:rsidR="00F7277F">
        <w:rPr>
          <w:rFonts w:cs="Times New Roman"/>
        </w:rPr>
        <w:t>¶</w:t>
      </w:r>
      <w:r w:rsidR="00F7277F">
        <w:t xml:space="preserve"> 9</w:t>
      </w:r>
      <w:r w:rsidR="004C68C4">
        <w:t>.</w:t>
      </w:r>
      <w:r w:rsidR="00F7277F">
        <w:t>B</w:t>
      </w:r>
      <w:r w:rsidR="004C68C4">
        <w:t>.</w:t>
      </w:r>
      <w:r w:rsidR="00F7277F">
        <w:t xml:space="preserve"> at 4.  </w:t>
      </w:r>
      <w:r w:rsidR="0039555A">
        <w:t xml:space="preserve">The Settlement also provides that PECO will </w:t>
      </w:r>
      <w:r w:rsidR="0039555A" w:rsidRPr="00A872A6">
        <w:rPr>
          <w:szCs w:val="24"/>
        </w:rPr>
        <w:t xml:space="preserve">consider other forms </w:t>
      </w:r>
      <w:r w:rsidR="0039555A" w:rsidRPr="00A872A6">
        <w:rPr>
          <w:szCs w:val="24"/>
        </w:rPr>
        <w:lastRenderedPageBreak/>
        <w:t>of dynamic pricing, such as the Peak Time Rebate appro</w:t>
      </w:r>
      <w:r w:rsidR="0039555A">
        <w:rPr>
          <w:szCs w:val="24"/>
        </w:rPr>
        <w:t xml:space="preserve">ach suggested by </w:t>
      </w:r>
      <w:r w:rsidR="00793C8D">
        <w:rPr>
          <w:szCs w:val="24"/>
        </w:rPr>
        <w:t xml:space="preserve">the </w:t>
      </w:r>
      <w:r w:rsidR="0039555A">
        <w:rPr>
          <w:szCs w:val="24"/>
        </w:rPr>
        <w:t xml:space="preserve">OCA.  PECO will report </w:t>
      </w:r>
      <w:r w:rsidR="00CA236F">
        <w:rPr>
          <w:szCs w:val="24"/>
        </w:rPr>
        <w:t xml:space="preserve">to the Parties, its stakeholder group and the Commission regarding its evaluation of other dynamic rate options.  </w:t>
      </w:r>
      <w:r w:rsidR="00FA02D3" w:rsidRPr="00FA02D3">
        <w:rPr>
          <w:i/>
          <w:szCs w:val="24"/>
        </w:rPr>
        <w:t>Id.</w:t>
      </w:r>
      <w:r w:rsidR="00FA02D3">
        <w:rPr>
          <w:szCs w:val="24"/>
        </w:rPr>
        <w:t xml:space="preserve"> </w:t>
      </w:r>
      <w:r w:rsidR="00CA236F">
        <w:rPr>
          <w:rFonts w:cs="Times New Roman"/>
        </w:rPr>
        <w:t>¶</w:t>
      </w:r>
      <w:r w:rsidR="00CA236F">
        <w:t xml:space="preserve"> </w:t>
      </w:r>
      <w:r w:rsidR="00110A7F">
        <w:t>9</w:t>
      </w:r>
      <w:r w:rsidR="00FA02D3">
        <w:t>.</w:t>
      </w:r>
      <w:r w:rsidR="00CA236F">
        <w:t>H</w:t>
      </w:r>
      <w:r w:rsidR="00FA02D3">
        <w:t>.</w:t>
      </w:r>
      <w:r w:rsidR="00CA236F">
        <w:t xml:space="preserve"> at 7.  </w:t>
      </w:r>
    </w:p>
    <w:p w:rsidR="00CA236F" w:rsidRDefault="00CA236F" w:rsidP="00CA236F"/>
    <w:p w:rsidR="00CA236F" w:rsidRDefault="00450F35" w:rsidP="00CA236F">
      <w:r>
        <w:rPr>
          <w:szCs w:val="24"/>
        </w:rPr>
        <w:t>I</w:t>
      </w:r>
      <w:r w:rsidRPr="00A872A6">
        <w:rPr>
          <w:szCs w:val="24"/>
        </w:rPr>
        <w:t>n its Statement in Support</w:t>
      </w:r>
      <w:r>
        <w:rPr>
          <w:szCs w:val="24"/>
        </w:rPr>
        <w:t xml:space="preserve">, the OCA stated </w:t>
      </w:r>
      <w:r w:rsidR="00FA02D3">
        <w:rPr>
          <w:szCs w:val="24"/>
        </w:rPr>
        <w:t xml:space="preserve">that </w:t>
      </w:r>
      <w:r>
        <w:rPr>
          <w:szCs w:val="24"/>
        </w:rPr>
        <w:t xml:space="preserve">the provisions of the Settlement </w:t>
      </w:r>
      <w:r w:rsidRPr="00A872A6">
        <w:rPr>
          <w:szCs w:val="24"/>
        </w:rPr>
        <w:t>“will allow for a robust process, encourage a two-way dialogue and allow for a better-informed process for both stakeholders and the company.”</w:t>
      </w:r>
      <w:r>
        <w:rPr>
          <w:szCs w:val="24"/>
        </w:rPr>
        <w:t xml:space="preserve">  The OCA explained that </w:t>
      </w:r>
      <w:r w:rsidR="00F54C65">
        <w:rPr>
          <w:szCs w:val="24"/>
        </w:rPr>
        <w:t xml:space="preserve">these goals were achieved in PECO’s Energy Efficiency and Conservation (EE&amp;C) and Smart </w:t>
      </w:r>
      <w:r w:rsidR="00793C8D">
        <w:rPr>
          <w:szCs w:val="24"/>
        </w:rPr>
        <w:t>M</w:t>
      </w:r>
      <w:r w:rsidR="00F54C65">
        <w:rPr>
          <w:szCs w:val="24"/>
        </w:rPr>
        <w:t>eter collaborative and it believes that the inclusion of dynamic pricing in th</w:t>
      </w:r>
      <w:r w:rsidR="006B464C">
        <w:rPr>
          <w:szCs w:val="24"/>
        </w:rPr>
        <w:t>is</w:t>
      </w:r>
      <w:r w:rsidR="00F54C65">
        <w:rPr>
          <w:szCs w:val="24"/>
        </w:rPr>
        <w:t xml:space="preserve"> </w:t>
      </w:r>
      <w:r w:rsidR="006B464C">
        <w:rPr>
          <w:szCs w:val="24"/>
        </w:rPr>
        <w:t>collaborative</w:t>
      </w:r>
      <w:r w:rsidR="00F54C65">
        <w:rPr>
          <w:szCs w:val="24"/>
        </w:rPr>
        <w:t xml:space="preserve"> will build on this success.  OCA Statement in Support at 8.  We agree with the OCA that </w:t>
      </w:r>
      <w:r w:rsidR="00666F7B">
        <w:rPr>
          <w:szCs w:val="24"/>
        </w:rPr>
        <w:t xml:space="preserve">continuing and expanding the stakeholder process established for the EE&amp;C and Smart Meter Plans to address dynamic pricing can only enhance these initiatives.  Therefore, </w:t>
      </w:r>
      <w:r w:rsidR="00110A7F">
        <w:rPr>
          <w:szCs w:val="24"/>
        </w:rPr>
        <w:t>the provisions set forth in Paragraphs 9</w:t>
      </w:r>
      <w:r w:rsidR="00FA02D3">
        <w:rPr>
          <w:szCs w:val="24"/>
        </w:rPr>
        <w:t>.</w:t>
      </w:r>
      <w:r w:rsidR="00110A7F">
        <w:rPr>
          <w:szCs w:val="24"/>
        </w:rPr>
        <w:t>B</w:t>
      </w:r>
      <w:r w:rsidR="00FA02D3">
        <w:rPr>
          <w:szCs w:val="24"/>
        </w:rPr>
        <w:t>.</w:t>
      </w:r>
      <w:r w:rsidR="00110A7F">
        <w:rPr>
          <w:szCs w:val="24"/>
        </w:rPr>
        <w:t xml:space="preserve"> and 9</w:t>
      </w:r>
      <w:r w:rsidR="00FA02D3">
        <w:rPr>
          <w:szCs w:val="24"/>
        </w:rPr>
        <w:t>.</w:t>
      </w:r>
      <w:r w:rsidR="00110A7F">
        <w:rPr>
          <w:szCs w:val="24"/>
        </w:rPr>
        <w:t>H</w:t>
      </w:r>
      <w:r w:rsidR="00FA02D3">
        <w:rPr>
          <w:szCs w:val="24"/>
        </w:rPr>
        <w:t xml:space="preserve">. of the Settlement </w:t>
      </w:r>
      <w:r w:rsidR="00110A7F">
        <w:rPr>
          <w:szCs w:val="24"/>
        </w:rPr>
        <w:t xml:space="preserve">are adopted. </w:t>
      </w:r>
    </w:p>
    <w:p w:rsidR="00C25EDC" w:rsidRPr="00C25EDC" w:rsidRDefault="00C25EDC" w:rsidP="00C25EDC"/>
    <w:p w:rsidR="00CC1811" w:rsidRDefault="00110A7F" w:rsidP="00ED7A87">
      <w:pPr>
        <w:pStyle w:val="Heading3"/>
        <w:numPr>
          <w:ilvl w:val="0"/>
          <w:numId w:val="36"/>
        </w:numPr>
        <w:spacing w:line="240" w:lineRule="auto"/>
      </w:pPr>
      <w:r w:rsidRPr="00110A7F">
        <w:t>Additional TOU Test Cells</w:t>
      </w:r>
    </w:p>
    <w:p w:rsidR="00110A7F" w:rsidRDefault="00110A7F" w:rsidP="00FC6F07">
      <w:pPr>
        <w:spacing w:line="240" w:lineRule="auto"/>
        <w:rPr>
          <w:b/>
        </w:rPr>
      </w:pPr>
    </w:p>
    <w:p w:rsidR="00A66143" w:rsidRDefault="00ED7A87" w:rsidP="00ED7A87">
      <w:pPr>
        <w:rPr>
          <w:szCs w:val="24"/>
        </w:rPr>
      </w:pPr>
      <w:r w:rsidRPr="00A872A6">
        <w:rPr>
          <w:szCs w:val="24"/>
        </w:rPr>
        <w:t xml:space="preserve">PECO’s </w:t>
      </w:r>
      <w:r w:rsidR="007678D9">
        <w:rPr>
          <w:szCs w:val="24"/>
        </w:rPr>
        <w:t>P</w:t>
      </w:r>
      <w:r w:rsidRPr="00A872A6">
        <w:rPr>
          <w:szCs w:val="24"/>
        </w:rPr>
        <w:t xml:space="preserve">lan is designed to test </w:t>
      </w:r>
      <w:r w:rsidR="007678D9" w:rsidRPr="00A872A6">
        <w:rPr>
          <w:szCs w:val="24"/>
        </w:rPr>
        <w:t xml:space="preserve">individually </w:t>
      </w:r>
      <w:r w:rsidRPr="00A872A6">
        <w:rPr>
          <w:szCs w:val="24"/>
        </w:rPr>
        <w:t xml:space="preserve">a variety of elements, including rate design, promotional </w:t>
      </w:r>
      <w:r w:rsidR="000D05D1">
        <w:rPr>
          <w:szCs w:val="24"/>
        </w:rPr>
        <w:t>strategy</w:t>
      </w:r>
      <w:r w:rsidRPr="00A872A6">
        <w:rPr>
          <w:szCs w:val="24"/>
        </w:rPr>
        <w:t xml:space="preserve"> and technology</w:t>
      </w:r>
      <w:r w:rsidR="000D05D1">
        <w:rPr>
          <w:szCs w:val="24"/>
        </w:rPr>
        <w:t xml:space="preserve">.  </w:t>
      </w:r>
      <w:r w:rsidR="0011638D">
        <w:rPr>
          <w:szCs w:val="24"/>
        </w:rPr>
        <w:t xml:space="preserve">PECO will test various combinations of </w:t>
      </w:r>
      <w:r w:rsidR="007678D9">
        <w:rPr>
          <w:szCs w:val="24"/>
        </w:rPr>
        <w:t xml:space="preserve">these </w:t>
      </w:r>
      <w:r w:rsidR="0011638D">
        <w:rPr>
          <w:szCs w:val="24"/>
        </w:rPr>
        <w:t xml:space="preserve">elements for their effectiveness.  </w:t>
      </w:r>
      <w:r w:rsidR="00A66143">
        <w:rPr>
          <w:szCs w:val="24"/>
        </w:rPr>
        <w:t>For example</w:t>
      </w:r>
      <w:r w:rsidR="006B464C">
        <w:rPr>
          <w:szCs w:val="24"/>
        </w:rPr>
        <w:t>,</w:t>
      </w:r>
      <w:r w:rsidR="00A66143">
        <w:rPr>
          <w:szCs w:val="24"/>
        </w:rPr>
        <w:t xml:space="preserve"> t</w:t>
      </w:r>
      <w:r w:rsidRPr="00A872A6">
        <w:rPr>
          <w:szCs w:val="24"/>
        </w:rPr>
        <w:t xml:space="preserve">o determine customer preferences regarding rate design (CPP vs. TOU), the </w:t>
      </w:r>
      <w:r w:rsidR="007678D9">
        <w:rPr>
          <w:szCs w:val="24"/>
        </w:rPr>
        <w:t>P</w:t>
      </w:r>
      <w:r w:rsidRPr="00A872A6">
        <w:rPr>
          <w:szCs w:val="24"/>
        </w:rPr>
        <w:t xml:space="preserve">lan offers one randomly selected group of customers the CPP rate with a sign-up incentive and another randomly selected group the TOU rate with the same incentive while holding constant all the other features of the marketing offers to both groups.  In addition, as originally filed, the </w:t>
      </w:r>
      <w:r w:rsidR="007678D9">
        <w:rPr>
          <w:szCs w:val="24"/>
        </w:rPr>
        <w:t>P</w:t>
      </w:r>
      <w:r w:rsidRPr="00A872A6">
        <w:rPr>
          <w:szCs w:val="24"/>
        </w:rPr>
        <w:t>lan</w:t>
      </w:r>
      <w:r w:rsidR="007678D9">
        <w:rPr>
          <w:szCs w:val="24"/>
        </w:rPr>
        <w:t xml:space="preserve"> would </w:t>
      </w:r>
      <w:r w:rsidRPr="00A872A6">
        <w:rPr>
          <w:szCs w:val="24"/>
        </w:rPr>
        <w:t>test other non</w:t>
      </w:r>
      <w:r w:rsidR="007678D9">
        <w:rPr>
          <w:szCs w:val="24"/>
        </w:rPr>
        <w:t>-</w:t>
      </w:r>
      <w:r w:rsidRPr="00A872A6">
        <w:rPr>
          <w:szCs w:val="24"/>
        </w:rPr>
        <w:t>rat</w:t>
      </w:r>
      <w:r w:rsidR="007678D9">
        <w:rPr>
          <w:szCs w:val="24"/>
        </w:rPr>
        <w:t xml:space="preserve">e </w:t>
      </w:r>
      <w:r w:rsidRPr="00A872A6">
        <w:rPr>
          <w:szCs w:val="24"/>
        </w:rPr>
        <w:t>design features (e.g., marketing and promotion materials) to test cells populated by customers enrolled in the CPP rate so that the non-rate</w:t>
      </w:r>
      <w:r w:rsidR="007678D9">
        <w:rPr>
          <w:szCs w:val="24"/>
        </w:rPr>
        <w:t xml:space="preserve"> </w:t>
      </w:r>
      <w:r w:rsidRPr="00A872A6">
        <w:rPr>
          <w:szCs w:val="24"/>
        </w:rPr>
        <w:t>design testing could isolate such features without introducing rate design as a variable.  PECO St. 2 at 1</w:t>
      </w:r>
      <w:r w:rsidR="000725EF">
        <w:rPr>
          <w:szCs w:val="24"/>
        </w:rPr>
        <w:t>6</w:t>
      </w:r>
      <w:r w:rsidRPr="00A872A6">
        <w:rPr>
          <w:szCs w:val="24"/>
        </w:rPr>
        <w:t xml:space="preserve">-20; PECO St. 2-R at 3-4.  </w:t>
      </w:r>
    </w:p>
    <w:p w:rsidR="00A66143" w:rsidRDefault="00A66143" w:rsidP="00ED7A87">
      <w:pPr>
        <w:rPr>
          <w:szCs w:val="24"/>
        </w:rPr>
      </w:pPr>
    </w:p>
    <w:p w:rsidR="00ED7A87" w:rsidRDefault="006B464C" w:rsidP="00ED7A87">
      <w:pPr>
        <w:rPr>
          <w:szCs w:val="24"/>
        </w:rPr>
      </w:pPr>
      <w:r>
        <w:rPr>
          <w:szCs w:val="24"/>
        </w:rPr>
        <w:lastRenderedPageBreak/>
        <w:t xml:space="preserve">The </w:t>
      </w:r>
      <w:r w:rsidR="00ED7A87" w:rsidRPr="00A872A6">
        <w:rPr>
          <w:szCs w:val="24"/>
        </w:rPr>
        <w:t>OCA</w:t>
      </w:r>
      <w:r>
        <w:rPr>
          <w:szCs w:val="24"/>
        </w:rPr>
        <w:t>’s</w:t>
      </w:r>
      <w:r w:rsidR="00ED7A87" w:rsidRPr="00A872A6">
        <w:rPr>
          <w:szCs w:val="24"/>
        </w:rPr>
        <w:t xml:space="preserve"> </w:t>
      </w:r>
      <w:r w:rsidR="00A66143">
        <w:rPr>
          <w:szCs w:val="24"/>
        </w:rPr>
        <w:t xml:space="preserve">witness </w:t>
      </w:r>
      <w:r w:rsidR="003C2468">
        <w:rPr>
          <w:szCs w:val="24"/>
        </w:rPr>
        <w:t xml:space="preserve">Hornby </w:t>
      </w:r>
      <w:r w:rsidR="00ED7A87" w:rsidRPr="00A872A6">
        <w:rPr>
          <w:szCs w:val="24"/>
        </w:rPr>
        <w:t xml:space="preserve">expressed </w:t>
      </w:r>
      <w:r w:rsidR="003C2468">
        <w:rPr>
          <w:szCs w:val="24"/>
        </w:rPr>
        <w:t xml:space="preserve">a </w:t>
      </w:r>
      <w:r w:rsidR="00ED7A87" w:rsidRPr="00A872A6">
        <w:rPr>
          <w:szCs w:val="24"/>
        </w:rPr>
        <w:t xml:space="preserve">concern </w:t>
      </w:r>
      <w:r w:rsidR="00002A19">
        <w:rPr>
          <w:szCs w:val="24"/>
        </w:rPr>
        <w:t>that PECO’s Plan did not place equal emphasis on testing CPP and TOU rate options.</w:t>
      </w:r>
      <w:r w:rsidR="003C2468">
        <w:rPr>
          <w:szCs w:val="24"/>
        </w:rPr>
        <w:t xml:space="preserve">  </w:t>
      </w:r>
      <w:r w:rsidR="00ED7A87" w:rsidRPr="00A872A6">
        <w:rPr>
          <w:szCs w:val="24"/>
        </w:rPr>
        <w:t xml:space="preserve">Mr. Hornby testified that “TOU has the potential to be much more cost-effective than CPP from a Total Resource Cost perspective because it has the potential to produce a much larger aggregate reduction in peak demand . . . because many more customers are likely to enroll in TOU than in CPP.”  OCA St. 1 at </w:t>
      </w:r>
      <w:r w:rsidR="00002A19">
        <w:rPr>
          <w:szCs w:val="24"/>
        </w:rPr>
        <w:t>9-</w:t>
      </w:r>
      <w:r w:rsidR="00ED7A87" w:rsidRPr="00A872A6">
        <w:rPr>
          <w:szCs w:val="24"/>
        </w:rPr>
        <w:t xml:space="preserve">10.  </w:t>
      </w:r>
    </w:p>
    <w:p w:rsidR="00002A19" w:rsidRPr="00A872A6" w:rsidRDefault="00002A19" w:rsidP="00ED7A87">
      <w:pPr>
        <w:rPr>
          <w:szCs w:val="24"/>
        </w:rPr>
      </w:pPr>
    </w:p>
    <w:p w:rsidR="00ED7A87" w:rsidRPr="00A872A6" w:rsidRDefault="00ED7A87" w:rsidP="00ED7A87">
      <w:pPr>
        <w:rPr>
          <w:szCs w:val="24"/>
        </w:rPr>
      </w:pPr>
      <w:r w:rsidRPr="00A872A6">
        <w:rPr>
          <w:szCs w:val="24"/>
        </w:rPr>
        <w:t xml:space="preserve">Under the </w:t>
      </w:r>
      <w:r w:rsidR="003C2468">
        <w:rPr>
          <w:szCs w:val="24"/>
        </w:rPr>
        <w:t>S</w:t>
      </w:r>
      <w:r w:rsidRPr="00A872A6">
        <w:rPr>
          <w:szCs w:val="24"/>
        </w:rPr>
        <w:t>ettlement</w:t>
      </w:r>
      <w:r w:rsidR="003C2468">
        <w:rPr>
          <w:szCs w:val="24"/>
        </w:rPr>
        <w:t>,</w:t>
      </w:r>
      <w:r w:rsidRPr="00A872A6">
        <w:rPr>
          <w:szCs w:val="24"/>
        </w:rPr>
        <w:t xml:space="preserve"> PECO agreed to add five additional test cells populated by customers enrolled in the TOU rate</w:t>
      </w:r>
      <w:r w:rsidR="00C20F54">
        <w:rPr>
          <w:szCs w:val="24"/>
        </w:rPr>
        <w:t xml:space="preserve">.  Settlement </w:t>
      </w:r>
      <w:r w:rsidRPr="00A872A6">
        <w:rPr>
          <w:szCs w:val="24"/>
        </w:rPr>
        <w:t>¶ 9</w:t>
      </w:r>
      <w:r w:rsidR="002710FA">
        <w:rPr>
          <w:szCs w:val="24"/>
        </w:rPr>
        <w:t>.</w:t>
      </w:r>
      <w:r w:rsidRPr="00A872A6">
        <w:rPr>
          <w:szCs w:val="24"/>
        </w:rPr>
        <w:t>C</w:t>
      </w:r>
      <w:r w:rsidR="002710FA">
        <w:rPr>
          <w:szCs w:val="24"/>
        </w:rPr>
        <w:t>.</w:t>
      </w:r>
      <w:r w:rsidR="003C2468">
        <w:rPr>
          <w:szCs w:val="24"/>
        </w:rPr>
        <w:t xml:space="preserve"> at</w:t>
      </w:r>
      <w:r w:rsidR="00C20F54">
        <w:rPr>
          <w:szCs w:val="24"/>
        </w:rPr>
        <w:t xml:space="preserve"> 4. </w:t>
      </w:r>
      <w:r>
        <w:rPr>
          <w:szCs w:val="24"/>
        </w:rPr>
        <w:t xml:space="preserve"> </w:t>
      </w:r>
      <w:r w:rsidRPr="00A872A6">
        <w:rPr>
          <w:szCs w:val="24"/>
        </w:rPr>
        <w:t xml:space="preserve">As stated by PECO in its Statement in Support at </w:t>
      </w:r>
      <w:r>
        <w:rPr>
          <w:szCs w:val="24"/>
        </w:rPr>
        <w:t>5-</w:t>
      </w:r>
      <w:r w:rsidRPr="00A872A6">
        <w:rPr>
          <w:szCs w:val="24"/>
        </w:rPr>
        <w:t>6, “</w:t>
      </w:r>
      <w:r w:rsidR="002710FA">
        <w:rPr>
          <w:szCs w:val="24"/>
        </w:rPr>
        <w:t>[t]</w:t>
      </w:r>
      <w:r w:rsidRPr="00A872A6">
        <w:rPr>
          <w:szCs w:val="24"/>
        </w:rPr>
        <w:t>his will allow the company to compare certain features across different rate designs and will contribute additional findings to the ‘test and learn’ process.”  In its Statement in Support at 6, OCA explained that, “</w:t>
      </w:r>
      <w:r w:rsidR="002710FA">
        <w:rPr>
          <w:szCs w:val="24"/>
        </w:rPr>
        <w:t>[t]</w:t>
      </w:r>
      <w:r w:rsidRPr="00A872A6">
        <w:rPr>
          <w:szCs w:val="24"/>
        </w:rPr>
        <w:t>he addition of TOU test cells will also allow the company to better identify pricing offers that it can deploy system-wide at a relatively low cost in order to ensure cost-effectiveness over time.”</w:t>
      </w:r>
      <w:r w:rsidR="00C20F54">
        <w:rPr>
          <w:szCs w:val="24"/>
        </w:rPr>
        <w:t xml:space="preserve">  We agree with PECO and the OCA that </w:t>
      </w:r>
      <w:r w:rsidR="00FF7DEA">
        <w:rPr>
          <w:szCs w:val="24"/>
        </w:rPr>
        <w:t xml:space="preserve">these five additional cells will expand the scope of tested options that </w:t>
      </w:r>
      <w:r w:rsidR="00337183">
        <w:rPr>
          <w:szCs w:val="24"/>
        </w:rPr>
        <w:t xml:space="preserve">will be </w:t>
      </w:r>
      <w:r w:rsidR="00F23C31">
        <w:rPr>
          <w:szCs w:val="24"/>
        </w:rPr>
        <w:t xml:space="preserve">utilized to determine the key drivers of customer acceptance </w:t>
      </w:r>
      <w:r w:rsidR="0052193F">
        <w:rPr>
          <w:szCs w:val="24"/>
        </w:rPr>
        <w:t xml:space="preserve">and effective utilization of dynamic rate programs. </w:t>
      </w:r>
    </w:p>
    <w:p w:rsidR="00ED7A87" w:rsidRDefault="00ED7A87" w:rsidP="00ED7A87">
      <w:pPr>
        <w:rPr>
          <w:szCs w:val="24"/>
        </w:rPr>
      </w:pPr>
    </w:p>
    <w:p w:rsidR="004C28FD" w:rsidRDefault="004C28FD" w:rsidP="004C28FD">
      <w:pPr>
        <w:pStyle w:val="Heading3"/>
        <w:ind w:left="2520"/>
      </w:pPr>
      <w:r>
        <w:t>Customer Protection and Payment Arrangements</w:t>
      </w:r>
    </w:p>
    <w:p w:rsidR="004C28FD" w:rsidRPr="00A872A6" w:rsidRDefault="004C28FD" w:rsidP="004C28FD">
      <w:pPr>
        <w:spacing w:line="240" w:lineRule="auto"/>
        <w:rPr>
          <w:szCs w:val="24"/>
        </w:rPr>
      </w:pPr>
    </w:p>
    <w:p w:rsidR="00495953" w:rsidRDefault="004C28FD" w:rsidP="004C28FD">
      <w:pPr>
        <w:rPr>
          <w:szCs w:val="24"/>
        </w:rPr>
      </w:pPr>
      <w:r w:rsidRPr="00A872A6">
        <w:rPr>
          <w:szCs w:val="24"/>
        </w:rPr>
        <w:t xml:space="preserve">As part of the </w:t>
      </w:r>
      <w:r>
        <w:rPr>
          <w:szCs w:val="24"/>
        </w:rPr>
        <w:t>P</w:t>
      </w:r>
      <w:r w:rsidRPr="00A872A6">
        <w:rPr>
          <w:szCs w:val="24"/>
        </w:rPr>
        <w:t xml:space="preserve">lan’s </w:t>
      </w:r>
      <w:r>
        <w:rPr>
          <w:szCs w:val="24"/>
        </w:rPr>
        <w:t>“</w:t>
      </w:r>
      <w:r w:rsidRPr="00A872A6">
        <w:rPr>
          <w:szCs w:val="24"/>
        </w:rPr>
        <w:t>test and learn</w:t>
      </w:r>
      <w:r>
        <w:rPr>
          <w:szCs w:val="24"/>
        </w:rPr>
        <w:t xml:space="preserve">” </w:t>
      </w:r>
      <w:r w:rsidRPr="00A872A6">
        <w:rPr>
          <w:szCs w:val="24"/>
        </w:rPr>
        <w:t>approach, some customers would be offered bill protection features that protect them from paying more than they would have paid under the company’s otherwise applicable rates for default service for the same number of kWh during their first year on the dynamic rate</w:t>
      </w:r>
      <w:r w:rsidR="002710FA">
        <w:rPr>
          <w:szCs w:val="24"/>
        </w:rPr>
        <w:t>s</w:t>
      </w:r>
      <w:r w:rsidRPr="00A872A6">
        <w:rPr>
          <w:szCs w:val="24"/>
        </w:rPr>
        <w:t xml:space="preserve">.  PECO </w:t>
      </w:r>
      <w:r>
        <w:rPr>
          <w:szCs w:val="24"/>
        </w:rPr>
        <w:t>state</w:t>
      </w:r>
      <w:r w:rsidR="00B369F1">
        <w:rPr>
          <w:szCs w:val="24"/>
        </w:rPr>
        <w:t>d</w:t>
      </w:r>
      <w:r>
        <w:rPr>
          <w:szCs w:val="24"/>
        </w:rPr>
        <w:t xml:space="preserve"> that it is </w:t>
      </w:r>
      <w:r w:rsidR="002710FA">
        <w:rPr>
          <w:szCs w:val="24"/>
        </w:rPr>
        <w:t xml:space="preserve">also </w:t>
      </w:r>
      <w:r w:rsidRPr="00A872A6">
        <w:rPr>
          <w:szCs w:val="24"/>
        </w:rPr>
        <w:t xml:space="preserve">committed to work with interested stakeholders to develop appropriate messaging to be used with marketing, educational and enrollment materials to help customers understand the potential implications of accepting a dynamic rate offer. </w:t>
      </w:r>
      <w:r w:rsidR="00495953">
        <w:rPr>
          <w:szCs w:val="24"/>
        </w:rPr>
        <w:t xml:space="preserve"> PECO Statement of Support at 6.</w:t>
      </w:r>
    </w:p>
    <w:p w:rsidR="00495953" w:rsidRDefault="00495953" w:rsidP="004C28FD">
      <w:pPr>
        <w:rPr>
          <w:szCs w:val="24"/>
        </w:rPr>
      </w:pPr>
    </w:p>
    <w:p w:rsidR="004C28FD" w:rsidRPr="00A872A6" w:rsidRDefault="006B464C" w:rsidP="004C28FD">
      <w:pPr>
        <w:rPr>
          <w:szCs w:val="24"/>
        </w:rPr>
      </w:pPr>
      <w:r>
        <w:rPr>
          <w:szCs w:val="24"/>
        </w:rPr>
        <w:lastRenderedPageBreak/>
        <w:t xml:space="preserve">The </w:t>
      </w:r>
      <w:r w:rsidR="009022AA">
        <w:rPr>
          <w:szCs w:val="24"/>
        </w:rPr>
        <w:t>OCA</w:t>
      </w:r>
      <w:r w:rsidR="00E44322">
        <w:rPr>
          <w:szCs w:val="24"/>
        </w:rPr>
        <w:t>’s</w:t>
      </w:r>
      <w:r w:rsidR="009022AA">
        <w:rPr>
          <w:szCs w:val="24"/>
        </w:rPr>
        <w:t xml:space="preserve"> witness Brockway testified that </w:t>
      </w:r>
      <w:r w:rsidR="00FD1D0D">
        <w:rPr>
          <w:szCs w:val="24"/>
        </w:rPr>
        <w:t xml:space="preserve">the objectives of dynamic pricing should not be achieved at the expense of consumers’ quality of life and access to electricity.  Mr. Brockway argued that PECO’s Plan offered inadequate protection to its customers </w:t>
      </w:r>
      <w:r w:rsidR="000D6056">
        <w:rPr>
          <w:szCs w:val="24"/>
        </w:rPr>
        <w:t xml:space="preserve">and proposed, </w:t>
      </w:r>
      <w:r w:rsidR="000D6056" w:rsidRPr="000D6056">
        <w:rPr>
          <w:i/>
          <w:szCs w:val="24"/>
        </w:rPr>
        <w:t>inter alia</w:t>
      </w:r>
      <w:r w:rsidR="000D6056">
        <w:rPr>
          <w:szCs w:val="24"/>
        </w:rPr>
        <w:t xml:space="preserve">, that customers be afforded a payment plan if they fall into arrears while participating in the dynamic pricing pilot.  OCA St. </w:t>
      </w:r>
      <w:r w:rsidR="005F1182">
        <w:rPr>
          <w:szCs w:val="24"/>
        </w:rPr>
        <w:t xml:space="preserve">No. </w:t>
      </w:r>
      <w:r w:rsidR="000D6056">
        <w:rPr>
          <w:szCs w:val="24"/>
        </w:rPr>
        <w:t xml:space="preserve">2 at 5-6.  </w:t>
      </w:r>
      <w:r w:rsidR="004C28FD" w:rsidRPr="00A872A6">
        <w:rPr>
          <w:szCs w:val="24"/>
        </w:rPr>
        <w:t xml:space="preserve">In response to </w:t>
      </w:r>
      <w:r w:rsidR="005F1182">
        <w:rPr>
          <w:szCs w:val="24"/>
        </w:rPr>
        <w:t xml:space="preserve">the </w:t>
      </w:r>
      <w:r w:rsidR="004C28FD" w:rsidRPr="00A872A6">
        <w:rPr>
          <w:szCs w:val="24"/>
        </w:rPr>
        <w:t>OCA’s concerns</w:t>
      </w:r>
      <w:r w:rsidR="00B369F1">
        <w:rPr>
          <w:szCs w:val="24"/>
        </w:rPr>
        <w:t>,</w:t>
      </w:r>
      <w:r w:rsidR="004C28FD" w:rsidRPr="00A872A6">
        <w:rPr>
          <w:szCs w:val="24"/>
        </w:rPr>
        <w:t xml:space="preserve"> </w:t>
      </w:r>
      <w:r w:rsidR="00B51E35">
        <w:rPr>
          <w:szCs w:val="24"/>
        </w:rPr>
        <w:t xml:space="preserve">PECO proposed that </w:t>
      </w:r>
      <w:r w:rsidR="004C28FD" w:rsidRPr="00A872A6">
        <w:rPr>
          <w:szCs w:val="24"/>
        </w:rPr>
        <w:t>the eligibility criteria for payment arrangements should be extended for customers faced with higher peak or critical peak period bills</w:t>
      </w:r>
      <w:r w:rsidR="00065C0E">
        <w:rPr>
          <w:szCs w:val="24"/>
        </w:rPr>
        <w:t xml:space="preserve">.  </w:t>
      </w:r>
      <w:r w:rsidR="005F1182">
        <w:rPr>
          <w:szCs w:val="24"/>
        </w:rPr>
        <w:t>PECO</w:t>
      </w:r>
      <w:r w:rsidR="001D15C4">
        <w:rPr>
          <w:szCs w:val="24"/>
        </w:rPr>
        <w:t xml:space="preserve"> also </w:t>
      </w:r>
      <w:r w:rsidR="004C28FD" w:rsidRPr="00A872A6">
        <w:rPr>
          <w:szCs w:val="24"/>
        </w:rPr>
        <w:t>proposed that residential customers</w:t>
      </w:r>
      <w:r w:rsidR="00065C0E">
        <w:rPr>
          <w:szCs w:val="24"/>
        </w:rPr>
        <w:t>,</w:t>
      </w:r>
      <w:r w:rsidR="004C28FD" w:rsidRPr="00A872A6">
        <w:rPr>
          <w:szCs w:val="24"/>
        </w:rPr>
        <w:t xml:space="preserve"> who were not eligible for payment arrangements under existing Commission rules</w:t>
      </w:r>
      <w:r w:rsidR="00065C0E">
        <w:rPr>
          <w:szCs w:val="24"/>
        </w:rPr>
        <w:t>,</w:t>
      </w:r>
      <w:r w:rsidR="004C28FD" w:rsidRPr="00A872A6">
        <w:rPr>
          <w:szCs w:val="24"/>
        </w:rPr>
        <w:t xml:space="preserve"> would not be eligible for CPP or TOU rates. PECO St. 1-R at 4.  </w:t>
      </w:r>
    </w:p>
    <w:p w:rsidR="004C28FD" w:rsidRPr="00A872A6" w:rsidRDefault="004C28FD" w:rsidP="004C28FD">
      <w:pPr>
        <w:rPr>
          <w:szCs w:val="24"/>
        </w:rPr>
      </w:pPr>
    </w:p>
    <w:p w:rsidR="00857854" w:rsidRDefault="004C28FD" w:rsidP="004C28FD">
      <w:pPr>
        <w:rPr>
          <w:szCs w:val="24"/>
        </w:rPr>
      </w:pPr>
      <w:r w:rsidRPr="00A872A6">
        <w:rPr>
          <w:szCs w:val="24"/>
        </w:rPr>
        <w:t xml:space="preserve">Under the </w:t>
      </w:r>
      <w:r w:rsidR="000D6056">
        <w:rPr>
          <w:szCs w:val="24"/>
        </w:rPr>
        <w:t>S</w:t>
      </w:r>
      <w:r w:rsidRPr="00A872A6">
        <w:rPr>
          <w:szCs w:val="24"/>
        </w:rPr>
        <w:t xml:space="preserve">ettlement, residential customers who are currently in default on a payment arrangement or who are currently making payments subject to a payment arrangement will not be eligible for CPP or TOU rates.  However, if PECO is contacted by a residential customer who has enrolled in </w:t>
      </w:r>
      <w:r w:rsidR="001D15C4" w:rsidRPr="00A872A6">
        <w:rPr>
          <w:szCs w:val="24"/>
        </w:rPr>
        <w:t xml:space="preserve">CPP or TOU rates </w:t>
      </w:r>
      <w:r w:rsidRPr="00A872A6">
        <w:rPr>
          <w:szCs w:val="24"/>
        </w:rPr>
        <w:t xml:space="preserve">and is experiencing difficulty making timely bill payments, </w:t>
      </w:r>
      <w:r w:rsidR="007B5239">
        <w:rPr>
          <w:szCs w:val="24"/>
        </w:rPr>
        <w:t>PECO</w:t>
      </w:r>
      <w:r w:rsidRPr="00A872A6">
        <w:rPr>
          <w:szCs w:val="24"/>
        </w:rPr>
        <w:t xml:space="preserve"> will </w:t>
      </w:r>
      <w:r w:rsidR="00857854">
        <w:rPr>
          <w:szCs w:val="24"/>
        </w:rPr>
        <w:t>take the following steps:</w:t>
      </w:r>
    </w:p>
    <w:p w:rsidR="00857854" w:rsidRDefault="00857854" w:rsidP="00857854">
      <w:pPr>
        <w:spacing w:line="240" w:lineRule="auto"/>
        <w:rPr>
          <w:szCs w:val="24"/>
        </w:rPr>
      </w:pPr>
    </w:p>
    <w:p w:rsidR="00857854" w:rsidRPr="007B5239" w:rsidRDefault="00857854" w:rsidP="00C16AE7">
      <w:pPr>
        <w:pStyle w:val="ListParagraph"/>
        <w:numPr>
          <w:ilvl w:val="0"/>
          <w:numId w:val="39"/>
        </w:numPr>
        <w:spacing w:after="120" w:line="240" w:lineRule="auto"/>
        <w:ind w:right="1440" w:hanging="720"/>
        <w:rPr>
          <w:szCs w:val="24"/>
        </w:rPr>
      </w:pPr>
      <w:r w:rsidRPr="007B5239">
        <w:rPr>
          <w:szCs w:val="24"/>
        </w:rPr>
        <w:t>M</w:t>
      </w:r>
      <w:r w:rsidR="004C28FD" w:rsidRPr="007B5239">
        <w:rPr>
          <w:szCs w:val="24"/>
        </w:rPr>
        <w:t>ove the customer to a separate research test cell focused on payment troubled customers</w:t>
      </w:r>
      <w:r w:rsidRPr="007B5239">
        <w:rPr>
          <w:szCs w:val="24"/>
        </w:rPr>
        <w:t>.</w:t>
      </w:r>
    </w:p>
    <w:p w:rsidR="00857854" w:rsidRPr="007B5239" w:rsidRDefault="00857854" w:rsidP="003503C8">
      <w:pPr>
        <w:pStyle w:val="ListParagraph"/>
        <w:numPr>
          <w:ilvl w:val="0"/>
          <w:numId w:val="39"/>
        </w:numPr>
        <w:spacing w:after="120" w:line="240" w:lineRule="auto"/>
        <w:ind w:right="1440" w:hanging="720"/>
        <w:rPr>
          <w:szCs w:val="24"/>
        </w:rPr>
      </w:pPr>
      <w:r w:rsidRPr="007B5239">
        <w:rPr>
          <w:szCs w:val="24"/>
        </w:rPr>
        <w:t>O</w:t>
      </w:r>
      <w:r w:rsidR="004C28FD" w:rsidRPr="007B5239">
        <w:rPr>
          <w:szCs w:val="24"/>
        </w:rPr>
        <w:t xml:space="preserve">ffer the customer first year bill protection for the entire first </w:t>
      </w:r>
      <w:r w:rsidR="001D15C4">
        <w:rPr>
          <w:szCs w:val="24"/>
        </w:rPr>
        <w:t xml:space="preserve">twelve </w:t>
      </w:r>
      <w:r w:rsidR="004C28FD" w:rsidRPr="007B5239">
        <w:rPr>
          <w:szCs w:val="24"/>
        </w:rPr>
        <w:t>months on the CPP or TOU rate if the customer is not already enrolled in a test cell that offers it</w:t>
      </w:r>
      <w:r w:rsidRPr="007B5239">
        <w:rPr>
          <w:szCs w:val="24"/>
        </w:rPr>
        <w:t>.</w:t>
      </w:r>
    </w:p>
    <w:p w:rsidR="00857854" w:rsidRPr="007B5239" w:rsidRDefault="00857854" w:rsidP="003503C8">
      <w:pPr>
        <w:pStyle w:val="ListParagraph"/>
        <w:numPr>
          <w:ilvl w:val="0"/>
          <w:numId w:val="39"/>
        </w:numPr>
        <w:spacing w:after="120" w:line="240" w:lineRule="auto"/>
        <w:ind w:right="1440" w:hanging="720"/>
        <w:rPr>
          <w:szCs w:val="24"/>
        </w:rPr>
      </w:pPr>
      <w:r w:rsidRPr="007B5239">
        <w:rPr>
          <w:szCs w:val="24"/>
        </w:rPr>
        <w:t>O</w:t>
      </w:r>
      <w:r w:rsidR="004C28FD" w:rsidRPr="007B5239">
        <w:rPr>
          <w:szCs w:val="24"/>
        </w:rPr>
        <w:t>ffer the customer a payment plan specific to any arrearages incurred while enrolled in the plan that is suitable under the company’s guidelines for payment arrangements for the customer’s circumstance</w:t>
      </w:r>
      <w:r w:rsidRPr="007B5239">
        <w:rPr>
          <w:szCs w:val="24"/>
        </w:rPr>
        <w:t>.</w:t>
      </w:r>
      <w:r w:rsidR="004C28FD" w:rsidRPr="007B5239">
        <w:rPr>
          <w:szCs w:val="24"/>
        </w:rPr>
        <w:t xml:space="preserve"> </w:t>
      </w:r>
    </w:p>
    <w:p w:rsidR="004C28FD" w:rsidRPr="007B5239" w:rsidRDefault="00857854" w:rsidP="00AA76A5">
      <w:pPr>
        <w:pStyle w:val="ListParagraph"/>
        <w:numPr>
          <w:ilvl w:val="0"/>
          <w:numId w:val="39"/>
        </w:numPr>
        <w:spacing w:after="120" w:line="240" w:lineRule="auto"/>
        <w:ind w:right="1440" w:hanging="720"/>
        <w:rPr>
          <w:szCs w:val="24"/>
        </w:rPr>
      </w:pPr>
      <w:r w:rsidRPr="007B5239">
        <w:rPr>
          <w:szCs w:val="24"/>
        </w:rPr>
        <w:t>P</w:t>
      </w:r>
      <w:r w:rsidR="004C28FD" w:rsidRPr="007B5239">
        <w:rPr>
          <w:szCs w:val="24"/>
        </w:rPr>
        <w:t>rior to the expiration of the bill protection feature, communicate and discuss with the customer whether to remain on the CPP or TOU rate given the payment problems encountered by the customer.</w:t>
      </w:r>
    </w:p>
    <w:p w:rsidR="004C28FD" w:rsidRDefault="00AA76A5" w:rsidP="00AA76A5">
      <w:pPr>
        <w:ind w:firstLine="0"/>
        <w:rPr>
          <w:szCs w:val="24"/>
        </w:rPr>
      </w:pPr>
      <w:r>
        <w:rPr>
          <w:szCs w:val="24"/>
        </w:rPr>
        <w:t xml:space="preserve">Settlement </w:t>
      </w:r>
      <w:r>
        <w:rPr>
          <w:rFonts w:cs="Times New Roman"/>
          <w:szCs w:val="24"/>
        </w:rPr>
        <w:t>¶</w:t>
      </w:r>
      <w:r>
        <w:rPr>
          <w:szCs w:val="24"/>
        </w:rPr>
        <w:t xml:space="preserve"> </w:t>
      </w:r>
      <w:r w:rsidR="00134B74">
        <w:rPr>
          <w:szCs w:val="24"/>
        </w:rPr>
        <w:t>9.</w:t>
      </w:r>
      <w:r>
        <w:rPr>
          <w:szCs w:val="24"/>
        </w:rPr>
        <w:t>B</w:t>
      </w:r>
      <w:r w:rsidR="00134B74">
        <w:rPr>
          <w:szCs w:val="24"/>
        </w:rPr>
        <w:t>.</w:t>
      </w:r>
      <w:r>
        <w:rPr>
          <w:szCs w:val="24"/>
        </w:rPr>
        <w:t xml:space="preserve"> at 5. </w:t>
      </w:r>
    </w:p>
    <w:p w:rsidR="00AA76A5" w:rsidRPr="00A872A6" w:rsidRDefault="00AA76A5" w:rsidP="00AA76A5">
      <w:pPr>
        <w:ind w:firstLine="0"/>
        <w:rPr>
          <w:szCs w:val="24"/>
        </w:rPr>
      </w:pPr>
    </w:p>
    <w:p w:rsidR="00E43CB1" w:rsidRDefault="0028650C" w:rsidP="004C28FD">
      <w:pPr>
        <w:rPr>
          <w:szCs w:val="24"/>
        </w:rPr>
      </w:pPr>
      <w:r>
        <w:rPr>
          <w:szCs w:val="24"/>
        </w:rPr>
        <w:lastRenderedPageBreak/>
        <w:t xml:space="preserve">The OCA stated that these “substantial” protections will enable customers to try the dynamic rates without fear of unnecessary disconnection and will protect customers from the situation in which their experience under the TOU and CPP rate </w:t>
      </w:r>
      <w:r w:rsidR="00AA76A5">
        <w:rPr>
          <w:szCs w:val="24"/>
        </w:rPr>
        <w:t xml:space="preserve">diminishes their access to utility service on a going forward basis.  OCA Statement of Support at 4.  </w:t>
      </w:r>
      <w:r w:rsidR="00E43CB1">
        <w:rPr>
          <w:szCs w:val="24"/>
        </w:rPr>
        <w:t>PECO stated that</w:t>
      </w:r>
      <w:r w:rsidR="006B464C">
        <w:rPr>
          <w:szCs w:val="24"/>
        </w:rPr>
        <w:t>,</w:t>
      </w:r>
      <w:r w:rsidR="00E43CB1">
        <w:rPr>
          <w:szCs w:val="24"/>
        </w:rPr>
        <w:t xml:space="preserve"> in addition to the supplemental protection for residential customers</w:t>
      </w:r>
      <w:r w:rsidR="001D15C4">
        <w:rPr>
          <w:szCs w:val="24"/>
        </w:rPr>
        <w:t>,</w:t>
      </w:r>
      <w:r w:rsidR="00E43CB1">
        <w:rPr>
          <w:szCs w:val="24"/>
        </w:rPr>
        <w:t xml:space="preserve"> the Settlement provides a new opportunity for PECO to test </w:t>
      </w:r>
      <w:r w:rsidR="00A20A03">
        <w:rPr>
          <w:szCs w:val="24"/>
        </w:rPr>
        <w:t xml:space="preserve">the bill protection feature and gather data specific to payment troubled customers.  </w:t>
      </w:r>
      <w:r w:rsidR="008048B1">
        <w:rPr>
          <w:szCs w:val="24"/>
        </w:rPr>
        <w:t xml:space="preserve">We concur with PECO and the OCA.  The </w:t>
      </w:r>
      <w:r w:rsidR="00C478CB">
        <w:rPr>
          <w:szCs w:val="24"/>
        </w:rPr>
        <w:t>provisions added by the Settlement will protect customers from the potential risk</w:t>
      </w:r>
      <w:r w:rsidR="0089578C">
        <w:rPr>
          <w:szCs w:val="24"/>
        </w:rPr>
        <w:t>s</w:t>
      </w:r>
      <w:r w:rsidR="00C478CB">
        <w:rPr>
          <w:szCs w:val="24"/>
        </w:rPr>
        <w:t xml:space="preserve"> of participating in the TOU and CPP and provide valuable experience on the effects of </w:t>
      </w:r>
      <w:r w:rsidR="00AC4824">
        <w:rPr>
          <w:szCs w:val="24"/>
        </w:rPr>
        <w:t xml:space="preserve">these protections on </w:t>
      </w:r>
      <w:r w:rsidR="0089578C">
        <w:rPr>
          <w:szCs w:val="24"/>
        </w:rPr>
        <w:t xml:space="preserve">dynamic price </w:t>
      </w:r>
      <w:r w:rsidR="00AC4824">
        <w:rPr>
          <w:szCs w:val="24"/>
        </w:rPr>
        <w:t xml:space="preserve">participation. </w:t>
      </w:r>
      <w:r w:rsidR="008048B1">
        <w:rPr>
          <w:szCs w:val="24"/>
        </w:rPr>
        <w:t xml:space="preserve"> </w:t>
      </w:r>
    </w:p>
    <w:p w:rsidR="008048B1" w:rsidRDefault="008048B1" w:rsidP="004C28FD">
      <w:pPr>
        <w:rPr>
          <w:szCs w:val="24"/>
        </w:rPr>
      </w:pPr>
    </w:p>
    <w:p w:rsidR="008048B1" w:rsidRDefault="00AC4824" w:rsidP="002F2452">
      <w:pPr>
        <w:pStyle w:val="Heading3"/>
        <w:ind w:left="0" w:firstLine="2160"/>
      </w:pPr>
      <w:r>
        <w:t>Surveys</w:t>
      </w:r>
    </w:p>
    <w:p w:rsidR="00C97E16" w:rsidRPr="00C97E16" w:rsidRDefault="00C97E16" w:rsidP="00C97E16">
      <w:pPr>
        <w:spacing w:line="240" w:lineRule="auto"/>
      </w:pPr>
    </w:p>
    <w:p w:rsidR="00B82B36" w:rsidRPr="00CE2316" w:rsidRDefault="002F2452" w:rsidP="00B82B36">
      <w:pPr>
        <w:rPr>
          <w:szCs w:val="24"/>
        </w:rPr>
      </w:pPr>
      <w:r>
        <w:rPr>
          <w:szCs w:val="24"/>
        </w:rPr>
        <w:t xml:space="preserve">In its initial filing, PECO explained that the use of surveys was one of several key components of the Plan’s </w:t>
      </w:r>
      <w:r w:rsidR="00B82B36">
        <w:rPr>
          <w:szCs w:val="24"/>
        </w:rPr>
        <w:t>“rigorous measurement and evaluation strategy</w:t>
      </w:r>
      <w:r w:rsidR="0089578C">
        <w:rPr>
          <w:szCs w:val="24"/>
        </w:rPr>
        <w:t>.</w:t>
      </w:r>
      <w:r w:rsidR="00B82B36">
        <w:rPr>
          <w:szCs w:val="24"/>
        </w:rPr>
        <w:t xml:space="preserve">”  PECO St. </w:t>
      </w:r>
      <w:r w:rsidR="0089578C">
        <w:rPr>
          <w:szCs w:val="24"/>
        </w:rPr>
        <w:t xml:space="preserve">No. </w:t>
      </w:r>
      <w:r w:rsidR="00B82B36">
        <w:rPr>
          <w:szCs w:val="24"/>
        </w:rPr>
        <w:t xml:space="preserve">2 at 22-23.  </w:t>
      </w:r>
      <w:r w:rsidR="00B82B36" w:rsidRPr="00CE2316">
        <w:rPr>
          <w:szCs w:val="24"/>
        </w:rPr>
        <w:t xml:space="preserve">The OCA addressed the importance of collecting information about vulnerable populations to see how those types of customers will be affected by dynamic pricing.  </w:t>
      </w:r>
      <w:r w:rsidR="004B11D0" w:rsidRPr="00CE2316">
        <w:rPr>
          <w:szCs w:val="24"/>
        </w:rPr>
        <w:t xml:space="preserve">The OCA </w:t>
      </w:r>
      <w:r w:rsidR="00B82B36" w:rsidRPr="00CE2316">
        <w:rPr>
          <w:szCs w:val="24"/>
        </w:rPr>
        <w:t xml:space="preserve">identified </w:t>
      </w:r>
      <w:r w:rsidR="004B11D0" w:rsidRPr="00CE2316">
        <w:rPr>
          <w:szCs w:val="24"/>
        </w:rPr>
        <w:t xml:space="preserve">those </w:t>
      </w:r>
      <w:r w:rsidR="00B82B36" w:rsidRPr="00CE2316">
        <w:rPr>
          <w:szCs w:val="24"/>
        </w:rPr>
        <w:t xml:space="preserve">customers with advanced age or low income, those who were dissuaded from enrolling </w:t>
      </w:r>
      <w:r w:rsidR="0089578C">
        <w:rPr>
          <w:szCs w:val="24"/>
        </w:rPr>
        <w:t xml:space="preserve">in TOU or CPP service </w:t>
      </w:r>
      <w:r w:rsidR="00B82B36" w:rsidRPr="00CE2316">
        <w:rPr>
          <w:szCs w:val="24"/>
        </w:rPr>
        <w:t>and those who dropped out of the</w:t>
      </w:r>
      <w:r w:rsidR="00B30495">
        <w:rPr>
          <w:szCs w:val="24"/>
        </w:rPr>
        <w:t xml:space="preserve">se rates </w:t>
      </w:r>
      <w:r w:rsidR="00B82B36" w:rsidRPr="00CE2316">
        <w:rPr>
          <w:szCs w:val="24"/>
        </w:rPr>
        <w:t>after enrolling.  OCA St. 2 at 11-12.</w:t>
      </w:r>
    </w:p>
    <w:p w:rsidR="00665250" w:rsidRDefault="00665250" w:rsidP="00B82B36">
      <w:pPr>
        <w:rPr>
          <w:szCs w:val="24"/>
        </w:rPr>
      </w:pPr>
    </w:p>
    <w:p w:rsidR="00665250" w:rsidRDefault="00665250" w:rsidP="00B82B36">
      <w:pPr>
        <w:rPr>
          <w:szCs w:val="24"/>
        </w:rPr>
      </w:pPr>
      <w:r w:rsidRPr="00A872A6">
        <w:rPr>
          <w:szCs w:val="24"/>
        </w:rPr>
        <w:t>To address th</w:t>
      </w:r>
      <w:r>
        <w:rPr>
          <w:szCs w:val="24"/>
        </w:rPr>
        <w:t xml:space="preserve">e OCA’s </w:t>
      </w:r>
      <w:r w:rsidRPr="00A872A6">
        <w:rPr>
          <w:szCs w:val="24"/>
        </w:rPr>
        <w:t>concern</w:t>
      </w:r>
      <w:r w:rsidR="004B11D0">
        <w:rPr>
          <w:szCs w:val="24"/>
        </w:rPr>
        <w:t>s</w:t>
      </w:r>
      <w:r w:rsidRPr="00A872A6">
        <w:rPr>
          <w:szCs w:val="24"/>
        </w:rPr>
        <w:t xml:space="preserve">, </w:t>
      </w:r>
      <w:r>
        <w:rPr>
          <w:szCs w:val="24"/>
        </w:rPr>
        <w:t xml:space="preserve">the Settlement provides that </w:t>
      </w:r>
      <w:r w:rsidRPr="00A872A6">
        <w:rPr>
          <w:szCs w:val="24"/>
        </w:rPr>
        <w:t xml:space="preserve">PECO </w:t>
      </w:r>
      <w:r>
        <w:rPr>
          <w:szCs w:val="24"/>
        </w:rPr>
        <w:t>will</w:t>
      </w:r>
      <w:r w:rsidR="008841A7">
        <w:rPr>
          <w:szCs w:val="24"/>
        </w:rPr>
        <w:t>:</w:t>
      </w:r>
    </w:p>
    <w:p w:rsidR="00581495" w:rsidRDefault="00581495" w:rsidP="00581495">
      <w:pPr>
        <w:spacing w:line="240" w:lineRule="auto"/>
        <w:rPr>
          <w:szCs w:val="24"/>
        </w:rPr>
      </w:pPr>
    </w:p>
    <w:p w:rsidR="00665250" w:rsidRDefault="00665250" w:rsidP="00C16AE7">
      <w:pPr>
        <w:pStyle w:val="ListParagraph"/>
        <w:numPr>
          <w:ilvl w:val="0"/>
          <w:numId w:val="42"/>
        </w:numPr>
        <w:spacing w:after="120" w:line="240" w:lineRule="auto"/>
        <w:ind w:right="1440" w:hanging="720"/>
        <w:rPr>
          <w:szCs w:val="24"/>
        </w:rPr>
      </w:pPr>
      <w:r>
        <w:rPr>
          <w:szCs w:val="24"/>
        </w:rPr>
        <w:t>A</w:t>
      </w:r>
      <w:r w:rsidRPr="00A872A6">
        <w:rPr>
          <w:szCs w:val="24"/>
        </w:rPr>
        <w:t>sk a representative sample of customers who decided against enrolling in the program the reasons for their decision and will prepare a</w:t>
      </w:r>
      <w:r w:rsidR="008841A7">
        <w:rPr>
          <w:szCs w:val="24"/>
        </w:rPr>
        <w:t xml:space="preserve"> report summarizing the result.</w:t>
      </w:r>
    </w:p>
    <w:p w:rsidR="00581495" w:rsidRDefault="00665250" w:rsidP="00C16AE7">
      <w:pPr>
        <w:pStyle w:val="ListParagraph"/>
        <w:numPr>
          <w:ilvl w:val="0"/>
          <w:numId w:val="42"/>
        </w:numPr>
        <w:spacing w:after="120" w:line="240" w:lineRule="auto"/>
        <w:ind w:right="1440" w:hanging="720"/>
        <w:rPr>
          <w:szCs w:val="24"/>
        </w:rPr>
      </w:pPr>
      <w:r>
        <w:rPr>
          <w:szCs w:val="24"/>
        </w:rPr>
        <w:t>M</w:t>
      </w:r>
      <w:r w:rsidRPr="00A872A6">
        <w:rPr>
          <w:szCs w:val="24"/>
        </w:rPr>
        <w:t>onitor drop-out rates and work with the stakeholder group to determine whether surveying those</w:t>
      </w:r>
      <w:r w:rsidR="008841A7">
        <w:rPr>
          <w:szCs w:val="24"/>
        </w:rPr>
        <w:t xml:space="preserve"> customers should be done.</w:t>
      </w:r>
    </w:p>
    <w:p w:rsidR="00581495" w:rsidRDefault="00665250" w:rsidP="00C16AE7">
      <w:pPr>
        <w:pStyle w:val="ListParagraph"/>
        <w:numPr>
          <w:ilvl w:val="0"/>
          <w:numId w:val="42"/>
        </w:numPr>
        <w:spacing w:after="120" w:line="240" w:lineRule="auto"/>
        <w:ind w:right="1440" w:hanging="720"/>
        <w:rPr>
          <w:szCs w:val="24"/>
        </w:rPr>
      </w:pPr>
      <w:r>
        <w:rPr>
          <w:szCs w:val="24"/>
        </w:rPr>
        <w:lastRenderedPageBreak/>
        <w:t>P</w:t>
      </w:r>
      <w:r w:rsidRPr="00A872A6">
        <w:rPr>
          <w:szCs w:val="24"/>
        </w:rPr>
        <w:t xml:space="preserve">erform a survey of, or conduct a focus group with, vulnerable customers in the pilot program to better understand their experiences.  </w:t>
      </w:r>
    </w:p>
    <w:p w:rsidR="00665250" w:rsidRDefault="00581495" w:rsidP="00B30495">
      <w:pPr>
        <w:pStyle w:val="ListParagraph"/>
        <w:numPr>
          <w:ilvl w:val="0"/>
          <w:numId w:val="42"/>
        </w:numPr>
        <w:spacing w:line="240" w:lineRule="auto"/>
        <w:ind w:right="1440" w:hanging="720"/>
        <w:rPr>
          <w:szCs w:val="24"/>
        </w:rPr>
      </w:pPr>
      <w:r>
        <w:rPr>
          <w:szCs w:val="24"/>
        </w:rPr>
        <w:t>W</w:t>
      </w:r>
      <w:r w:rsidR="00665250" w:rsidRPr="00A872A6">
        <w:rPr>
          <w:szCs w:val="24"/>
        </w:rPr>
        <w:t>ork with the stakeholder group to determine if there is other information that should be collected as part of this process</w:t>
      </w:r>
      <w:r w:rsidR="008841A7">
        <w:rPr>
          <w:szCs w:val="24"/>
        </w:rPr>
        <w:t>.</w:t>
      </w:r>
    </w:p>
    <w:p w:rsidR="00B30495" w:rsidRPr="00B30495" w:rsidRDefault="00B30495" w:rsidP="00B30495">
      <w:pPr>
        <w:spacing w:after="120" w:line="240" w:lineRule="auto"/>
        <w:ind w:left="1440" w:right="1440" w:firstLine="0"/>
        <w:rPr>
          <w:szCs w:val="24"/>
        </w:rPr>
      </w:pPr>
    </w:p>
    <w:p w:rsidR="00337183" w:rsidRDefault="00C97E16" w:rsidP="00C97E16">
      <w:pPr>
        <w:spacing w:before="120" w:after="120" w:line="240" w:lineRule="auto"/>
        <w:ind w:right="1440" w:firstLine="0"/>
        <w:rPr>
          <w:rFonts w:cs="Times New Roman"/>
          <w:szCs w:val="24"/>
        </w:rPr>
      </w:pPr>
      <w:r>
        <w:rPr>
          <w:szCs w:val="24"/>
        </w:rPr>
        <w:t xml:space="preserve">Settlement </w:t>
      </w:r>
      <w:r>
        <w:rPr>
          <w:rFonts w:cs="Times New Roman"/>
          <w:szCs w:val="24"/>
        </w:rPr>
        <w:t xml:space="preserve">¶ </w:t>
      </w:r>
      <w:r w:rsidR="00134B74">
        <w:rPr>
          <w:rFonts w:cs="Times New Roman"/>
          <w:szCs w:val="24"/>
        </w:rPr>
        <w:t>9.</w:t>
      </w:r>
      <w:r>
        <w:rPr>
          <w:rFonts w:cs="Times New Roman"/>
          <w:szCs w:val="24"/>
        </w:rPr>
        <w:t>E</w:t>
      </w:r>
      <w:r w:rsidR="00134B74">
        <w:rPr>
          <w:rFonts w:cs="Times New Roman"/>
          <w:szCs w:val="24"/>
        </w:rPr>
        <w:t>.</w:t>
      </w:r>
      <w:r>
        <w:rPr>
          <w:rFonts w:cs="Times New Roman"/>
          <w:szCs w:val="24"/>
        </w:rPr>
        <w:t xml:space="preserve"> at 5-6. </w:t>
      </w:r>
    </w:p>
    <w:p w:rsidR="00B30495" w:rsidRDefault="00B30495" w:rsidP="00C97E16">
      <w:pPr>
        <w:spacing w:before="120" w:after="120" w:line="240" w:lineRule="auto"/>
        <w:ind w:right="1440" w:firstLine="0"/>
      </w:pPr>
    </w:p>
    <w:p w:rsidR="00C97E16" w:rsidRPr="00F32160" w:rsidRDefault="00B30495" w:rsidP="00F32160">
      <w:pPr>
        <w:pStyle w:val="Heading2"/>
        <w:numPr>
          <w:ilvl w:val="0"/>
          <w:numId w:val="0"/>
        </w:numPr>
        <w:ind w:firstLine="1440"/>
        <w:rPr>
          <w:b w:val="0"/>
        </w:rPr>
      </w:pPr>
      <w:r>
        <w:rPr>
          <w:b w:val="0"/>
        </w:rPr>
        <w:t xml:space="preserve">We believe that it is </w:t>
      </w:r>
      <w:r w:rsidR="00F32160">
        <w:rPr>
          <w:b w:val="0"/>
        </w:rPr>
        <w:t>essential that customers that the OCA has identified as “</w:t>
      </w:r>
      <w:r w:rsidR="00F32160" w:rsidRPr="00F32160">
        <w:rPr>
          <w:b w:val="0"/>
          <w:szCs w:val="24"/>
        </w:rPr>
        <w:t>vulnerable”</w:t>
      </w:r>
      <w:r w:rsidR="00F32160">
        <w:rPr>
          <w:b w:val="0"/>
          <w:szCs w:val="24"/>
        </w:rPr>
        <w:t xml:space="preserve"> be able to realize the savings that should result from participating in a load management rate program.  </w:t>
      </w:r>
      <w:r w:rsidR="00C66B53">
        <w:rPr>
          <w:b w:val="0"/>
          <w:szCs w:val="24"/>
        </w:rPr>
        <w:t>We concur that t</w:t>
      </w:r>
      <w:r w:rsidR="00D047A4">
        <w:rPr>
          <w:b w:val="0"/>
          <w:szCs w:val="24"/>
        </w:rPr>
        <w:t xml:space="preserve">he additional surveys included in the Settlement should </w:t>
      </w:r>
      <w:r w:rsidR="00C66B53">
        <w:rPr>
          <w:b w:val="0"/>
          <w:szCs w:val="24"/>
        </w:rPr>
        <w:t xml:space="preserve">be adopted because they will </w:t>
      </w:r>
      <w:r w:rsidR="00D047A4">
        <w:rPr>
          <w:b w:val="0"/>
          <w:szCs w:val="24"/>
        </w:rPr>
        <w:t xml:space="preserve">allow PECO to gather information on the relationships between the experiences of vulnerable customers and </w:t>
      </w:r>
      <w:r>
        <w:rPr>
          <w:b w:val="0"/>
          <w:szCs w:val="24"/>
        </w:rPr>
        <w:t xml:space="preserve">the proposed </w:t>
      </w:r>
      <w:r w:rsidR="00D047A4">
        <w:rPr>
          <w:b w:val="0"/>
          <w:szCs w:val="24"/>
        </w:rPr>
        <w:t>dynamic pricing options</w:t>
      </w:r>
      <w:r w:rsidR="00C66B53">
        <w:rPr>
          <w:b w:val="0"/>
          <w:szCs w:val="24"/>
        </w:rPr>
        <w:t xml:space="preserve">.  This information should facilitate necessary changes to the pricing options and other Plan components going forward. </w:t>
      </w:r>
      <w:r w:rsidR="00D047A4">
        <w:rPr>
          <w:b w:val="0"/>
          <w:szCs w:val="24"/>
        </w:rPr>
        <w:t xml:space="preserve"> </w:t>
      </w:r>
      <w:r w:rsidR="00F32160">
        <w:rPr>
          <w:b w:val="0"/>
          <w:szCs w:val="24"/>
        </w:rPr>
        <w:t xml:space="preserve"> </w:t>
      </w:r>
    </w:p>
    <w:p w:rsidR="00C97E16" w:rsidRPr="00CE2316" w:rsidRDefault="00C97E16" w:rsidP="00CE2316">
      <w:pPr>
        <w:pStyle w:val="Heading2"/>
        <w:numPr>
          <w:ilvl w:val="0"/>
          <w:numId w:val="0"/>
        </w:numPr>
        <w:ind w:left="1440"/>
        <w:rPr>
          <w:b w:val="0"/>
        </w:rPr>
      </w:pPr>
    </w:p>
    <w:p w:rsidR="00C97E16" w:rsidRDefault="00CE6486" w:rsidP="00455268">
      <w:pPr>
        <w:pStyle w:val="Heading3"/>
        <w:spacing w:line="240" w:lineRule="auto"/>
        <w:ind w:left="2880" w:hanging="720"/>
      </w:pPr>
      <w:r>
        <w:t>Methodology for Calculating Tariff Riders</w:t>
      </w:r>
    </w:p>
    <w:p w:rsidR="00CE6486" w:rsidRDefault="00CE6486" w:rsidP="004C57A2">
      <w:pPr>
        <w:spacing w:line="240" w:lineRule="auto"/>
      </w:pPr>
    </w:p>
    <w:p w:rsidR="003E4083" w:rsidRDefault="00CE6486" w:rsidP="00CE6486">
      <w:r>
        <w:t xml:space="preserve">In his testimony, </w:t>
      </w:r>
      <w:r w:rsidR="006B464C">
        <w:t xml:space="preserve">the </w:t>
      </w:r>
      <w:r>
        <w:t>OCA</w:t>
      </w:r>
      <w:r w:rsidR="006B464C">
        <w:t>’s</w:t>
      </w:r>
      <w:r>
        <w:t xml:space="preserve"> witness Hornby stated that PECO’s exhibit in support of its Petition </w:t>
      </w:r>
      <w:r w:rsidR="00BC3F2B">
        <w:t>describe</w:t>
      </w:r>
      <w:r w:rsidR="006B464C">
        <w:t>s</w:t>
      </w:r>
      <w:r w:rsidR="00BC3F2B">
        <w:t xml:space="preserve"> the general method through which these dynamic rates will be set, but does not describe the exact method.  He recommended that PECO revise its tariffs to include a detailed description </w:t>
      </w:r>
      <w:r w:rsidR="003E4083">
        <w:t xml:space="preserve">of the methodology for calculating the rates.  OCA St. No. 1 at 18-19. </w:t>
      </w:r>
    </w:p>
    <w:p w:rsidR="004C57A2" w:rsidRDefault="004C57A2" w:rsidP="00CE6486"/>
    <w:p w:rsidR="004C57A2" w:rsidRDefault="009E3769" w:rsidP="00CE6486">
      <w:r>
        <w:t xml:space="preserve">As indicated in the Settlement and reflected in the tariffs included with the Settlement, each CPP and TOU rider contains a specific formula that sets forth how each rate is to be calculated.  </w:t>
      </w:r>
      <w:r w:rsidR="007C7423">
        <w:t xml:space="preserve">Settlement </w:t>
      </w:r>
      <w:r w:rsidR="007C7423">
        <w:rPr>
          <w:rFonts w:cs="Times New Roman"/>
        </w:rPr>
        <w:t xml:space="preserve">¶ </w:t>
      </w:r>
      <w:r w:rsidR="00134B74">
        <w:rPr>
          <w:rFonts w:cs="Times New Roman"/>
        </w:rPr>
        <w:t>9.</w:t>
      </w:r>
      <w:r w:rsidR="007C7423">
        <w:t>B</w:t>
      </w:r>
      <w:r w:rsidR="00134B74">
        <w:t>.</w:t>
      </w:r>
      <w:r w:rsidR="007C7423">
        <w:t xml:space="preserve"> at 7 and Exhibit No. 1.  </w:t>
      </w:r>
      <w:r w:rsidR="00455268">
        <w:t xml:space="preserve">We agree with the OCA that these formulas are essential from both a regulatory perspective and </w:t>
      </w:r>
      <w:r w:rsidR="00657C7F">
        <w:t xml:space="preserve">to provide </w:t>
      </w:r>
      <w:r w:rsidR="00455268">
        <w:t xml:space="preserve">transparency for customers so they understand the rates they are being charged.  </w:t>
      </w:r>
    </w:p>
    <w:p w:rsidR="003E4083" w:rsidRDefault="003E4083" w:rsidP="00CE6486"/>
    <w:p w:rsidR="00CE6486" w:rsidRDefault="00FD4C60" w:rsidP="006F2AED">
      <w:pPr>
        <w:pStyle w:val="Heading3"/>
        <w:spacing w:line="240" w:lineRule="auto"/>
        <w:ind w:left="0" w:firstLine="2160"/>
      </w:pPr>
      <w:r>
        <w:lastRenderedPageBreak/>
        <w:t xml:space="preserve">Sourcing and Pricing Generation Supply </w:t>
      </w:r>
    </w:p>
    <w:p w:rsidR="006F2AED" w:rsidRPr="006F2AED" w:rsidRDefault="006F2AED" w:rsidP="006F2AED">
      <w:pPr>
        <w:spacing w:line="240" w:lineRule="auto"/>
      </w:pPr>
    </w:p>
    <w:p w:rsidR="006600C0" w:rsidRDefault="006F2AED" w:rsidP="006F2AED">
      <w:pPr>
        <w:rPr>
          <w:szCs w:val="24"/>
        </w:rPr>
      </w:pPr>
      <w:r w:rsidRPr="00A872A6">
        <w:rPr>
          <w:szCs w:val="24"/>
        </w:rPr>
        <w:t xml:space="preserve">The </w:t>
      </w:r>
      <w:r>
        <w:rPr>
          <w:szCs w:val="24"/>
        </w:rPr>
        <w:t>Parties to the S</w:t>
      </w:r>
      <w:r w:rsidRPr="00A872A6">
        <w:rPr>
          <w:szCs w:val="24"/>
        </w:rPr>
        <w:t xml:space="preserve">ettlement </w:t>
      </w:r>
      <w:r>
        <w:rPr>
          <w:szCs w:val="24"/>
        </w:rPr>
        <w:t>agree</w:t>
      </w:r>
      <w:r w:rsidRPr="00A872A6">
        <w:rPr>
          <w:szCs w:val="24"/>
        </w:rPr>
        <w:t xml:space="preserve"> that this is the appropriate venue to determine CPP and TOU rate design and sourcing issues for the period from the </w:t>
      </w:r>
      <w:r w:rsidR="004A6735">
        <w:rPr>
          <w:szCs w:val="24"/>
        </w:rPr>
        <w:t>P</w:t>
      </w:r>
      <w:r w:rsidRPr="00A872A6">
        <w:rPr>
          <w:szCs w:val="24"/>
        </w:rPr>
        <w:t>lan inception through the end of PECO’s currently approved default service plan (</w:t>
      </w:r>
      <w:r>
        <w:rPr>
          <w:szCs w:val="24"/>
        </w:rPr>
        <w:t xml:space="preserve">“stub period” through </w:t>
      </w:r>
      <w:r w:rsidRPr="00A872A6">
        <w:rPr>
          <w:szCs w:val="24"/>
        </w:rPr>
        <w:t>May 31, 2013)</w:t>
      </w:r>
      <w:r>
        <w:rPr>
          <w:szCs w:val="24"/>
        </w:rPr>
        <w:t xml:space="preserve">. </w:t>
      </w:r>
      <w:r w:rsidR="00F06B5A">
        <w:rPr>
          <w:szCs w:val="24"/>
        </w:rPr>
        <w:t>The Settlement provides that</w:t>
      </w:r>
      <w:r w:rsidR="00FB2051">
        <w:rPr>
          <w:szCs w:val="24"/>
        </w:rPr>
        <w:t>,</w:t>
      </w:r>
      <w:r w:rsidR="00F06B5A">
        <w:rPr>
          <w:szCs w:val="24"/>
        </w:rPr>
        <w:t xml:space="preserve"> f</w:t>
      </w:r>
      <w:r w:rsidRPr="00A872A6">
        <w:rPr>
          <w:szCs w:val="24"/>
        </w:rPr>
        <w:t xml:space="preserve">or this stub period, PECO will utilize the methodology described in </w:t>
      </w:r>
      <w:r w:rsidR="00F06B5A">
        <w:rPr>
          <w:szCs w:val="24"/>
        </w:rPr>
        <w:t xml:space="preserve">Appendix A </w:t>
      </w:r>
      <w:r w:rsidRPr="00A872A6">
        <w:rPr>
          <w:szCs w:val="24"/>
        </w:rPr>
        <w:t xml:space="preserve">to calculate the CPP and TOU rates.  </w:t>
      </w:r>
      <w:r w:rsidR="00134B74">
        <w:rPr>
          <w:szCs w:val="24"/>
        </w:rPr>
        <w:t xml:space="preserve">The Settlement also provides that </w:t>
      </w:r>
      <w:r w:rsidRPr="00A872A6">
        <w:rPr>
          <w:szCs w:val="24"/>
        </w:rPr>
        <w:t>PECO will not perform any reconciliation between projected revenues and revenues actually billed resulting from changes in load or shifts in demand for pilot program participants</w:t>
      </w:r>
      <w:r w:rsidR="00AE4249">
        <w:rPr>
          <w:szCs w:val="24"/>
        </w:rPr>
        <w:t xml:space="preserve">. </w:t>
      </w:r>
      <w:r w:rsidR="00134B74">
        <w:rPr>
          <w:szCs w:val="24"/>
        </w:rPr>
        <w:t xml:space="preserve"> PECO will also </w:t>
      </w:r>
      <w:r w:rsidRPr="00A872A6">
        <w:rPr>
          <w:szCs w:val="24"/>
        </w:rPr>
        <w:t xml:space="preserve">will forego recovery of any revenue collection shortfall associated with plan participants and will reflect changes in usage patterns with respect to its dynamic pricing programs in its future rate proceedings. </w:t>
      </w:r>
      <w:r w:rsidR="004A6735">
        <w:rPr>
          <w:szCs w:val="24"/>
        </w:rPr>
        <w:t xml:space="preserve"> </w:t>
      </w:r>
      <w:r w:rsidR="00134B74">
        <w:rPr>
          <w:szCs w:val="24"/>
        </w:rPr>
        <w:t xml:space="preserve">Settlement </w:t>
      </w:r>
      <w:r w:rsidRPr="00A872A6">
        <w:rPr>
          <w:szCs w:val="24"/>
        </w:rPr>
        <w:t>¶ 9.G</w:t>
      </w:r>
      <w:r w:rsidR="00F06B5A">
        <w:rPr>
          <w:szCs w:val="24"/>
        </w:rPr>
        <w:t xml:space="preserve">. </w:t>
      </w:r>
      <w:r w:rsidR="004A6735">
        <w:rPr>
          <w:szCs w:val="24"/>
        </w:rPr>
        <w:t>at 6-7.</w:t>
      </w:r>
      <w:r w:rsidR="006600C0">
        <w:rPr>
          <w:szCs w:val="24"/>
        </w:rPr>
        <w:t xml:space="preserve">  </w:t>
      </w:r>
      <w:r w:rsidRPr="00A872A6">
        <w:rPr>
          <w:szCs w:val="24"/>
        </w:rPr>
        <w:t xml:space="preserve">PECO </w:t>
      </w:r>
      <w:r w:rsidR="00134B74">
        <w:rPr>
          <w:szCs w:val="24"/>
        </w:rPr>
        <w:t xml:space="preserve">explained that it </w:t>
      </w:r>
      <w:r w:rsidRPr="00A872A6">
        <w:rPr>
          <w:szCs w:val="24"/>
        </w:rPr>
        <w:t xml:space="preserve">accepted these </w:t>
      </w:r>
      <w:r w:rsidR="004A6735">
        <w:rPr>
          <w:szCs w:val="24"/>
        </w:rPr>
        <w:t>conditions</w:t>
      </w:r>
      <w:r w:rsidRPr="00A872A6">
        <w:rPr>
          <w:szCs w:val="24"/>
        </w:rPr>
        <w:t xml:space="preserve"> because it believes that the potential for under-recovery of revenue will be insignificant given the short duration of the stub period and the low number of customers expected to enroll during the stub period.  PECO St. </w:t>
      </w:r>
      <w:r w:rsidR="004A6735">
        <w:rPr>
          <w:szCs w:val="24"/>
        </w:rPr>
        <w:t xml:space="preserve">No. </w:t>
      </w:r>
      <w:r w:rsidRPr="00A872A6">
        <w:rPr>
          <w:szCs w:val="24"/>
        </w:rPr>
        <w:t>4-R at 4.</w:t>
      </w:r>
      <w:r w:rsidR="00134B74">
        <w:rPr>
          <w:szCs w:val="24"/>
        </w:rPr>
        <w:t xml:space="preserve">  </w:t>
      </w:r>
    </w:p>
    <w:p w:rsidR="006600C0" w:rsidRDefault="006600C0" w:rsidP="006F2AED">
      <w:pPr>
        <w:rPr>
          <w:szCs w:val="24"/>
        </w:rPr>
      </w:pPr>
    </w:p>
    <w:p w:rsidR="006F2AED" w:rsidRPr="00A872A6" w:rsidRDefault="005658FB" w:rsidP="006F2AED">
      <w:pPr>
        <w:rPr>
          <w:szCs w:val="24"/>
        </w:rPr>
      </w:pPr>
      <w:r>
        <w:rPr>
          <w:szCs w:val="24"/>
        </w:rPr>
        <w:t>We agree with the Settling Parties</w:t>
      </w:r>
      <w:r w:rsidR="00C967F5">
        <w:rPr>
          <w:szCs w:val="24"/>
        </w:rPr>
        <w:t>. G</w:t>
      </w:r>
      <w:r>
        <w:rPr>
          <w:szCs w:val="24"/>
        </w:rPr>
        <w:t xml:space="preserve">iven the expected low enrollment during the stub period, </w:t>
      </w:r>
      <w:r w:rsidR="002A155D">
        <w:rPr>
          <w:szCs w:val="24"/>
        </w:rPr>
        <w:t xml:space="preserve">we </w:t>
      </w:r>
      <w:r w:rsidR="00394F23">
        <w:rPr>
          <w:szCs w:val="24"/>
        </w:rPr>
        <w:t>will</w:t>
      </w:r>
      <w:r w:rsidR="002A155D">
        <w:rPr>
          <w:szCs w:val="24"/>
        </w:rPr>
        <w:t xml:space="preserve"> adopt interim </w:t>
      </w:r>
      <w:r w:rsidR="002A155D" w:rsidRPr="00A872A6">
        <w:rPr>
          <w:szCs w:val="24"/>
        </w:rPr>
        <w:t xml:space="preserve">CPP and TOU rate design </w:t>
      </w:r>
      <w:r w:rsidR="002A155D">
        <w:rPr>
          <w:szCs w:val="24"/>
        </w:rPr>
        <w:t xml:space="preserve">by this Opinion and Order </w:t>
      </w:r>
      <w:r w:rsidR="002A155D" w:rsidRPr="00A872A6">
        <w:rPr>
          <w:szCs w:val="24"/>
        </w:rPr>
        <w:t>for the period from the plan inception through May 31, 2013</w:t>
      </w:r>
      <w:r w:rsidR="002A155D">
        <w:rPr>
          <w:szCs w:val="24"/>
        </w:rPr>
        <w:t>.</w:t>
      </w:r>
    </w:p>
    <w:p w:rsidR="00C97E16" w:rsidRDefault="00C97E16" w:rsidP="00C97E16"/>
    <w:p w:rsidR="000B4872" w:rsidRDefault="000B4872" w:rsidP="000B4872">
      <w:pPr>
        <w:pStyle w:val="Heading3"/>
        <w:ind w:left="0" w:firstLine="2160"/>
      </w:pPr>
      <w:r>
        <w:t xml:space="preserve">Allocation of Plan Development Costs </w:t>
      </w:r>
    </w:p>
    <w:p w:rsidR="000B4872" w:rsidRDefault="000B4872" w:rsidP="005109ED">
      <w:pPr>
        <w:spacing w:line="240" w:lineRule="auto"/>
        <w:rPr>
          <w:szCs w:val="24"/>
        </w:rPr>
      </w:pPr>
    </w:p>
    <w:p w:rsidR="00A706AD" w:rsidRDefault="00134299" w:rsidP="000B4872">
      <w:pPr>
        <w:rPr>
          <w:szCs w:val="24"/>
        </w:rPr>
      </w:pPr>
      <w:r>
        <w:rPr>
          <w:szCs w:val="24"/>
        </w:rPr>
        <w:t xml:space="preserve">The Company estimates that the instant Plan, based on a “test and learn” population of approximately 150,000 </w:t>
      </w:r>
      <w:r w:rsidR="00C967F5">
        <w:rPr>
          <w:szCs w:val="24"/>
        </w:rPr>
        <w:t>to</w:t>
      </w:r>
      <w:r>
        <w:rPr>
          <w:szCs w:val="24"/>
        </w:rPr>
        <w:t xml:space="preserve"> 200,000 customers, will cost about $11.6 million.  Petition at 9.  These costs are being incurred for design and development, marketing, incentives, </w:t>
      </w:r>
      <w:r w:rsidR="00AD4B20">
        <w:rPr>
          <w:szCs w:val="24"/>
        </w:rPr>
        <w:t xml:space="preserve">call center training, web design, communication, measurement and evaluations, and overall project management.  PECO St. 4 at 8-9.  The Plan costs are eligible for funding under matching grants received by PECO under the U.S. Department of Energy </w:t>
      </w:r>
      <w:r w:rsidR="00394F23">
        <w:rPr>
          <w:szCs w:val="24"/>
        </w:rPr>
        <w:t>Smart G</w:t>
      </w:r>
      <w:r w:rsidR="005109ED">
        <w:rPr>
          <w:szCs w:val="24"/>
        </w:rPr>
        <w:t xml:space="preserve">rid Investment Program.  PECO estimates that the application of this </w:t>
      </w:r>
      <w:r w:rsidR="005109ED">
        <w:rPr>
          <w:szCs w:val="24"/>
        </w:rPr>
        <w:lastRenderedPageBreak/>
        <w:t xml:space="preserve">grant money will reduce Plan costs </w:t>
      </w:r>
      <w:r w:rsidR="00C37CCA">
        <w:rPr>
          <w:szCs w:val="24"/>
        </w:rPr>
        <w:t xml:space="preserve">through 2013 </w:t>
      </w:r>
      <w:r w:rsidR="005109ED">
        <w:rPr>
          <w:szCs w:val="24"/>
        </w:rPr>
        <w:t>by approximately 48%</w:t>
      </w:r>
      <w:r w:rsidR="00C37CCA">
        <w:rPr>
          <w:szCs w:val="24"/>
        </w:rPr>
        <w:t xml:space="preserve"> from $11.6 million to $6</w:t>
      </w:r>
      <w:r w:rsidR="005109ED">
        <w:rPr>
          <w:szCs w:val="24"/>
        </w:rPr>
        <w:t>.</w:t>
      </w:r>
      <w:r w:rsidR="00C37CCA">
        <w:rPr>
          <w:szCs w:val="24"/>
        </w:rPr>
        <w:t>0 million.</w:t>
      </w:r>
      <w:r w:rsidR="005109ED">
        <w:rPr>
          <w:szCs w:val="24"/>
        </w:rPr>
        <w:t xml:space="preserve">  Petition at 9</w:t>
      </w:r>
      <w:r w:rsidR="00C37CCA">
        <w:rPr>
          <w:szCs w:val="24"/>
        </w:rPr>
        <w:t xml:space="preserve"> and PECO St. No. </w:t>
      </w:r>
      <w:r w:rsidR="00167740">
        <w:rPr>
          <w:szCs w:val="24"/>
        </w:rPr>
        <w:t>4</w:t>
      </w:r>
      <w:r w:rsidR="00C37CCA">
        <w:rPr>
          <w:szCs w:val="24"/>
        </w:rPr>
        <w:t>, Exh</w:t>
      </w:r>
      <w:r w:rsidR="005109ED">
        <w:rPr>
          <w:szCs w:val="24"/>
        </w:rPr>
        <w:t xml:space="preserve">. </w:t>
      </w:r>
      <w:r w:rsidR="00C37CCA">
        <w:rPr>
          <w:szCs w:val="24"/>
        </w:rPr>
        <w:t>WJP-1B.</w:t>
      </w:r>
      <w:r w:rsidR="005109ED">
        <w:rPr>
          <w:szCs w:val="24"/>
        </w:rPr>
        <w:t xml:space="preserve"> </w:t>
      </w:r>
    </w:p>
    <w:p w:rsidR="00A706AD" w:rsidRDefault="00A706AD" w:rsidP="000B4872">
      <w:pPr>
        <w:rPr>
          <w:szCs w:val="24"/>
        </w:rPr>
      </w:pPr>
    </w:p>
    <w:p w:rsidR="00CF651A" w:rsidRDefault="005C19ED" w:rsidP="000B4872">
      <w:pPr>
        <w:rPr>
          <w:szCs w:val="24"/>
        </w:rPr>
      </w:pPr>
      <w:r>
        <w:rPr>
          <w:szCs w:val="24"/>
        </w:rPr>
        <w:t xml:space="preserve">PECO proposed that the balance of Plan costs be recovered from </w:t>
      </w:r>
      <w:r w:rsidR="00CF651A" w:rsidRPr="00A872A6">
        <w:rPr>
          <w:szCs w:val="24"/>
        </w:rPr>
        <w:t xml:space="preserve">Default Service Procurement Classes 1 (residential), 2 (small commercial and industrial), and 3 (medium </w:t>
      </w:r>
      <w:r w:rsidR="00CF651A">
        <w:rPr>
          <w:szCs w:val="24"/>
        </w:rPr>
        <w:t xml:space="preserve">C&amp;I) through PECO’s </w:t>
      </w:r>
      <w:r w:rsidR="00CF651A" w:rsidRPr="00394F23">
        <w:rPr>
          <w:szCs w:val="24"/>
        </w:rPr>
        <w:t>Generation Supply Adjustment</w:t>
      </w:r>
      <w:r w:rsidR="00CF651A">
        <w:rPr>
          <w:szCs w:val="24"/>
        </w:rPr>
        <w:t xml:space="preserve"> (GSA) mechanism.  Customers in Procurement Class 4 (large C&amp;I) will not be assigned any costs because customers in this class are not eligible to participate in the Plan’s dynamic rates. </w:t>
      </w:r>
      <w:r w:rsidR="00882E8B">
        <w:rPr>
          <w:szCs w:val="24"/>
        </w:rPr>
        <w:t xml:space="preserve"> </w:t>
      </w:r>
      <w:r w:rsidR="00FF0709">
        <w:rPr>
          <w:szCs w:val="24"/>
        </w:rPr>
        <w:t xml:space="preserve">To the extent that there are costs </w:t>
      </w:r>
      <w:r w:rsidR="006600C0">
        <w:rPr>
          <w:szCs w:val="24"/>
        </w:rPr>
        <w:t xml:space="preserve">that </w:t>
      </w:r>
      <w:r w:rsidR="00FF0709">
        <w:rPr>
          <w:szCs w:val="24"/>
        </w:rPr>
        <w:t xml:space="preserve">are directly attributable to a particular class, those costs will be directly assigned.  </w:t>
      </w:r>
      <w:r w:rsidR="00882E8B">
        <w:rPr>
          <w:szCs w:val="24"/>
        </w:rPr>
        <w:t xml:space="preserve">PECO </w:t>
      </w:r>
      <w:r w:rsidR="00A706AD">
        <w:rPr>
          <w:szCs w:val="24"/>
        </w:rPr>
        <w:t>proposed</w:t>
      </w:r>
      <w:r w:rsidR="00882E8B">
        <w:rPr>
          <w:szCs w:val="24"/>
        </w:rPr>
        <w:t xml:space="preserve"> that common costs be assigned based on the percentage of each procurement class</w:t>
      </w:r>
      <w:r w:rsidR="00B11681">
        <w:rPr>
          <w:szCs w:val="24"/>
        </w:rPr>
        <w:t>’</w:t>
      </w:r>
      <w:r w:rsidR="00882E8B">
        <w:rPr>
          <w:szCs w:val="24"/>
        </w:rPr>
        <w:t xml:space="preserve">s </w:t>
      </w:r>
      <w:r w:rsidR="00A706AD">
        <w:rPr>
          <w:szCs w:val="24"/>
        </w:rPr>
        <w:t xml:space="preserve">projected GSA sales.  </w:t>
      </w:r>
      <w:r w:rsidR="00A706AD" w:rsidRPr="00A706AD">
        <w:rPr>
          <w:i/>
          <w:szCs w:val="24"/>
        </w:rPr>
        <w:t>Id</w:t>
      </w:r>
      <w:r w:rsidR="00A706AD">
        <w:rPr>
          <w:szCs w:val="24"/>
        </w:rPr>
        <w:t xml:space="preserve">. at 8-9. </w:t>
      </w:r>
    </w:p>
    <w:p w:rsidR="00A706AD" w:rsidRDefault="00A706AD" w:rsidP="000B4872">
      <w:pPr>
        <w:rPr>
          <w:szCs w:val="24"/>
        </w:rPr>
      </w:pPr>
    </w:p>
    <w:p w:rsidR="0066765D" w:rsidRDefault="00C42454" w:rsidP="000B4872">
      <w:pPr>
        <w:rPr>
          <w:szCs w:val="24"/>
        </w:rPr>
      </w:pPr>
      <w:r>
        <w:rPr>
          <w:szCs w:val="24"/>
        </w:rPr>
        <w:t>We concur with t</w:t>
      </w:r>
      <w:r w:rsidR="00A706AD">
        <w:rPr>
          <w:szCs w:val="24"/>
        </w:rPr>
        <w:t xml:space="preserve">he </w:t>
      </w:r>
      <w:r w:rsidR="00394F23">
        <w:rPr>
          <w:szCs w:val="24"/>
        </w:rPr>
        <w:t xml:space="preserve">terms of the </w:t>
      </w:r>
      <w:r w:rsidR="00A706AD">
        <w:rPr>
          <w:szCs w:val="24"/>
        </w:rPr>
        <w:t xml:space="preserve">Settlement </w:t>
      </w:r>
      <w:r>
        <w:rPr>
          <w:szCs w:val="24"/>
        </w:rPr>
        <w:t xml:space="preserve">that costs should be directly assigned to a particular class to </w:t>
      </w:r>
      <w:r w:rsidR="006600C0">
        <w:rPr>
          <w:szCs w:val="24"/>
        </w:rPr>
        <w:t xml:space="preserve">the </w:t>
      </w:r>
      <w:r>
        <w:rPr>
          <w:szCs w:val="24"/>
        </w:rPr>
        <w:t xml:space="preserve">extent they are directly attributable and that all common costs be assigned based on the percentage of each procurement class’s projected GSA sales.  However, the </w:t>
      </w:r>
      <w:r w:rsidR="00BF2D16">
        <w:rPr>
          <w:szCs w:val="24"/>
        </w:rPr>
        <w:t>P</w:t>
      </w:r>
      <w:r>
        <w:rPr>
          <w:szCs w:val="24"/>
        </w:rPr>
        <w:t xml:space="preserve">arties have excluded from the Settlement the issue of whether </w:t>
      </w:r>
      <w:r w:rsidR="00756093">
        <w:rPr>
          <w:szCs w:val="24"/>
        </w:rPr>
        <w:t xml:space="preserve">Plan costs should be collected from </w:t>
      </w:r>
      <w:r w:rsidR="00BF2D16">
        <w:rPr>
          <w:szCs w:val="24"/>
        </w:rPr>
        <w:t xml:space="preserve">only default service (non-shopping customers) or </w:t>
      </w:r>
      <w:r w:rsidR="00756093">
        <w:rPr>
          <w:szCs w:val="24"/>
        </w:rPr>
        <w:t xml:space="preserve">both </w:t>
      </w:r>
      <w:r w:rsidR="00BF2D16">
        <w:rPr>
          <w:szCs w:val="24"/>
        </w:rPr>
        <w:t xml:space="preserve">shopping </w:t>
      </w:r>
      <w:r w:rsidR="00DD4E0E">
        <w:rPr>
          <w:szCs w:val="24"/>
        </w:rPr>
        <w:t xml:space="preserve">and </w:t>
      </w:r>
      <w:r w:rsidR="00BF2D16">
        <w:rPr>
          <w:szCs w:val="24"/>
        </w:rPr>
        <w:t xml:space="preserve">non-shopping customers.  </w:t>
      </w:r>
      <w:r w:rsidR="0066765D">
        <w:rPr>
          <w:szCs w:val="24"/>
        </w:rPr>
        <w:t xml:space="preserve">This issue is the subject of Exceptions and Reply Exceptions and will be addressed </w:t>
      </w:r>
      <w:r w:rsidR="0066765D" w:rsidRPr="0066765D">
        <w:rPr>
          <w:i/>
          <w:szCs w:val="24"/>
        </w:rPr>
        <w:t>infra.</w:t>
      </w:r>
      <w:r w:rsidR="0066765D">
        <w:rPr>
          <w:szCs w:val="24"/>
        </w:rPr>
        <w:t xml:space="preserve"> </w:t>
      </w:r>
    </w:p>
    <w:p w:rsidR="0066765D" w:rsidRDefault="0066765D" w:rsidP="000B4872">
      <w:pPr>
        <w:rPr>
          <w:szCs w:val="24"/>
        </w:rPr>
      </w:pPr>
    </w:p>
    <w:p w:rsidR="0066765D" w:rsidRDefault="003B3900" w:rsidP="007401DE">
      <w:pPr>
        <w:pStyle w:val="Heading2"/>
        <w:spacing w:line="240" w:lineRule="auto"/>
        <w:ind w:left="2160" w:hanging="720"/>
      </w:pPr>
      <w:r>
        <w:t xml:space="preserve">Contested Issue – Allocation of Costs to </w:t>
      </w:r>
      <w:r w:rsidR="001B11CB">
        <w:t>Non-</w:t>
      </w:r>
      <w:r>
        <w:t xml:space="preserve">Shopping Customers </w:t>
      </w:r>
    </w:p>
    <w:p w:rsidR="0066765D" w:rsidRDefault="0066765D" w:rsidP="001B11CB">
      <w:pPr>
        <w:spacing w:line="240" w:lineRule="auto"/>
        <w:rPr>
          <w:szCs w:val="24"/>
        </w:rPr>
      </w:pPr>
    </w:p>
    <w:p w:rsidR="001B11CB" w:rsidRPr="00AF3DBA" w:rsidRDefault="001B11CB" w:rsidP="001B11CB">
      <w:pPr>
        <w:rPr>
          <w:b/>
        </w:rPr>
      </w:pPr>
      <w:r>
        <w:t xml:space="preserve">Initially, we are reminded that we are not required to consider expressly or at great length each and every contention raised by a party to our proceedings.  </w:t>
      </w:r>
      <w:r>
        <w:rPr>
          <w:i/>
        </w:rPr>
        <w:t>University of Pennsylvania, et al. v. Pa. PUC</w:t>
      </w:r>
      <w:r>
        <w:t xml:space="preserve">, 485 A.2d 1217, 1222 (Pa. Cmwlth. 1984).  Any exception or argument that is not specifically addressed herein shall be deemed to have been duly considered and denied without further discussion.  </w:t>
      </w:r>
    </w:p>
    <w:p w:rsidR="001B11CB" w:rsidRDefault="001B11CB" w:rsidP="000B4872">
      <w:pPr>
        <w:rPr>
          <w:szCs w:val="24"/>
        </w:rPr>
      </w:pPr>
    </w:p>
    <w:p w:rsidR="00B47EEA" w:rsidRDefault="00B00C43" w:rsidP="000B4872">
      <w:pPr>
        <w:rPr>
          <w:szCs w:val="24"/>
        </w:rPr>
      </w:pPr>
      <w:r>
        <w:rPr>
          <w:szCs w:val="24"/>
        </w:rPr>
        <w:lastRenderedPageBreak/>
        <w:t xml:space="preserve">PECO explained that in its original Smart Meter filing, it requested that Dynamic Pricing Plan costs be recovered through the smart meter cost recovery mechanism proposed as part of PECO’s Smart Meter Plan.  </w:t>
      </w:r>
      <w:r w:rsidR="00D86A8F">
        <w:rPr>
          <w:szCs w:val="24"/>
        </w:rPr>
        <w:t>PECO averred that in several recent Orders</w:t>
      </w:r>
      <w:r w:rsidR="006600C0">
        <w:rPr>
          <w:szCs w:val="24"/>
        </w:rPr>
        <w:t>,</w:t>
      </w:r>
      <w:r w:rsidR="00772F0D">
        <w:rPr>
          <w:rStyle w:val="FootnoteReference"/>
          <w:szCs w:val="24"/>
        </w:rPr>
        <w:footnoteReference w:id="5"/>
      </w:r>
      <w:r w:rsidR="00D86A8F">
        <w:rPr>
          <w:szCs w:val="24"/>
        </w:rPr>
        <w:t xml:space="preserve"> the Commission has found that dynamic rates are appropriately recovered through default service cost recovery mechanisms.  PECO stated that in light of these Orders, PECO now proposes to recover its Dynamic Pricing Plan Costs </w:t>
      </w:r>
      <w:r w:rsidR="00BD2E97">
        <w:rPr>
          <w:szCs w:val="24"/>
        </w:rPr>
        <w:t>through its GSA cost recovery mechanism.  PECO St. No. 4 at 9-10.</w:t>
      </w:r>
    </w:p>
    <w:p w:rsidR="00BD2E97" w:rsidRDefault="00BD2E97" w:rsidP="000B4872">
      <w:pPr>
        <w:rPr>
          <w:szCs w:val="24"/>
        </w:rPr>
      </w:pPr>
    </w:p>
    <w:p w:rsidR="007F36C6" w:rsidRDefault="006600C0" w:rsidP="000B4872">
      <w:pPr>
        <w:rPr>
          <w:szCs w:val="24"/>
        </w:rPr>
      </w:pPr>
      <w:r>
        <w:rPr>
          <w:szCs w:val="24"/>
        </w:rPr>
        <w:t xml:space="preserve">The </w:t>
      </w:r>
      <w:r w:rsidR="00F93315">
        <w:rPr>
          <w:szCs w:val="24"/>
        </w:rPr>
        <w:t>OCA</w:t>
      </w:r>
      <w:r>
        <w:rPr>
          <w:szCs w:val="24"/>
        </w:rPr>
        <w:t>’s</w:t>
      </w:r>
      <w:r w:rsidR="00F93315">
        <w:rPr>
          <w:szCs w:val="24"/>
        </w:rPr>
        <w:t xml:space="preserve"> witness Hornby testified that PECO’s proposal to recover all costs of its Plan from default service customers through the GSA is not consistent with the principals of cost causation and is not equitable.  </w:t>
      </w:r>
      <w:r w:rsidR="004046AF">
        <w:rPr>
          <w:szCs w:val="24"/>
        </w:rPr>
        <w:t xml:space="preserve">Mr. Hornby pointed out that only 18% of costs that PECO will incur to implement the Plan are incentives to customers to enroll in CPP and TOU.  </w:t>
      </w:r>
      <w:r w:rsidR="002E061C">
        <w:rPr>
          <w:szCs w:val="24"/>
        </w:rPr>
        <w:t>Mr. Hornby stated that the remaining costs are associated with a pilot that will collect information that will benefit all customers in each rate class</w:t>
      </w:r>
      <w:r w:rsidR="00FF43C7">
        <w:rPr>
          <w:szCs w:val="24"/>
        </w:rPr>
        <w:t xml:space="preserve">, including customers receiving default service and competitive energy service.  Mr. Hornby explained that </w:t>
      </w:r>
      <w:r w:rsidR="00593832">
        <w:rPr>
          <w:szCs w:val="24"/>
        </w:rPr>
        <w:t xml:space="preserve">PECO customers will have better information on which to base their assessment of pricing offers of </w:t>
      </w:r>
      <w:r w:rsidR="002C1921">
        <w:rPr>
          <w:szCs w:val="24"/>
        </w:rPr>
        <w:t>Electric Generation Suppliers (</w:t>
      </w:r>
      <w:r w:rsidR="00593832" w:rsidRPr="002C1921">
        <w:rPr>
          <w:szCs w:val="24"/>
        </w:rPr>
        <w:t>EGSs</w:t>
      </w:r>
      <w:r w:rsidR="002C1921" w:rsidRPr="002C1921">
        <w:rPr>
          <w:szCs w:val="24"/>
        </w:rPr>
        <w:t>)</w:t>
      </w:r>
      <w:r w:rsidR="00593832">
        <w:rPr>
          <w:color w:val="FF0000"/>
          <w:szCs w:val="24"/>
        </w:rPr>
        <w:t xml:space="preserve"> </w:t>
      </w:r>
      <w:r w:rsidR="00593832" w:rsidRPr="00593832">
        <w:rPr>
          <w:szCs w:val="24"/>
        </w:rPr>
        <w:t xml:space="preserve">and EGSs will have better information in which to design and promote their pricing offers. </w:t>
      </w:r>
      <w:r w:rsidR="00593832">
        <w:rPr>
          <w:szCs w:val="24"/>
        </w:rPr>
        <w:t xml:space="preserve"> Mr. Hornby </w:t>
      </w:r>
      <w:r w:rsidR="00673858">
        <w:rPr>
          <w:szCs w:val="24"/>
        </w:rPr>
        <w:t xml:space="preserve">also argued that default service customers did not cause PECO to incur these Plan costs, the cause of these costs is PECO’s need to comply with Act 129.  OCA St. No. 1 at 19-20.  </w:t>
      </w:r>
    </w:p>
    <w:p w:rsidR="00673858" w:rsidRDefault="00673858" w:rsidP="000B4872">
      <w:pPr>
        <w:rPr>
          <w:szCs w:val="24"/>
        </w:rPr>
      </w:pPr>
    </w:p>
    <w:p w:rsidR="000F4CCE" w:rsidRDefault="000F4CCE" w:rsidP="000F4CCE">
      <w:pPr>
        <w:rPr>
          <w:szCs w:val="24"/>
        </w:rPr>
      </w:pPr>
      <w:r>
        <w:rPr>
          <w:szCs w:val="24"/>
        </w:rPr>
        <w:t xml:space="preserve">In her Recommended Decision, the ALJ concurred with the OCA </w:t>
      </w:r>
      <w:r w:rsidRPr="00A872A6">
        <w:rPr>
          <w:szCs w:val="24"/>
        </w:rPr>
        <w:t>that one of</w:t>
      </w:r>
      <w:r>
        <w:rPr>
          <w:szCs w:val="24"/>
        </w:rPr>
        <w:t xml:space="preserve"> </w:t>
      </w:r>
      <w:r w:rsidR="00513F8C">
        <w:rPr>
          <w:szCs w:val="24"/>
        </w:rPr>
        <w:t xml:space="preserve">the </w:t>
      </w:r>
      <w:r>
        <w:rPr>
          <w:szCs w:val="24"/>
        </w:rPr>
        <w:t>reasons that PECO adopted the “test and learn”</w:t>
      </w:r>
      <w:r w:rsidRPr="00A872A6">
        <w:rPr>
          <w:szCs w:val="24"/>
        </w:rPr>
        <w:t xml:space="preserve"> </w:t>
      </w:r>
      <w:r w:rsidR="003A18CA">
        <w:rPr>
          <w:szCs w:val="24"/>
        </w:rPr>
        <w:t>approach</w:t>
      </w:r>
      <w:r w:rsidR="00AD51ED">
        <w:rPr>
          <w:szCs w:val="24"/>
        </w:rPr>
        <w:t xml:space="preserve"> </w:t>
      </w:r>
      <w:r w:rsidRPr="00A872A6">
        <w:rPr>
          <w:szCs w:val="24"/>
        </w:rPr>
        <w:t xml:space="preserve">was to generate </w:t>
      </w:r>
      <w:r w:rsidRPr="00A872A6">
        <w:rPr>
          <w:szCs w:val="24"/>
        </w:rPr>
        <w:lastRenderedPageBreak/>
        <w:t>information about customer behavior and dynamic rate pricing</w:t>
      </w:r>
      <w:r w:rsidR="0012775C">
        <w:rPr>
          <w:szCs w:val="24"/>
        </w:rPr>
        <w:t xml:space="preserve">.  The ALJ noted that </w:t>
      </w:r>
      <w:r w:rsidRPr="00A872A6">
        <w:rPr>
          <w:szCs w:val="24"/>
        </w:rPr>
        <w:t xml:space="preserve">PECO’s own witness agreed that the lessons learned will raise awareness of other choices and products that EGSs can compete with.  </w:t>
      </w:r>
      <w:r w:rsidR="0012775C">
        <w:rPr>
          <w:szCs w:val="24"/>
        </w:rPr>
        <w:t>The ALJ also noted that PECO</w:t>
      </w:r>
      <w:r w:rsidRPr="00A872A6">
        <w:rPr>
          <w:szCs w:val="24"/>
        </w:rPr>
        <w:t xml:space="preserve"> will produce a final, publicly available report that describes the results of the research, which could be beneficial to all interested stakeholders and third party suppliers</w:t>
      </w:r>
      <w:r w:rsidR="00912B9B">
        <w:rPr>
          <w:szCs w:val="24"/>
        </w:rPr>
        <w:t xml:space="preserve">.  R.D. at 19. </w:t>
      </w:r>
    </w:p>
    <w:p w:rsidR="00912B9B" w:rsidRDefault="00912B9B" w:rsidP="000F4CCE">
      <w:pPr>
        <w:rPr>
          <w:szCs w:val="24"/>
        </w:rPr>
      </w:pPr>
    </w:p>
    <w:p w:rsidR="000F4CCE" w:rsidRDefault="000F4CCE" w:rsidP="000F4CCE">
      <w:pPr>
        <w:rPr>
          <w:szCs w:val="24"/>
        </w:rPr>
      </w:pPr>
      <w:r w:rsidRPr="00A872A6">
        <w:rPr>
          <w:szCs w:val="24"/>
        </w:rPr>
        <w:t xml:space="preserve">However, </w:t>
      </w:r>
      <w:r w:rsidR="00912B9B">
        <w:rPr>
          <w:szCs w:val="24"/>
        </w:rPr>
        <w:t xml:space="preserve">the ALJ found that </w:t>
      </w:r>
      <w:r w:rsidRPr="00A872A6">
        <w:rPr>
          <w:szCs w:val="24"/>
        </w:rPr>
        <w:t xml:space="preserve">this generalized benefit </w:t>
      </w:r>
      <w:r w:rsidR="00A1071E">
        <w:rPr>
          <w:szCs w:val="24"/>
        </w:rPr>
        <w:t xml:space="preserve">to all customers </w:t>
      </w:r>
      <w:r w:rsidRPr="00A872A6">
        <w:rPr>
          <w:szCs w:val="24"/>
        </w:rPr>
        <w:t xml:space="preserve">is speculative and unquantifiable and unsupported by the record in this proceeding.  </w:t>
      </w:r>
      <w:r w:rsidR="00152A00">
        <w:rPr>
          <w:szCs w:val="24"/>
        </w:rPr>
        <w:t>In recognition of the Commission</w:t>
      </w:r>
      <w:r w:rsidR="00513F8C">
        <w:rPr>
          <w:szCs w:val="24"/>
        </w:rPr>
        <w:t>’s</w:t>
      </w:r>
      <w:r w:rsidR="00152A00">
        <w:rPr>
          <w:szCs w:val="24"/>
        </w:rPr>
        <w:t xml:space="preserve"> prior decisions, </w:t>
      </w:r>
      <w:r w:rsidR="00152A00" w:rsidRPr="00152A00">
        <w:rPr>
          <w:i/>
          <w:szCs w:val="24"/>
        </w:rPr>
        <w:t>supra</w:t>
      </w:r>
      <w:r w:rsidR="00152A00">
        <w:rPr>
          <w:szCs w:val="24"/>
        </w:rPr>
        <w:t xml:space="preserve">, the ALJ found that </w:t>
      </w:r>
      <w:r w:rsidRPr="00A872A6">
        <w:rPr>
          <w:szCs w:val="24"/>
        </w:rPr>
        <w:t xml:space="preserve">to accept the OCA’s proposal would require shopping customers to pay for a program in which they cannot participate.  </w:t>
      </w:r>
      <w:r w:rsidR="00152A00">
        <w:rPr>
          <w:szCs w:val="24"/>
        </w:rPr>
        <w:t xml:space="preserve">The ALJ cited </w:t>
      </w:r>
      <w:r w:rsidR="00513F8C">
        <w:rPr>
          <w:szCs w:val="24"/>
        </w:rPr>
        <w:t xml:space="preserve">the </w:t>
      </w:r>
      <w:r w:rsidRPr="00A872A6">
        <w:rPr>
          <w:szCs w:val="24"/>
        </w:rPr>
        <w:t>OSBA</w:t>
      </w:r>
      <w:r w:rsidR="00513F8C">
        <w:rPr>
          <w:szCs w:val="24"/>
        </w:rPr>
        <w:t>’s</w:t>
      </w:r>
      <w:r w:rsidRPr="00A872A6">
        <w:rPr>
          <w:szCs w:val="24"/>
        </w:rPr>
        <w:t xml:space="preserve"> witness Knecht</w:t>
      </w:r>
      <w:r w:rsidR="00152A00">
        <w:rPr>
          <w:szCs w:val="24"/>
        </w:rPr>
        <w:t>’s</w:t>
      </w:r>
      <w:r w:rsidRPr="00A872A6">
        <w:rPr>
          <w:szCs w:val="24"/>
        </w:rPr>
        <w:t xml:space="preserve"> rebuttal testimony</w:t>
      </w:r>
      <w:r w:rsidR="00152A00">
        <w:rPr>
          <w:szCs w:val="24"/>
        </w:rPr>
        <w:t xml:space="preserve"> </w:t>
      </w:r>
      <w:r w:rsidR="008B2222">
        <w:rPr>
          <w:szCs w:val="24"/>
        </w:rPr>
        <w:t xml:space="preserve">at OSBA St. No. 1 at 3 </w:t>
      </w:r>
      <w:r w:rsidR="00152A00">
        <w:rPr>
          <w:szCs w:val="24"/>
        </w:rPr>
        <w:t>where he stated</w:t>
      </w:r>
      <w:r w:rsidRPr="00A872A6">
        <w:rPr>
          <w:szCs w:val="24"/>
        </w:rPr>
        <w:t>, “</w:t>
      </w:r>
      <w:r>
        <w:rPr>
          <w:szCs w:val="24"/>
        </w:rPr>
        <w:t>[t]</w:t>
      </w:r>
      <w:r w:rsidRPr="00A872A6">
        <w:rPr>
          <w:szCs w:val="24"/>
        </w:rPr>
        <w:t>o the extent these shopping customers are already paying for the administrative costs incurred by their own electric generation suppliers (EGSs) related to dynamic pricing or other innovative rates, the shopping customers will end up paying twice.</w:t>
      </w:r>
      <w:r w:rsidR="008B2222">
        <w:rPr>
          <w:szCs w:val="24"/>
        </w:rPr>
        <w:t>”</w:t>
      </w:r>
      <w:r w:rsidRPr="00A872A6">
        <w:rPr>
          <w:szCs w:val="24"/>
        </w:rPr>
        <w:t xml:space="preserve">  </w:t>
      </w:r>
      <w:r w:rsidR="0064308B">
        <w:rPr>
          <w:szCs w:val="24"/>
        </w:rPr>
        <w:t xml:space="preserve">R.D. at 19. </w:t>
      </w:r>
    </w:p>
    <w:p w:rsidR="008B2222" w:rsidRPr="00A872A6" w:rsidRDefault="008B2222" w:rsidP="000F4CCE">
      <w:pPr>
        <w:rPr>
          <w:szCs w:val="24"/>
        </w:rPr>
      </w:pPr>
    </w:p>
    <w:p w:rsidR="000F4CCE" w:rsidRPr="00A872A6" w:rsidRDefault="00AE5CCC" w:rsidP="000F4CCE">
      <w:pPr>
        <w:rPr>
          <w:szCs w:val="24"/>
        </w:rPr>
      </w:pPr>
      <w:r>
        <w:rPr>
          <w:szCs w:val="24"/>
        </w:rPr>
        <w:t>The ALJ stated</w:t>
      </w:r>
      <w:r w:rsidR="00513F8C">
        <w:rPr>
          <w:szCs w:val="24"/>
        </w:rPr>
        <w:t>,</w:t>
      </w:r>
      <w:r>
        <w:rPr>
          <w:szCs w:val="24"/>
        </w:rPr>
        <w:t xml:space="preserve"> w</w:t>
      </w:r>
      <w:r w:rsidR="000F4CCE" w:rsidRPr="00A872A6">
        <w:rPr>
          <w:szCs w:val="24"/>
        </w:rPr>
        <w:t xml:space="preserve">hile there will be some movement of customers who may change their supply sources, so that they may be default service or shopping customers at any point in time, the fact remains that the Dynamic Pricing Plan was developed for the purpose of offering dynamic pricing options to default service customers only.  </w:t>
      </w:r>
      <w:r w:rsidR="00B241C1">
        <w:rPr>
          <w:szCs w:val="24"/>
        </w:rPr>
        <w:t xml:space="preserve">The ALJ cited </w:t>
      </w:r>
      <w:r w:rsidR="00B241C1" w:rsidRPr="00A872A6">
        <w:rPr>
          <w:szCs w:val="24"/>
        </w:rPr>
        <w:t>66 Pa.</w:t>
      </w:r>
      <w:r w:rsidR="00FE4F11">
        <w:rPr>
          <w:szCs w:val="24"/>
        </w:rPr>
        <w:t xml:space="preserve"> </w:t>
      </w:r>
      <w:r w:rsidR="00B241C1" w:rsidRPr="00A872A6">
        <w:rPr>
          <w:szCs w:val="24"/>
        </w:rPr>
        <w:t>C.S. § 2807(f)(5)</w:t>
      </w:r>
      <w:r w:rsidR="00B241C1">
        <w:rPr>
          <w:szCs w:val="24"/>
        </w:rPr>
        <w:t xml:space="preserve"> which states in part, </w:t>
      </w:r>
      <w:r w:rsidR="000F4CCE" w:rsidRPr="00A872A6">
        <w:rPr>
          <w:szCs w:val="24"/>
        </w:rPr>
        <w:t>“. . . a default service provider shall submit to the commission one or more proposed time-of-use rates and real-time price plans. .</w:t>
      </w:r>
      <w:r w:rsidR="00DA7F52">
        <w:rPr>
          <w:szCs w:val="24"/>
        </w:rPr>
        <w:t xml:space="preserve"> </w:t>
      </w:r>
      <w:r w:rsidR="000F4CCE" w:rsidRPr="00A872A6">
        <w:rPr>
          <w:szCs w:val="24"/>
        </w:rPr>
        <w:t>.</w:t>
      </w:r>
      <w:r w:rsidR="00DA7F52">
        <w:rPr>
          <w:szCs w:val="24"/>
        </w:rPr>
        <w:t xml:space="preserve"> </w:t>
      </w:r>
      <w:r w:rsidR="000F4CCE" w:rsidRPr="00A872A6">
        <w:rPr>
          <w:szCs w:val="24"/>
        </w:rPr>
        <w:t>. The default service provider shall offer the time-of-use rates and real-time price plan to all customers that have been provided with smart meter technology .</w:t>
      </w:r>
      <w:r w:rsidR="00DA7F52">
        <w:rPr>
          <w:szCs w:val="24"/>
        </w:rPr>
        <w:t xml:space="preserve"> </w:t>
      </w:r>
      <w:r w:rsidR="00513F8C">
        <w:rPr>
          <w:szCs w:val="24"/>
        </w:rPr>
        <w:t>.</w:t>
      </w:r>
      <w:r w:rsidR="00DA7F52">
        <w:rPr>
          <w:szCs w:val="24"/>
        </w:rPr>
        <w:t xml:space="preserve"> </w:t>
      </w:r>
      <w:r w:rsidR="000F4CCE" w:rsidRPr="00A872A6">
        <w:rPr>
          <w:szCs w:val="24"/>
        </w:rPr>
        <w:t xml:space="preserve">.” </w:t>
      </w:r>
      <w:r w:rsidR="000F4CCE">
        <w:rPr>
          <w:szCs w:val="24"/>
        </w:rPr>
        <w:t xml:space="preserve"> </w:t>
      </w:r>
      <w:r w:rsidR="00B241C1">
        <w:rPr>
          <w:szCs w:val="24"/>
        </w:rPr>
        <w:t>The ALJ concluded that “</w:t>
      </w:r>
      <w:r w:rsidR="003A18CA">
        <w:rPr>
          <w:szCs w:val="24"/>
        </w:rPr>
        <w:t>[c]</w:t>
      </w:r>
      <w:r w:rsidR="000F4CCE" w:rsidRPr="00A872A6">
        <w:rPr>
          <w:szCs w:val="24"/>
        </w:rPr>
        <w:t>learly, the legislature intended – and the Commission recognized – that the dynamic pricing options were to be an element of default service and not a rate option offered as part of transmission or distribution service.</w:t>
      </w:r>
      <w:r w:rsidR="00FE4F11">
        <w:rPr>
          <w:szCs w:val="24"/>
        </w:rPr>
        <w:t xml:space="preserve">”  R.D. at 19-20. </w:t>
      </w:r>
    </w:p>
    <w:p w:rsidR="000F4CCE" w:rsidRDefault="000F4CCE" w:rsidP="000F4CCE">
      <w:pPr>
        <w:rPr>
          <w:szCs w:val="24"/>
        </w:rPr>
      </w:pPr>
    </w:p>
    <w:p w:rsidR="00B57DE4" w:rsidRDefault="00A1071E" w:rsidP="000F4CCE">
      <w:pPr>
        <w:rPr>
          <w:szCs w:val="24"/>
        </w:rPr>
      </w:pPr>
      <w:r>
        <w:rPr>
          <w:szCs w:val="24"/>
        </w:rPr>
        <w:lastRenderedPageBreak/>
        <w:t xml:space="preserve">In its Exceptions, the </w:t>
      </w:r>
      <w:r w:rsidR="000F4CCE" w:rsidRPr="00A872A6">
        <w:rPr>
          <w:szCs w:val="24"/>
        </w:rPr>
        <w:t xml:space="preserve">OCA </w:t>
      </w:r>
      <w:r w:rsidR="00F138B7">
        <w:rPr>
          <w:szCs w:val="24"/>
        </w:rPr>
        <w:t xml:space="preserve">argues that the record in this proceeding supports the Commission reaching a different conclusion than in the PPL and Duquesne TOU proceedings. </w:t>
      </w:r>
      <w:r w:rsidR="00FC5CA4">
        <w:rPr>
          <w:szCs w:val="24"/>
        </w:rPr>
        <w:t xml:space="preserve">The OCA states that Duquesne already had a TOU plan in place as part of its Default Service Plan and its proposal to include its costs as part of its Consumer </w:t>
      </w:r>
      <w:r w:rsidR="0064308B">
        <w:rPr>
          <w:szCs w:val="24"/>
        </w:rPr>
        <w:t>E</w:t>
      </w:r>
      <w:r w:rsidR="00FC5CA4">
        <w:rPr>
          <w:szCs w:val="24"/>
        </w:rPr>
        <w:t xml:space="preserve">ducation Surcharge is a completely different mechanism than the one at issue in this proceeding.  </w:t>
      </w:r>
      <w:r w:rsidR="003565E7">
        <w:rPr>
          <w:szCs w:val="24"/>
        </w:rPr>
        <w:t xml:space="preserve">The OCA avers that in the PPL TOU proceeding, no evidence was presented regarding the benefits of the PPL TOU rate to all customers.  The OCA </w:t>
      </w:r>
      <w:r w:rsidR="000A19C0">
        <w:rPr>
          <w:szCs w:val="24"/>
        </w:rPr>
        <w:t xml:space="preserve">submits that the PPL TOU program was not a pilot program to test initial dynamic pricing rates in order to understand how to cost-effectively enroll customers and to examine </w:t>
      </w:r>
      <w:r w:rsidR="008875ED">
        <w:rPr>
          <w:szCs w:val="24"/>
        </w:rPr>
        <w:t xml:space="preserve">the load impacts of different dynamic rates and technology options.  </w:t>
      </w:r>
      <w:r w:rsidR="00B57DE4">
        <w:rPr>
          <w:szCs w:val="24"/>
        </w:rPr>
        <w:t>OCA Exc. at 6-7.</w:t>
      </w:r>
    </w:p>
    <w:p w:rsidR="00B57DE4" w:rsidRDefault="00B57DE4" w:rsidP="000F4CCE">
      <w:pPr>
        <w:rPr>
          <w:szCs w:val="24"/>
        </w:rPr>
      </w:pPr>
    </w:p>
    <w:p w:rsidR="005668EF" w:rsidRDefault="005668EF" w:rsidP="000F4CCE">
      <w:pPr>
        <w:rPr>
          <w:szCs w:val="24"/>
        </w:rPr>
      </w:pPr>
      <w:r>
        <w:rPr>
          <w:szCs w:val="24"/>
        </w:rPr>
        <w:t xml:space="preserve">In its Reply Exceptions, the OSBA argues that </w:t>
      </w:r>
      <w:r w:rsidR="005524E0">
        <w:rPr>
          <w:szCs w:val="24"/>
        </w:rPr>
        <w:t>Act 129 makes a distinction between the costs that PECO can recover as a default service provider and the cost it may recover as a</w:t>
      </w:r>
      <w:r w:rsidR="00F309C4">
        <w:rPr>
          <w:szCs w:val="24"/>
        </w:rPr>
        <w:t>n</w:t>
      </w:r>
      <w:r w:rsidR="005524E0">
        <w:rPr>
          <w:szCs w:val="24"/>
        </w:rPr>
        <w:t xml:space="preserve"> EDC.  The OSBA submits that </w:t>
      </w:r>
      <w:r w:rsidR="006B39C5">
        <w:rPr>
          <w:szCs w:val="24"/>
        </w:rPr>
        <w:t xml:space="preserve">66 Pa. C.S. </w:t>
      </w:r>
      <w:r w:rsidR="006B39C5">
        <w:rPr>
          <w:rFonts w:cs="Times New Roman"/>
          <w:szCs w:val="24"/>
        </w:rPr>
        <w:t>§</w:t>
      </w:r>
      <w:r w:rsidR="006B39C5">
        <w:rPr>
          <w:szCs w:val="24"/>
        </w:rPr>
        <w:t xml:space="preserve"> 2807(e)(3.9) </w:t>
      </w:r>
      <w:r w:rsidR="00D24D54">
        <w:rPr>
          <w:szCs w:val="24"/>
        </w:rPr>
        <w:t xml:space="preserve">provides for the recovery of costs incurred by default service providers to satisfy the requirements of Section 2807 </w:t>
      </w:r>
      <w:r w:rsidR="00DA7F52">
        <w:rPr>
          <w:szCs w:val="24"/>
        </w:rPr>
        <w:t>whereas</w:t>
      </w:r>
      <w:r w:rsidR="00D24D54">
        <w:rPr>
          <w:szCs w:val="24"/>
        </w:rPr>
        <w:t xml:space="preserve"> 66 Pa. C.S. </w:t>
      </w:r>
      <w:r w:rsidR="00840404">
        <w:rPr>
          <w:rFonts w:cs="Times New Roman"/>
          <w:szCs w:val="24"/>
        </w:rPr>
        <w:t>§</w:t>
      </w:r>
      <w:r w:rsidR="00D24D54">
        <w:rPr>
          <w:rFonts w:cs="Times New Roman"/>
          <w:szCs w:val="24"/>
        </w:rPr>
        <w:t>§</w:t>
      </w:r>
      <w:r w:rsidR="00D24D54">
        <w:rPr>
          <w:szCs w:val="24"/>
        </w:rPr>
        <w:t xml:space="preserve"> 2807(f)(7) </w:t>
      </w:r>
      <w:r w:rsidR="00840404">
        <w:rPr>
          <w:szCs w:val="24"/>
        </w:rPr>
        <w:t>and 2806(k)(1) provide</w:t>
      </w:r>
      <w:r w:rsidR="00305820">
        <w:rPr>
          <w:szCs w:val="24"/>
        </w:rPr>
        <w:t xml:space="preserve"> for the recovery smart meter costs </w:t>
      </w:r>
      <w:r w:rsidR="00840404">
        <w:rPr>
          <w:szCs w:val="24"/>
        </w:rPr>
        <w:t xml:space="preserve">and </w:t>
      </w:r>
      <w:r w:rsidR="00963F4D">
        <w:rPr>
          <w:szCs w:val="24"/>
        </w:rPr>
        <w:t>EE&amp;C costs by EDCs</w:t>
      </w:r>
      <w:r w:rsidR="00DD4E0E">
        <w:rPr>
          <w:szCs w:val="24"/>
        </w:rPr>
        <w:t>.</w:t>
      </w:r>
      <w:r w:rsidR="00963F4D">
        <w:rPr>
          <w:szCs w:val="24"/>
        </w:rPr>
        <w:t xml:space="preserve"> </w:t>
      </w:r>
      <w:r w:rsidR="00305820">
        <w:rPr>
          <w:szCs w:val="24"/>
        </w:rPr>
        <w:t xml:space="preserve"> The OSBA avers, </w:t>
      </w:r>
      <w:r w:rsidR="00305820" w:rsidRPr="00305820">
        <w:rPr>
          <w:i/>
          <w:szCs w:val="24"/>
        </w:rPr>
        <w:t>inter alia</w:t>
      </w:r>
      <w:r w:rsidR="00305820">
        <w:rPr>
          <w:szCs w:val="24"/>
        </w:rPr>
        <w:t xml:space="preserve">, </w:t>
      </w:r>
      <w:r w:rsidR="006F129A">
        <w:rPr>
          <w:szCs w:val="24"/>
        </w:rPr>
        <w:t xml:space="preserve">that </w:t>
      </w:r>
      <w:r w:rsidR="00DA7F52">
        <w:rPr>
          <w:szCs w:val="24"/>
        </w:rPr>
        <w:br/>
      </w:r>
      <w:r w:rsidR="006F129A">
        <w:rPr>
          <w:szCs w:val="24"/>
        </w:rPr>
        <w:t xml:space="preserve">66 Pa. C.S. </w:t>
      </w:r>
      <w:r w:rsidR="006F129A">
        <w:rPr>
          <w:rFonts w:cs="Times New Roman"/>
          <w:szCs w:val="24"/>
        </w:rPr>
        <w:t>§</w:t>
      </w:r>
      <w:r w:rsidR="006F129A">
        <w:rPr>
          <w:szCs w:val="24"/>
        </w:rPr>
        <w:t xml:space="preserve"> 2807(f)(5) expressly imposes the obligation of dynamic pricing on default service providers</w:t>
      </w:r>
      <w:r w:rsidR="00963F4D">
        <w:rPr>
          <w:szCs w:val="24"/>
        </w:rPr>
        <w:t>.</w:t>
      </w:r>
      <w:r w:rsidR="006F129A">
        <w:rPr>
          <w:szCs w:val="24"/>
        </w:rPr>
        <w:t xml:space="preserve"> </w:t>
      </w:r>
      <w:r w:rsidR="00963F4D">
        <w:rPr>
          <w:szCs w:val="24"/>
        </w:rPr>
        <w:t xml:space="preserve"> OSBA R. Exc. at 8-11.</w:t>
      </w:r>
    </w:p>
    <w:p w:rsidR="005668EF" w:rsidRDefault="005668EF" w:rsidP="000F4CCE">
      <w:pPr>
        <w:rPr>
          <w:szCs w:val="24"/>
        </w:rPr>
      </w:pPr>
    </w:p>
    <w:p w:rsidR="004656E1" w:rsidRDefault="00AD51ED" w:rsidP="004656E1">
      <w:pPr>
        <w:rPr>
          <w:rFonts w:cs="Times New Roman"/>
          <w:szCs w:val="24"/>
        </w:rPr>
      </w:pPr>
      <w:r>
        <w:rPr>
          <w:szCs w:val="24"/>
        </w:rPr>
        <w:t xml:space="preserve">We concur that results of </w:t>
      </w:r>
      <w:r w:rsidR="00B85969">
        <w:rPr>
          <w:szCs w:val="24"/>
        </w:rPr>
        <w:t xml:space="preserve">PECO’s Dynamic Pricing Plan </w:t>
      </w:r>
      <w:r w:rsidR="00B85969" w:rsidRPr="005B3837">
        <w:rPr>
          <w:i/>
          <w:szCs w:val="24"/>
        </w:rPr>
        <w:t>may</w:t>
      </w:r>
      <w:r w:rsidR="00B85969">
        <w:rPr>
          <w:szCs w:val="24"/>
        </w:rPr>
        <w:t xml:space="preserve"> provide inform</w:t>
      </w:r>
      <w:r w:rsidR="00347B4E">
        <w:rPr>
          <w:szCs w:val="24"/>
        </w:rPr>
        <w:t>a</w:t>
      </w:r>
      <w:r w:rsidR="00B85969">
        <w:rPr>
          <w:szCs w:val="24"/>
        </w:rPr>
        <w:t xml:space="preserve">tion </w:t>
      </w:r>
      <w:r w:rsidR="00347B4E">
        <w:rPr>
          <w:szCs w:val="24"/>
        </w:rPr>
        <w:t xml:space="preserve">that may assist EGSs </w:t>
      </w:r>
      <w:r w:rsidR="005B3837">
        <w:rPr>
          <w:szCs w:val="24"/>
        </w:rPr>
        <w:t xml:space="preserve">as well as </w:t>
      </w:r>
      <w:r w:rsidR="00347B4E">
        <w:rPr>
          <w:szCs w:val="24"/>
        </w:rPr>
        <w:t xml:space="preserve">other EDCs in developing dynamic rate offerings.  </w:t>
      </w:r>
      <w:r w:rsidR="005B3837">
        <w:rPr>
          <w:szCs w:val="24"/>
        </w:rPr>
        <w:t xml:space="preserve">However, we agree with the ALJ that the extent </w:t>
      </w:r>
      <w:r w:rsidR="00DA7F52">
        <w:rPr>
          <w:szCs w:val="24"/>
        </w:rPr>
        <w:t>to which</w:t>
      </w:r>
      <w:r w:rsidR="005B3837">
        <w:rPr>
          <w:szCs w:val="24"/>
        </w:rPr>
        <w:t xml:space="preserve"> other energy suppliers may benefit from this information </w:t>
      </w:r>
      <w:r w:rsidR="00DF7DF2">
        <w:rPr>
          <w:szCs w:val="24"/>
        </w:rPr>
        <w:t xml:space="preserve">is speculative and </w:t>
      </w:r>
      <w:r w:rsidR="00AB115F">
        <w:rPr>
          <w:szCs w:val="24"/>
        </w:rPr>
        <w:t xml:space="preserve">cannot be </w:t>
      </w:r>
      <w:r w:rsidR="00DF7DF2">
        <w:rPr>
          <w:szCs w:val="24"/>
        </w:rPr>
        <w:t>quantified</w:t>
      </w:r>
      <w:r w:rsidR="00AB115F">
        <w:rPr>
          <w:szCs w:val="24"/>
        </w:rPr>
        <w:t>.</w:t>
      </w:r>
      <w:r w:rsidR="00DF7DF2">
        <w:rPr>
          <w:szCs w:val="24"/>
        </w:rPr>
        <w:t xml:space="preserve">  </w:t>
      </w:r>
      <w:r w:rsidR="001331C6">
        <w:rPr>
          <w:szCs w:val="24"/>
        </w:rPr>
        <w:t xml:space="preserve">We also concur with the OCA that PECO’s Dynamic Pricing Plan differs from the </w:t>
      </w:r>
      <w:r w:rsidR="00AB115F">
        <w:rPr>
          <w:szCs w:val="24"/>
        </w:rPr>
        <w:t xml:space="preserve">TOU </w:t>
      </w:r>
      <w:r w:rsidR="001331C6">
        <w:rPr>
          <w:szCs w:val="24"/>
        </w:rPr>
        <w:t xml:space="preserve">proposals </w:t>
      </w:r>
      <w:r w:rsidR="00AB115F">
        <w:rPr>
          <w:szCs w:val="24"/>
        </w:rPr>
        <w:t>submitted by Duquesne and</w:t>
      </w:r>
      <w:r w:rsidR="00B274E8">
        <w:rPr>
          <w:szCs w:val="24"/>
        </w:rPr>
        <w:t xml:space="preserve"> PP</w:t>
      </w:r>
      <w:r w:rsidR="00821FAD">
        <w:rPr>
          <w:szCs w:val="24"/>
        </w:rPr>
        <w:t>L</w:t>
      </w:r>
      <w:r w:rsidR="00B274E8">
        <w:rPr>
          <w:szCs w:val="24"/>
        </w:rPr>
        <w:t xml:space="preserve">, cited </w:t>
      </w:r>
      <w:r w:rsidR="00B274E8" w:rsidRPr="00B274E8">
        <w:rPr>
          <w:i/>
          <w:szCs w:val="24"/>
        </w:rPr>
        <w:t>supra</w:t>
      </w:r>
      <w:r w:rsidR="00B274E8">
        <w:rPr>
          <w:szCs w:val="24"/>
        </w:rPr>
        <w:t xml:space="preserve">. </w:t>
      </w:r>
      <w:r w:rsidR="00AB115F">
        <w:rPr>
          <w:szCs w:val="24"/>
        </w:rPr>
        <w:t xml:space="preserve"> </w:t>
      </w:r>
      <w:r w:rsidR="00E104F9">
        <w:rPr>
          <w:szCs w:val="24"/>
        </w:rPr>
        <w:t>Nevertheless, t</w:t>
      </w:r>
      <w:r w:rsidR="00AB115F">
        <w:rPr>
          <w:szCs w:val="24"/>
        </w:rPr>
        <w:t>hese differences</w:t>
      </w:r>
      <w:r w:rsidR="00E104F9">
        <w:rPr>
          <w:szCs w:val="24"/>
        </w:rPr>
        <w:t xml:space="preserve"> do not overcome the </w:t>
      </w:r>
      <w:r w:rsidR="00FE4865">
        <w:rPr>
          <w:szCs w:val="24"/>
        </w:rPr>
        <w:t xml:space="preserve">fact that PECO’s Dynamic Pricing Plan is being offered only to default service customers in response to PECO’s statutory requirements </w:t>
      </w:r>
      <w:r w:rsidR="00E63380">
        <w:rPr>
          <w:szCs w:val="24"/>
        </w:rPr>
        <w:t xml:space="preserve">under </w:t>
      </w:r>
      <w:r w:rsidR="00FB68D2">
        <w:rPr>
          <w:szCs w:val="24"/>
        </w:rPr>
        <w:t xml:space="preserve">66 Pa. C.S. </w:t>
      </w:r>
      <w:r w:rsidR="00E63380">
        <w:rPr>
          <w:szCs w:val="24"/>
        </w:rPr>
        <w:br/>
      </w:r>
      <w:r w:rsidR="00FB68D2">
        <w:rPr>
          <w:rFonts w:cs="Times New Roman"/>
          <w:szCs w:val="24"/>
        </w:rPr>
        <w:t>§ 280</w:t>
      </w:r>
      <w:r w:rsidR="00E63380">
        <w:rPr>
          <w:rFonts w:cs="Times New Roman"/>
          <w:szCs w:val="24"/>
        </w:rPr>
        <w:t xml:space="preserve">7(f)(5) </w:t>
      </w:r>
      <w:r w:rsidR="00FE4865">
        <w:rPr>
          <w:szCs w:val="24"/>
        </w:rPr>
        <w:t>as a default service provider</w:t>
      </w:r>
      <w:r w:rsidR="0076692B">
        <w:rPr>
          <w:szCs w:val="24"/>
        </w:rPr>
        <w:t>, not an EDC</w:t>
      </w:r>
      <w:r w:rsidR="00FE4865">
        <w:rPr>
          <w:szCs w:val="24"/>
        </w:rPr>
        <w:t xml:space="preserve">. </w:t>
      </w:r>
      <w:r w:rsidR="00B274E8">
        <w:rPr>
          <w:szCs w:val="24"/>
        </w:rPr>
        <w:t xml:space="preserve"> Consistent with the definitions </w:t>
      </w:r>
      <w:r w:rsidR="00B274E8">
        <w:rPr>
          <w:szCs w:val="24"/>
        </w:rPr>
        <w:lastRenderedPageBreak/>
        <w:t xml:space="preserve">set forth in 66 Pa. C.S. </w:t>
      </w:r>
      <w:r w:rsidR="00B274E8">
        <w:rPr>
          <w:rFonts w:cs="Times New Roman"/>
          <w:szCs w:val="24"/>
        </w:rPr>
        <w:t xml:space="preserve">§ 2803, a default service provider “provides generation service to retail customers” </w:t>
      </w:r>
      <w:r w:rsidR="0076692B">
        <w:rPr>
          <w:rFonts w:cs="Times New Roman"/>
          <w:szCs w:val="24"/>
        </w:rPr>
        <w:t xml:space="preserve">and an EDC provides “facilities for the jurisdictional transmission and distribution </w:t>
      </w:r>
      <w:r w:rsidR="00821FAD">
        <w:rPr>
          <w:rFonts w:cs="Times New Roman"/>
          <w:szCs w:val="24"/>
        </w:rPr>
        <w:t xml:space="preserve">of electricity to retail customers.” </w:t>
      </w:r>
      <w:r w:rsidR="00384F02">
        <w:rPr>
          <w:rFonts w:cs="Times New Roman"/>
          <w:szCs w:val="24"/>
        </w:rPr>
        <w:t xml:space="preserve"> </w:t>
      </w:r>
      <w:r w:rsidR="00D078BC">
        <w:rPr>
          <w:rFonts w:cs="Times New Roman"/>
          <w:szCs w:val="24"/>
        </w:rPr>
        <w:t xml:space="preserve">Consequently, the costs of the Dynamic Pricing Plan should only be recovered from </w:t>
      </w:r>
      <w:r w:rsidR="00180702">
        <w:rPr>
          <w:rFonts w:cs="Times New Roman"/>
          <w:szCs w:val="24"/>
        </w:rPr>
        <w:t xml:space="preserve">PECO’s </w:t>
      </w:r>
      <w:r w:rsidR="00D078BC">
        <w:rPr>
          <w:rFonts w:cs="Times New Roman"/>
          <w:szCs w:val="24"/>
        </w:rPr>
        <w:t xml:space="preserve">default service customers that receive generation service and not from the shopping customers that only receive </w:t>
      </w:r>
      <w:r w:rsidR="00180702">
        <w:rPr>
          <w:rFonts w:cs="Times New Roman"/>
          <w:szCs w:val="24"/>
        </w:rPr>
        <w:t>jurisdictional</w:t>
      </w:r>
      <w:r w:rsidR="00D078BC">
        <w:rPr>
          <w:rFonts w:cs="Times New Roman"/>
          <w:szCs w:val="24"/>
        </w:rPr>
        <w:t xml:space="preserve"> transmission and distribution service. </w:t>
      </w:r>
      <w:r w:rsidR="00180702">
        <w:rPr>
          <w:rFonts w:cs="Times New Roman"/>
          <w:szCs w:val="24"/>
        </w:rPr>
        <w:t xml:space="preserve"> Therefore, </w:t>
      </w:r>
      <w:r w:rsidR="00821FAD">
        <w:rPr>
          <w:rFonts w:cs="Times New Roman"/>
          <w:szCs w:val="24"/>
        </w:rPr>
        <w:t xml:space="preserve">we shall adopt PECO’s proposal to recover </w:t>
      </w:r>
      <w:r w:rsidR="003E3B48">
        <w:rPr>
          <w:rFonts w:cs="Times New Roman"/>
          <w:szCs w:val="24"/>
        </w:rPr>
        <w:t>the costs incurred to implement PECO’s initial Dynamic Pricing Plan, as modified by the Settlement, through its GSA mechanism</w:t>
      </w:r>
      <w:r w:rsidR="00655679">
        <w:rPr>
          <w:rFonts w:cs="Times New Roman"/>
          <w:szCs w:val="24"/>
        </w:rPr>
        <w:t xml:space="preserve"> and </w:t>
      </w:r>
      <w:r w:rsidR="004656E1">
        <w:rPr>
          <w:rFonts w:cs="Times New Roman"/>
          <w:szCs w:val="24"/>
        </w:rPr>
        <w:t xml:space="preserve">the Exceptions of the OCA are denied.   </w:t>
      </w:r>
    </w:p>
    <w:p w:rsidR="00180702" w:rsidRDefault="00180702" w:rsidP="004656E1">
      <w:pPr>
        <w:rPr>
          <w:rFonts w:cs="Times New Roman"/>
          <w:szCs w:val="24"/>
        </w:rPr>
      </w:pPr>
    </w:p>
    <w:p w:rsidR="005B3837" w:rsidRDefault="00AE3A2C" w:rsidP="000F4CCE">
      <w:pPr>
        <w:rPr>
          <w:rFonts w:cs="Times New Roman"/>
          <w:szCs w:val="24"/>
        </w:rPr>
      </w:pPr>
      <w:r>
        <w:rPr>
          <w:rFonts w:cs="Times New Roman"/>
          <w:szCs w:val="24"/>
        </w:rPr>
        <w:t xml:space="preserve">As noted in the Settlement at Paragraph 9.I., the allocation of costs adopted as a result of the Settlement and this Opinion and Order is only applicable to </w:t>
      </w:r>
      <w:r w:rsidR="005D3BDA">
        <w:rPr>
          <w:rFonts w:cs="Times New Roman"/>
          <w:szCs w:val="24"/>
        </w:rPr>
        <w:t xml:space="preserve">the instant Dynamic Pricing Plan.  </w:t>
      </w:r>
      <w:r w:rsidR="0031694A">
        <w:rPr>
          <w:rFonts w:cs="Times New Roman"/>
          <w:szCs w:val="24"/>
        </w:rPr>
        <w:t xml:space="preserve">The Commission, or any Party, may pursue other cost allocations if there are significant modifications to the Plan or as PECO proposes broad-scale development of its dynamic rates.  </w:t>
      </w:r>
    </w:p>
    <w:p w:rsidR="00F713BF" w:rsidRDefault="00F713BF" w:rsidP="000F4CCE">
      <w:pPr>
        <w:rPr>
          <w:szCs w:val="24"/>
        </w:rPr>
      </w:pPr>
    </w:p>
    <w:p w:rsidR="003B0696" w:rsidRDefault="003B0696" w:rsidP="003B0696">
      <w:pPr>
        <w:pStyle w:val="Heading2"/>
      </w:pPr>
      <w:r>
        <w:tab/>
        <w:t>Tariff Implementation</w:t>
      </w:r>
    </w:p>
    <w:p w:rsidR="003B0696" w:rsidRDefault="003B0696" w:rsidP="007D5BF0">
      <w:pPr>
        <w:spacing w:line="240" w:lineRule="auto"/>
      </w:pPr>
    </w:p>
    <w:p w:rsidR="001335C6" w:rsidRDefault="00D05DA1" w:rsidP="001335C6">
      <w:r>
        <w:t xml:space="preserve">The tariffs included as part of </w:t>
      </w:r>
      <w:r w:rsidR="003B0696">
        <w:t xml:space="preserve">PECO’s Dynamic Pricing Plan currently contain </w:t>
      </w:r>
      <w:r>
        <w:t>placeholder rates</w:t>
      </w:r>
      <w:r w:rsidR="00DD0DA5">
        <w:t>,</w:t>
      </w:r>
      <w:r w:rsidR="00073CB7">
        <w:t xml:space="preserve"> and therefore</w:t>
      </w:r>
      <w:r w:rsidR="00DD0DA5">
        <w:t>,</w:t>
      </w:r>
      <w:r w:rsidR="00073CB7">
        <w:t xml:space="preserve"> </w:t>
      </w:r>
      <w:r>
        <w:t xml:space="preserve">do not contain any numeric </w:t>
      </w:r>
      <w:r w:rsidR="003B0696">
        <w:t>rates</w:t>
      </w:r>
      <w:r w:rsidR="00073CB7">
        <w:t>.</w:t>
      </w:r>
      <w:r w:rsidR="003B0696">
        <w:t xml:space="preserve"> </w:t>
      </w:r>
      <w:r w:rsidR="00DD0DA5">
        <w:t xml:space="preserve"> </w:t>
      </w:r>
      <w:r w:rsidR="00073CB7">
        <w:t xml:space="preserve">These tariffs were included </w:t>
      </w:r>
      <w:r w:rsidR="007D5BF0">
        <w:t>as Exhibit 1 to the Settlement</w:t>
      </w:r>
      <w:r w:rsidR="00073CB7">
        <w:t xml:space="preserve"> and </w:t>
      </w:r>
      <w:r w:rsidR="007D5BF0">
        <w:t xml:space="preserve">will be effective June 1, 2012.  </w:t>
      </w:r>
      <w:r w:rsidR="002B6673">
        <w:t>T</w:t>
      </w:r>
      <w:r w:rsidR="006D289E">
        <w:t>he actual CPP and TOU rate</w:t>
      </w:r>
      <w:r w:rsidR="00090E32">
        <w:t xml:space="preserve"> premiums and discounts that </w:t>
      </w:r>
      <w:r w:rsidR="006D289E">
        <w:t>will be implemented beginning on June 1, 2012</w:t>
      </w:r>
      <w:r w:rsidR="00E83DA8">
        <w:t xml:space="preserve">, </w:t>
      </w:r>
      <w:r w:rsidR="006D289E">
        <w:t xml:space="preserve">will be calculated </w:t>
      </w:r>
      <w:r w:rsidR="000456CF">
        <w:t xml:space="preserve">based on future energy and capacity procurement costs </w:t>
      </w:r>
      <w:r w:rsidR="006D289E">
        <w:t xml:space="preserve">using the methodology included as Exhibit 2 </w:t>
      </w:r>
      <w:r w:rsidR="002B6673">
        <w:t xml:space="preserve">to </w:t>
      </w:r>
      <w:r w:rsidR="006D289E">
        <w:t xml:space="preserve">the Settlement.  </w:t>
      </w:r>
      <w:r w:rsidR="00090E32">
        <w:t xml:space="preserve">PECO stated that it will file updated tariff pages by April 1 of each year that will include the applicable capacity prices and forward energy prices </w:t>
      </w:r>
      <w:r w:rsidR="002B6673">
        <w:t xml:space="preserve">from the default service procurement corresponding to the PJM year beginning June 1.  PECO also stated that the CPP and TOU rates will be adjusted on a quarterly basis to reflect any </w:t>
      </w:r>
      <w:r w:rsidR="00846DBE">
        <w:t xml:space="preserve">changes in the baseline GSA price.  PECO </w:t>
      </w:r>
      <w:r w:rsidR="008F22E6">
        <w:br/>
      </w:r>
      <w:r w:rsidR="00846DBE">
        <w:t xml:space="preserve">St. No. 4 at 4-5.  </w:t>
      </w:r>
      <w:r w:rsidR="00655679">
        <w:t>Accordingly</w:t>
      </w:r>
      <w:r w:rsidR="00CE42A9">
        <w:t>,</w:t>
      </w:r>
      <w:r w:rsidR="00655679">
        <w:t xml:space="preserve"> we shall adopt the proposed tariffs without actual per kWh </w:t>
      </w:r>
      <w:r w:rsidR="00655679">
        <w:lastRenderedPageBreak/>
        <w:t xml:space="preserve">rates, </w:t>
      </w:r>
      <w:r w:rsidR="00655679" w:rsidRPr="00E83DA8">
        <w:t>subject to the filing of</w:t>
      </w:r>
      <w:r w:rsidR="00655679" w:rsidRPr="00655679">
        <w:rPr>
          <w:color w:val="C00000"/>
        </w:rPr>
        <w:t xml:space="preserve"> </w:t>
      </w:r>
      <w:r w:rsidR="00E83DA8" w:rsidRPr="001335C6">
        <w:t>actual rates with the Commission sixty days prior to the effective date</w:t>
      </w:r>
      <w:r w:rsidR="00484428" w:rsidRPr="001335C6">
        <w:t xml:space="preserve"> of any new or revised </w:t>
      </w:r>
      <w:r w:rsidR="00384F02">
        <w:t>tariff.</w:t>
      </w:r>
    </w:p>
    <w:p w:rsidR="00384F02" w:rsidRDefault="00384F02" w:rsidP="001335C6"/>
    <w:p w:rsidR="00CE42A9" w:rsidRDefault="00CE42A9" w:rsidP="00384F02">
      <w:pPr>
        <w:pStyle w:val="Heading2"/>
      </w:pPr>
      <w:r>
        <w:t xml:space="preserve">Continuation of this Proceeding </w:t>
      </w:r>
    </w:p>
    <w:p w:rsidR="00CE42A9" w:rsidRDefault="00CE42A9" w:rsidP="00384F02">
      <w:pPr>
        <w:keepNext/>
        <w:spacing w:line="240" w:lineRule="auto"/>
      </w:pPr>
    </w:p>
    <w:p w:rsidR="00CE42A9" w:rsidRPr="00CE42A9" w:rsidRDefault="00CE42A9" w:rsidP="00384F02">
      <w:pPr>
        <w:keepNext/>
      </w:pPr>
      <w:r>
        <w:t xml:space="preserve">In Ordering Paragraph No. 7 to the Recommended Decision, </w:t>
      </w:r>
      <w:r w:rsidR="002C6C18">
        <w:t xml:space="preserve">the ALJ directed that </w:t>
      </w:r>
      <w:r w:rsidR="002C6C18" w:rsidRPr="00A872A6">
        <w:rPr>
          <w:spacing w:val="-3"/>
          <w:szCs w:val="24"/>
        </w:rPr>
        <w:t xml:space="preserve"> </w:t>
      </w:r>
      <w:r w:rsidR="002C6C18">
        <w:rPr>
          <w:spacing w:val="-3"/>
          <w:szCs w:val="24"/>
        </w:rPr>
        <w:t>“</w:t>
      </w:r>
      <w:r w:rsidR="002C6C18" w:rsidRPr="00A872A6">
        <w:rPr>
          <w:szCs w:val="24"/>
        </w:rPr>
        <w:t xml:space="preserve">upon acceptance and approval by the Commission of the tariff and tariff supplements filed by PECO Energy Company consistent with this Order, this proceeding at Docket No. </w:t>
      </w:r>
      <w:r w:rsidR="002C6C18" w:rsidRPr="00A872A6">
        <w:rPr>
          <w:spacing w:val="-3"/>
          <w:szCs w:val="24"/>
        </w:rPr>
        <w:t xml:space="preserve">M-2009-2123944 </w:t>
      </w:r>
      <w:r w:rsidR="002C6C18" w:rsidRPr="00A872A6">
        <w:rPr>
          <w:szCs w:val="24"/>
        </w:rPr>
        <w:t>shall be marked closed.</w:t>
      </w:r>
      <w:r w:rsidR="002C6C18">
        <w:rPr>
          <w:szCs w:val="24"/>
        </w:rPr>
        <w:t xml:space="preserve">”  R.D. at 23.  This Commission’s review of the various facets of PECO’s Smart Meter Plan </w:t>
      </w:r>
      <w:r w:rsidR="00E6292B">
        <w:rPr>
          <w:szCs w:val="24"/>
        </w:rPr>
        <w:t xml:space="preserve">at Docket No. </w:t>
      </w:r>
      <w:r w:rsidR="00E6292B" w:rsidRPr="00A872A6">
        <w:rPr>
          <w:spacing w:val="-3"/>
          <w:szCs w:val="24"/>
        </w:rPr>
        <w:t>M-2009-2123944</w:t>
      </w:r>
      <w:r w:rsidR="00E6292B">
        <w:rPr>
          <w:spacing w:val="-3"/>
          <w:szCs w:val="24"/>
        </w:rPr>
        <w:t xml:space="preserve"> is likely to continue into the future as PECO’s </w:t>
      </w:r>
      <w:r w:rsidR="00364644">
        <w:rPr>
          <w:spacing w:val="-3"/>
          <w:szCs w:val="24"/>
        </w:rPr>
        <w:t xml:space="preserve">Smart Meter </w:t>
      </w:r>
      <w:r w:rsidR="00E6292B">
        <w:rPr>
          <w:spacing w:val="-3"/>
          <w:szCs w:val="24"/>
        </w:rPr>
        <w:t xml:space="preserve">Plan evolves.  Therefore, we </w:t>
      </w:r>
      <w:r w:rsidR="00364644">
        <w:rPr>
          <w:spacing w:val="-3"/>
          <w:szCs w:val="24"/>
        </w:rPr>
        <w:t xml:space="preserve">are adopting the </w:t>
      </w:r>
      <w:r w:rsidR="00E6292B">
        <w:rPr>
          <w:spacing w:val="-3"/>
          <w:szCs w:val="24"/>
        </w:rPr>
        <w:t xml:space="preserve">Recommended Decision </w:t>
      </w:r>
      <w:r w:rsidR="00364644">
        <w:rPr>
          <w:spacing w:val="-3"/>
          <w:szCs w:val="24"/>
        </w:rPr>
        <w:t xml:space="preserve">with the exception of Ordering Paragraph No. 7. </w:t>
      </w:r>
    </w:p>
    <w:p w:rsidR="00CE42A9" w:rsidRDefault="00CE42A9" w:rsidP="001335C6"/>
    <w:p w:rsidR="00750BC4" w:rsidRDefault="00E23039" w:rsidP="001335C6">
      <w:pPr>
        <w:pStyle w:val="Heading1"/>
      </w:pPr>
      <w:r>
        <w:t>IV.</w:t>
      </w:r>
      <w:r>
        <w:tab/>
      </w:r>
      <w:r w:rsidR="00750BC4">
        <w:t>Conclusion</w:t>
      </w:r>
    </w:p>
    <w:p w:rsidR="00C31C64" w:rsidRDefault="00C31C64" w:rsidP="00CA0B46">
      <w:pPr>
        <w:keepNext/>
        <w:spacing w:line="240" w:lineRule="auto"/>
      </w:pPr>
    </w:p>
    <w:p w:rsidR="00DC7359" w:rsidRDefault="00A51723" w:rsidP="00B06866">
      <w:pPr>
        <w:rPr>
          <w:b/>
        </w:rPr>
      </w:pPr>
      <w:r>
        <w:t xml:space="preserve">Consistent with the discussion </w:t>
      </w:r>
      <w:r w:rsidRPr="00A51723">
        <w:rPr>
          <w:i/>
        </w:rPr>
        <w:t>supra</w:t>
      </w:r>
      <w:r>
        <w:t xml:space="preserve">, </w:t>
      </w:r>
      <w:r w:rsidR="00A86999">
        <w:t>and based u</w:t>
      </w:r>
      <w:r w:rsidR="00C31C64" w:rsidRPr="00556738">
        <w:t xml:space="preserve">pon </w:t>
      </w:r>
      <w:r w:rsidR="00A86999">
        <w:t xml:space="preserve">our </w:t>
      </w:r>
      <w:r w:rsidR="00C31C64" w:rsidRPr="00556738">
        <w:t>review of the record before us</w:t>
      </w:r>
      <w:r w:rsidR="000E2F07">
        <w:t>;</w:t>
      </w:r>
      <w:r w:rsidR="00C31C64">
        <w:t xml:space="preserve"> </w:t>
      </w:r>
      <w:r w:rsidR="00A86999">
        <w:t xml:space="preserve">the supporting statements of </w:t>
      </w:r>
      <w:r w:rsidR="00F713BF">
        <w:t>PECO</w:t>
      </w:r>
      <w:r w:rsidR="000E2F07">
        <w:t>,</w:t>
      </w:r>
      <w:r w:rsidR="00F713BF">
        <w:t xml:space="preserve"> the OCA, </w:t>
      </w:r>
      <w:r w:rsidR="000E2F07">
        <w:t xml:space="preserve">and the OSBA; and </w:t>
      </w:r>
      <w:r w:rsidR="00A86999">
        <w:t>the Recommended Decision of the ALJ</w:t>
      </w:r>
      <w:r w:rsidR="000E2F07">
        <w:t>;</w:t>
      </w:r>
      <w:r w:rsidR="00A86999">
        <w:t xml:space="preserve"> </w:t>
      </w:r>
      <w:r w:rsidR="00C31C64" w:rsidRPr="00556738">
        <w:t xml:space="preserve">we </w:t>
      </w:r>
      <w:r w:rsidR="00A86999">
        <w:t xml:space="preserve">conclude </w:t>
      </w:r>
      <w:r w:rsidR="00764333">
        <w:t xml:space="preserve">that </w:t>
      </w:r>
      <w:r w:rsidR="00936248">
        <w:t>the Petition for Approval of PECO’s Dynamic Pricing Plan, as amended by the Settlement</w:t>
      </w:r>
      <w:r w:rsidR="000F29F4">
        <w:t>,</w:t>
      </w:r>
      <w:r w:rsidR="00936248">
        <w:t xml:space="preserve"> </w:t>
      </w:r>
      <w:r w:rsidR="00762CDD">
        <w:t xml:space="preserve">is in the public interest; and </w:t>
      </w:r>
      <w:r w:rsidR="000F29F4">
        <w:t>is in accord with the orders, rules and regulations of this Commission and t</w:t>
      </w:r>
      <w:r w:rsidR="00703993">
        <w:t>he provisions of the Public Utility Code</w:t>
      </w:r>
      <w:r w:rsidR="00DC7359">
        <w:t xml:space="preserve">.  </w:t>
      </w:r>
      <w:r w:rsidR="00DC7359">
        <w:rPr>
          <w:b/>
        </w:rPr>
        <w:t>THEREFORE,</w:t>
      </w:r>
    </w:p>
    <w:p w:rsidR="00DC7359" w:rsidRDefault="00DC7359" w:rsidP="00DC7359">
      <w:pPr>
        <w:keepNext/>
        <w:rPr>
          <w:b/>
        </w:rPr>
      </w:pPr>
    </w:p>
    <w:p w:rsidR="00E019A1" w:rsidRPr="00217166" w:rsidRDefault="00E019A1" w:rsidP="00F14A40">
      <w:pPr>
        <w:pStyle w:val="BodyText3"/>
        <w:tabs>
          <w:tab w:val="left" w:pos="-720"/>
        </w:tabs>
        <w:ind w:firstLine="1440"/>
        <w:rPr>
          <w:b/>
          <w:spacing w:val="-3"/>
          <w:sz w:val="26"/>
          <w:szCs w:val="24"/>
        </w:rPr>
      </w:pPr>
      <w:r w:rsidRPr="00217166">
        <w:rPr>
          <w:b/>
          <w:sz w:val="26"/>
          <w:szCs w:val="24"/>
        </w:rPr>
        <w:t>IT IS ORDERED:</w:t>
      </w:r>
    </w:p>
    <w:p w:rsidR="00750BC4" w:rsidRDefault="00750BC4" w:rsidP="00073CB7">
      <w:pPr>
        <w:spacing w:line="240" w:lineRule="auto"/>
      </w:pPr>
    </w:p>
    <w:p w:rsidR="00E019A1" w:rsidRPr="00224C6B" w:rsidRDefault="00E019A1" w:rsidP="004F197C">
      <w:pPr>
        <w:pStyle w:val="Heading4"/>
        <w:numPr>
          <w:ilvl w:val="0"/>
          <w:numId w:val="48"/>
        </w:numPr>
        <w:ind w:left="0" w:firstLine="1440"/>
        <w:rPr>
          <w:b w:val="0"/>
        </w:rPr>
      </w:pPr>
      <w:r w:rsidRPr="00224C6B">
        <w:rPr>
          <w:b w:val="0"/>
        </w:rPr>
        <w:t xml:space="preserve">That the Exceptions of </w:t>
      </w:r>
      <w:r w:rsidR="001C23C2">
        <w:rPr>
          <w:b w:val="0"/>
        </w:rPr>
        <w:t xml:space="preserve">the Office of Consumer Advocate </w:t>
      </w:r>
      <w:r w:rsidRPr="00224C6B">
        <w:rPr>
          <w:b w:val="0"/>
        </w:rPr>
        <w:t xml:space="preserve">to the Recommended Decision of Administrative Law </w:t>
      </w:r>
      <w:r w:rsidR="001C23C2">
        <w:rPr>
          <w:b w:val="0"/>
        </w:rPr>
        <w:t>Judge Marlane R. Chestnut are denied.</w:t>
      </w:r>
    </w:p>
    <w:p w:rsidR="00E019A1" w:rsidRPr="00224C6B" w:rsidRDefault="00E019A1" w:rsidP="004F197C">
      <w:pPr>
        <w:rPr>
          <w:spacing w:val="-3"/>
        </w:rPr>
      </w:pPr>
    </w:p>
    <w:p w:rsidR="00A0028E" w:rsidRDefault="00E019A1" w:rsidP="004F197C">
      <w:pPr>
        <w:pStyle w:val="Heading4"/>
        <w:numPr>
          <w:ilvl w:val="0"/>
          <w:numId w:val="48"/>
        </w:numPr>
        <w:ind w:left="0" w:firstLine="1440"/>
        <w:rPr>
          <w:b w:val="0"/>
        </w:rPr>
      </w:pPr>
      <w:r w:rsidRPr="00877395">
        <w:rPr>
          <w:b w:val="0"/>
        </w:rPr>
        <w:lastRenderedPageBreak/>
        <w:t xml:space="preserve">That the Recommended Decision of Administrative Law Judge </w:t>
      </w:r>
      <w:r w:rsidR="001C23C2" w:rsidRPr="00877395">
        <w:rPr>
          <w:b w:val="0"/>
        </w:rPr>
        <w:t>Marlane R. Chestnut</w:t>
      </w:r>
      <w:r w:rsidR="00CA336F" w:rsidRPr="00877395">
        <w:rPr>
          <w:b w:val="0"/>
        </w:rPr>
        <w:t xml:space="preserve"> issued </w:t>
      </w:r>
      <w:r w:rsidR="00877395" w:rsidRPr="00877395">
        <w:rPr>
          <w:b w:val="0"/>
        </w:rPr>
        <w:t>February 23, 2011</w:t>
      </w:r>
      <w:r w:rsidR="00180702">
        <w:rPr>
          <w:b w:val="0"/>
        </w:rPr>
        <w:t>,</w:t>
      </w:r>
      <w:r w:rsidR="00877395" w:rsidRPr="00877395">
        <w:rPr>
          <w:b w:val="0"/>
        </w:rPr>
        <w:t xml:space="preserve"> is adopted</w:t>
      </w:r>
      <w:r w:rsidR="00447C8D">
        <w:rPr>
          <w:b w:val="0"/>
        </w:rPr>
        <w:t xml:space="preserve">, except that this proceeding at </w:t>
      </w:r>
      <w:r w:rsidR="00C47AA0">
        <w:rPr>
          <w:b w:val="0"/>
        </w:rPr>
        <w:t xml:space="preserve">Docket </w:t>
      </w:r>
      <w:r w:rsidR="00447C8D" w:rsidRPr="00447C8D">
        <w:rPr>
          <w:b w:val="0"/>
          <w:szCs w:val="24"/>
        </w:rPr>
        <w:t xml:space="preserve">No. </w:t>
      </w:r>
      <w:r w:rsidR="00447C8D" w:rsidRPr="00447C8D">
        <w:rPr>
          <w:b w:val="0"/>
          <w:spacing w:val="-3"/>
          <w:szCs w:val="24"/>
        </w:rPr>
        <w:t>M-2009-2123944 shall remain open</w:t>
      </w:r>
      <w:r w:rsidR="00877395" w:rsidRPr="00877395">
        <w:rPr>
          <w:b w:val="0"/>
        </w:rPr>
        <w:t xml:space="preserve">.  </w:t>
      </w:r>
    </w:p>
    <w:p w:rsidR="00877395" w:rsidRDefault="00877395" w:rsidP="004F197C"/>
    <w:p w:rsidR="00877395" w:rsidRPr="00C67E2B" w:rsidRDefault="00877395" w:rsidP="004F197C">
      <w:pPr>
        <w:pStyle w:val="ListParagraph"/>
        <w:numPr>
          <w:ilvl w:val="0"/>
          <w:numId w:val="48"/>
        </w:numPr>
        <w:ind w:left="0" w:firstLine="1440"/>
        <w:rPr>
          <w:spacing w:val="-3"/>
        </w:rPr>
      </w:pPr>
      <w:r w:rsidRPr="001C137E">
        <w:t xml:space="preserve">That the Joint Petition for Partial Settlement </w:t>
      </w:r>
      <w:r w:rsidRPr="00C67E2B">
        <w:rPr>
          <w:spacing w:val="-3"/>
        </w:rPr>
        <w:t xml:space="preserve">filed by </w:t>
      </w:r>
      <w:r w:rsidR="00BB6FF4" w:rsidRPr="00C67E2B">
        <w:rPr>
          <w:spacing w:val="-3"/>
        </w:rPr>
        <w:t>the PECO Energy Company</w:t>
      </w:r>
      <w:r w:rsidR="000E2F07" w:rsidRPr="00C67E2B">
        <w:rPr>
          <w:spacing w:val="-3"/>
        </w:rPr>
        <w:t>,</w:t>
      </w:r>
      <w:r w:rsidR="00BB6FF4" w:rsidRPr="00C67E2B">
        <w:rPr>
          <w:spacing w:val="-3"/>
        </w:rPr>
        <w:t xml:space="preserve"> the Office of Consumer Advocate and the Office of Small Business Advocate </w:t>
      </w:r>
      <w:r w:rsidRPr="00C67E2B">
        <w:rPr>
          <w:spacing w:val="-3"/>
        </w:rPr>
        <w:t xml:space="preserve">is </w:t>
      </w:r>
      <w:r w:rsidR="00764333">
        <w:rPr>
          <w:spacing w:val="-3"/>
        </w:rPr>
        <w:t>granted.</w:t>
      </w:r>
    </w:p>
    <w:p w:rsidR="00877395" w:rsidRPr="00877395" w:rsidRDefault="00877395" w:rsidP="004F197C"/>
    <w:p w:rsidR="001D7439" w:rsidRPr="00C67E2B" w:rsidRDefault="00FC35E0" w:rsidP="004F197C">
      <w:pPr>
        <w:pStyle w:val="ListParagraph"/>
        <w:numPr>
          <w:ilvl w:val="0"/>
          <w:numId w:val="48"/>
        </w:numPr>
        <w:ind w:left="0" w:firstLine="1440"/>
        <w:rPr>
          <w:spacing w:val="-3"/>
        </w:rPr>
      </w:pPr>
      <w:r w:rsidRPr="00C67E2B">
        <w:rPr>
          <w:spacing w:val="-3"/>
        </w:rPr>
        <w:t xml:space="preserve">That the Petition for Approval of PECO Energy Company’s Initial Dynamic Pricing and Customer Acceptance Plan is </w:t>
      </w:r>
      <w:r w:rsidR="00764333">
        <w:rPr>
          <w:spacing w:val="-3"/>
        </w:rPr>
        <w:t>granted</w:t>
      </w:r>
      <w:r w:rsidRPr="00C67E2B">
        <w:rPr>
          <w:spacing w:val="-3"/>
        </w:rPr>
        <w:t xml:space="preserve">, as amended by the </w:t>
      </w:r>
      <w:r w:rsidRPr="001C137E">
        <w:t xml:space="preserve">Joint Petition for Partial Settlement </w:t>
      </w:r>
      <w:r w:rsidRPr="00C67E2B">
        <w:rPr>
          <w:spacing w:val="-3"/>
        </w:rPr>
        <w:t>filed by the PECO Energy Company, the Office of Consumer Advocate and the Office of Small Business Advocate</w:t>
      </w:r>
      <w:r w:rsidR="00C40D09" w:rsidRPr="00C67E2B">
        <w:rPr>
          <w:spacing w:val="-3"/>
        </w:rPr>
        <w:t>.</w:t>
      </w:r>
    </w:p>
    <w:p w:rsidR="00C40D09" w:rsidRDefault="00C40D09" w:rsidP="004F197C">
      <w:pPr>
        <w:rPr>
          <w:spacing w:val="-3"/>
        </w:rPr>
      </w:pPr>
    </w:p>
    <w:p w:rsidR="005F0CFF" w:rsidRPr="00C67E2B" w:rsidRDefault="005F0CFF" w:rsidP="004F197C">
      <w:pPr>
        <w:pStyle w:val="ListParagraph"/>
        <w:numPr>
          <w:ilvl w:val="0"/>
          <w:numId w:val="48"/>
        </w:numPr>
        <w:ind w:left="0" w:firstLine="1440"/>
        <w:rPr>
          <w:spacing w:val="-3"/>
        </w:rPr>
      </w:pPr>
      <w:r w:rsidRPr="00C67E2B">
        <w:rPr>
          <w:spacing w:val="-3"/>
        </w:rPr>
        <w:t xml:space="preserve">That upon entry of this Opinion and Order, </w:t>
      </w:r>
      <w:r w:rsidR="00C14C76" w:rsidRPr="00C67E2B">
        <w:rPr>
          <w:spacing w:val="-3"/>
        </w:rPr>
        <w:t xml:space="preserve">PECO Energy Company </w:t>
      </w:r>
      <w:r w:rsidRPr="00C67E2B">
        <w:rPr>
          <w:spacing w:val="-3"/>
        </w:rPr>
        <w:t xml:space="preserve">shall be permitted to file a tariff supplement in substantially the same form as </w:t>
      </w:r>
      <w:r w:rsidR="00E831BD" w:rsidRPr="00C67E2B">
        <w:rPr>
          <w:spacing w:val="-3"/>
        </w:rPr>
        <w:t xml:space="preserve">the tariff supplement </w:t>
      </w:r>
      <w:r w:rsidRPr="00C67E2B">
        <w:rPr>
          <w:spacing w:val="-3"/>
        </w:rPr>
        <w:t xml:space="preserve">attached </w:t>
      </w:r>
      <w:r w:rsidR="00E831BD" w:rsidRPr="00C67E2B">
        <w:rPr>
          <w:spacing w:val="-3"/>
        </w:rPr>
        <w:t xml:space="preserve">as Exhibit 1 </w:t>
      </w:r>
      <w:r w:rsidRPr="00C67E2B">
        <w:rPr>
          <w:spacing w:val="-3"/>
        </w:rPr>
        <w:t xml:space="preserve">to the </w:t>
      </w:r>
      <w:r w:rsidRPr="001C137E">
        <w:t xml:space="preserve">Joint Petition for Partial Settlement </w:t>
      </w:r>
      <w:r w:rsidRPr="00C67E2B">
        <w:rPr>
          <w:spacing w:val="-3"/>
        </w:rPr>
        <w:t>filed by the PECO Energy Company, the Office of Consumer Advocate and the Office of Small Business Advocate</w:t>
      </w:r>
      <w:r w:rsidR="00E831BD" w:rsidRPr="00C67E2B">
        <w:rPr>
          <w:spacing w:val="-3"/>
        </w:rPr>
        <w:t>.</w:t>
      </w:r>
    </w:p>
    <w:p w:rsidR="00DE4E3F" w:rsidRDefault="00DE4E3F" w:rsidP="004F197C">
      <w:pPr>
        <w:rPr>
          <w:spacing w:val="-3"/>
        </w:rPr>
      </w:pPr>
    </w:p>
    <w:p w:rsidR="00F04D84" w:rsidRPr="00C67E2B" w:rsidRDefault="00DE4E3F" w:rsidP="004F197C">
      <w:pPr>
        <w:pStyle w:val="ListParagraph"/>
        <w:numPr>
          <w:ilvl w:val="0"/>
          <w:numId w:val="48"/>
        </w:numPr>
        <w:ind w:left="0" w:firstLine="1440"/>
        <w:rPr>
          <w:spacing w:val="-3"/>
        </w:rPr>
      </w:pPr>
      <w:r w:rsidRPr="00C67E2B">
        <w:rPr>
          <w:spacing w:val="-3"/>
        </w:rPr>
        <w:t>That at least sixty (60) days prior to the effective date</w:t>
      </w:r>
      <w:r w:rsidR="008F22E6">
        <w:rPr>
          <w:spacing w:val="-3"/>
        </w:rPr>
        <w:t>s</w:t>
      </w:r>
      <w:r w:rsidRPr="00C67E2B">
        <w:rPr>
          <w:spacing w:val="-3"/>
        </w:rPr>
        <w:t xml:space="preserve"> of the Critical Peak Price Rider and the Residential Time-of-Use Rider </w:t>
      </w:r>
      <w:r w:rsidR="00F04D84" w:rsidRPr="00C67E2B">
        <w:rPr>
          <w:spacing w:val="-3"/>
        </w:rPr>
        <w:t xml:space="preserve">attached </w:t>
      </w:r>
      <w:r w:rsidR="00E831BD" w:rsidRPr="00C67E2B">
        <w:rPr>
          <w:spacing w:val="-3"/>
        </w:rPr>
        <w:t xml:space="preserve">as Exhibit 1 </w:t>
      </w:r>
      <w:r w:rsidR="00F04D84" w:rsidRPr="00C67E2B">
        <w:rPr>
          <w:spacing w:val="-3"/>
        </w:rPr>
        <w:t xml:space="preserve">to the </w:t>
      </w:r>
      <w:r w:rsidR="00F04D84" w:rsidRPr="001C137E">
        <w:t xml:space="preserve">Joint Petition for Partial Settlement </w:t>
      </w:r>
      <w:r w:rsidR="00F04D84" w:rsidRPr="00C67E2B">
        <w:rPr>
          <w:spacing w:val="-3"/>
        </w:rPr>
        <w:t>filed by the PECO Energy Company, the Office of Consumer Advocate and the Office of Small Business Advocate</w:t>
      </w:r>
      <w:r w:rsidR="00DD0DA5" w:rsidRPr="00C67E2B">
        <w:rPr>
          <w:spacing w:val="-3"/>
        </w:rPr>
        <w:t>;</w:t>
      </w:r>
      <w:r w:rsidR="00E831BD" w:rsidRPr="00C67E2B">
        <w:rPr>
          <w:spacing w:val="-3"/>
        </w:rPr>
        <w:t xml:space="preserve"> </w:t>
      </w:r>
      <w:r w:rsidR="00F04D84" w:rsidRPr="00C67E2B">
        <w:rPr>
          <w:spacing w:val="-3"/>
        </w:rPr>
        <w:t xml:space="preserve">PECO Energy Company </w:t>
      </w:r>
      <w:r w:rsidR="00D647C7" w:rsidRPr="00C67E2B">
        <w:rPr>
          <w:spacing w:val="-3"/>
        </w:rPr>
        <w:t xml:space="preserve">shall file with the Commission </w:t>
      </w:r>
      <w:r w:rsidR="00FD244C" w:rsidRPr="00C67E2B">
        <w:rPr>
          <w:spacing w:val="-3"/>
        </w:rPr>
        <w:t xml:space="preserve">tariffs that contain </w:t>
      </w:r>
      <w:r w:rsidR="00D647C7" w:rsidRPr="00C67E2B">
        <w:rPr>
          <w:spacing w:val="-3"/>
        </w:rPr>
        <w:t xml:space="preserve">the actual rates per kilowatt hour to be charged under those tariffs. </w:t>
      </w:r>
    </w:p>
    <w:p w:rsidR="00DE4E3F" w:rsidRDefault="00DE4E3F" w:rsidP="004F197C">
      <w:pPr>
        <w:rPr>
          <w:spacing w:val="-3"/>
        </w:rPr>
      </w:pPr>
    </w:p>
    <w:p w:rsidR="00C40D09" w:rsidRPr="00C67E2B" w:rsidRDefault="0006066E" w:rsidP="004F197C">
      <w:pPr>
        <w:pStyle w:val="ListParagraph"/>
        <w:numPr>
          <w:ilvl w:val="0"/>
          <w:numId w:val="48"/>
        </w:numPr>
        <w:ind w:left="0" w:firstLine="1440"/>
        <w:rPr>
          <w:spacing w:val="-3"/>
        </w:rPr>
      </w:pPr>
      <w:r w:rsidRPr="00C67E2B">
        <w:rPr>
          <w:spacing w:val="-3"/>
        </w:rPr>
        <w:t xml:space="preserve">That the rates </w:t>
      </w:r>
      <w:r w:rsidR="00FD244C" w:rsidRPr="00C67E2B">
        <w:rPr>
          <w:spacing w:val="-3"/>
        </w:rPr>
        <w:t xml:space="preserve">contained in the tariffs </w:t>
      </w:r>
      <w:r w:rsidRPr="00C67E2B">
        <w:rPr>
          <w:spacing w:val="-3"/>
        </w:rPr>
        <w:t xml:space="preserve">filed pursuant to Ordering Paragraph </w:t>
      </w:r>
      <w:r w:rsidR="001B4790">
        <w:rPr>
          <w:spacing w:val="-3"/>
        </w:rPr>
        <w:t>No. 6</w:t>
      </w:r>
      <w:r w:rsidRPr="00C67E2B">
        <w:rPr>
          <w:spacing w:val="-3"/>
        </w:rPr>
        <w:t xml:space="preserve">, </w:t>
      </w:r>
      <w:r w:rsidRPr="00C67E2B">
        <w:rPr>
          <w:i/>
          <w:spacing w:val="-3"/>
        </w:rPr>
        <w:t>supra</w:t>
      </w:r>
      <w:r w:rsidRPr="00C67E2B">
        <w:rPr>
          <w:spacing w:val="-3"/>
        </w:rPr>
        <w:t xml:space="preserve">, shall be calculated utilizing the methodology set forth in Exhibit 2 </w:t>
      </w:r>
      <w:r w:rsidRPr="00C67E2B">
        <w:rPr>
          <w:spacing w:val="-3"/>
        </w:rPr>
        <w:lastRenderedPageBreak/>
        <w:t xml:space="preserve">to the </w:t>
      </w:r>
      <w:r w:rsidRPr="001C137E">
        <w:t xml:space="preserve">Joint Petition for Partial Settlement </w:t>
      </w:r>
      <w:r w:rsidRPr="00C67E2B">
        <w:rPr>
          <w:spacing w:val="-3"/>
        </w:rPr>
        <w:t>filed by the PECO Energy Company, the Office of Consumer Advocate and the Office of Small Business Advocate</w:t>
      </w:r>
      <w:r w:rsidR="00E831BD" w:rsidRPr="00C67E2B">
        <w:rPr>
          <w:spacing w:val="-3"/>
        </w:rPr>
        <w:t xml:space="preserve">.  </w:t>
      </w:r>
    </w:p>
    <w:p w:rsidR="00F23275" w:rsidRDefault="00F23275" w:rsidP="004F197C">
      <w:pPr>
        <w:rPr>
          <w:spacing w:val="-3"/>
        </w:rPr>
      </w:pPr>
    </w:p>
    <w:p w:rsidR="00F23275" w:rsidRDefault="00F23275" w:rsidP="004F197C">
      <w:pPr>
        <w:pStyle w:val="ListParagraph"/>
        <w:numPr>
          <w:ilvl w:val="0"/>
          <w:numId w:val="48"/>
        </w:numPr>
        <w:ind w:left="0" w:firstLine="1440"/>
      </w:pPr>
      <w:r>
        <w:t xml:space="preserve">That PECO Energy Company </w:t>
      </w:r>
      <w:r w:rsidRPr="006C18D3">
        <w:t xml:space="preserve">shall file detailed calculations with its tariff </w:t>
      </w:r>
      <w:r>
        <w:t xml:space="preserve">filed pursuant to Ordering Paragraph No. </w:t>
      </w:r>
      <w:r w:rsidR="001B4790">
        <w:t>6</w:t>
      </w:r>
      <w:r>
        <w:t xml:space="preserve">, </w:t>
      </w:r>
      <w:r w:rsidRPr="00C67E2B">
        <w:rPr>
          <w:i/>
        </w:rPr>
        <w:t>supra</w:t>
      </w:r>
      <w:r>
        <w:t xml:space="preserve">, </w:t>
      </w:r>
      <w:r w:rsidRPr="006C18D3">
        <w:t xml:space="preserve">which shall demonstrate to this Commission's satisfaction that the filed rates comply with the </w:t>
      </w:r>
      <w:r w:rsidRPr="00C67E2B">
        <w:rPr>
          <w:spacing w:val="-3"/>
        </w:rPr>
        <w:t xml:space="preserve">methodology set forth in Exhibit 2 to the </w:t>
      </w:r>
      <w:r w:rsidRPr="001C137E">
        <w:t xml:space="preserve">Joint Petition for Partial Settlement </w:t>
      </w:r>
      <w:r w:rsidRPr="00C67E2B">
        <w:rPr>
          <w:spacing w:val="-3"/>
        </w:rPr>
        <w:t>filed by the PECO Energy Company, the Office of Consumer Advocate and the Office of Small Business Advocate</w:t>
      </w:r>
      <w:r>
        <w:t>.</w:t>
      </w:r>
    </w:p>
    <w:p w:rsidR="00F23275" w:rsidRDefault="00F23275" w:rsidP="004F197C"/>
    <w:p w:rsidR="00F23275" w:rsidRPr="00C67E2B" w:rsidRDefault="00ED4724" w:rsidP="004F197C">
      <w:pPr>
        <w:pStyle w:val="ListParagraph"/>
        <w:numPr>
          <w:ilvl w:val="0"/>
          <w:numId w:val="48"/>
        </w:numPr>
        <w:ind w:left="0" w:firstLine="1440"/>
        <w:rPr>
          <w:spacing w:val="-3"/>
        </w:rPr>
      </w:pPr>
      <w:r>
        <w:t xml:space="preserve">That any directive, requirement, disposition or the like contained in the body of this Opinion and Order that is not subject to an individual Ordering paragraph, shall have the full force and effect as if fully contained in this part. </w:t>
      </w:r>
    </w:p>
    <w:p w:rsidR="005576D7" w:rsidRPr="00B2003C" w:rsidRDefault="005576D7" w:rsidP="004F197C">
      <w:pPr>
        <w:pStyle w:val="ListParagraph"/>
        <w:ind w:left="0" w:firstLine="0"/>
        <w:rPr>
          <w:spacing w:val="-3"/>
        </w:rPr>
      </w:pPr>
    </w:p>
    <w:p w:rsidR="00750BC4" w:rsidRDefault="003B180D" w:rsidP="004F197C">
      <w:r>
        <w:rPr>
          <w:noProof/>
        </w:rPr>
        <w:drawing>
          <wp:anchor distT="0" distB="0" distL="114300" distR="114300" simplePos="0" relativeHeight="251658240" behindDoc="1" locked="0" layoutInCell="1" allowOverlap="1">
            <wp:simplePos x="0" y="0"/>
            <wp:positionH relativeFrom="column">
              <wp:posOffset>2905125</wp:posOffset>
            </wp:positionH>
            <wp:positionV relativeFrom="paragraph">
              <wp:posOffset>250825</wp:posOffset>
            </wp:positionV>
            <wp:extent cx="2200275" cy="838200"/>
            <wp:effectExtent l="1905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B029C" w:rsidRPr="00556738" w:rsidRDefault="003B029C" w:rsidP="00CF5BB1">
      <w:pPr>
        <w:ind w:left="5040" w:firstLine="0"/>
        <w:rPr>
          <w:color w:val="000000"/>
        </w:rPr>
      </w:pPr>
      <w:r w:rsidRPr="00556738">
        <w:rPr>
          <w:b/>
          <w:color w:val="000000"/>
        </w:rPr>
        <w:t>BY THE COMMISSION</w:t>
      </w:r>
      <w:r w:rsidRPr="00556738">
        <w:rPr>
          <w:color w:val="000000"/>
        </w:rPr>
        <w:t>,</w:t>
      </w:r>
    </w:p>
    <w:p w:rsidR="003B029C" w:rsidRPr="00556738" w:rsidRDefault="003B029C" w:rsidP="00CF5BB1">
      <w:pPr>
        <w:ind w:left="5040"/>
        <w:rPr>
          <w:color w:val="000000"/>
        </w:rPr>
      </w:pPr>
    </w:p>
    <w:p w:rsidR="003B029C" w:rsidRPr="00556738" w:rsidRDefault="003B029C" w:rsidP="00CF5BB1">
      <w:pPr>
        <w:ind w:left="5040"/>
        <w:rPr>
          <w:color w:val="000000"/>
        </w:rPr>
      </w:pPr>
    </w:p>
    <w:p w:rsidR="003B029C" w:rsidRPr="00556738" w:rsidRDefault="003B029C" w:rsidP="00CF5BB1">
      <w:pPr>
        <w:spacing w:line="240" w:lineRule="auto"/>
        <w:ind w:left="5040" w:firstLine="0"/>
        <w:rPr>
          <w:color w:val="000000"/>
        </w:rPr>
      </w:pPr>
      <w:r>
        <w:rPr>
          <w:color w:val="000000"/>
        </w:rPr>
        <w:t>Rosemary Chiavetta</w:t>
      </w:r>
    </w:p>
    <w:p w:rsidR="003B029C" w:rsidRPr="00556738" w:rsidRDefault="003B029C" w:rsidP="00CF5BB1">
      <w:pPr>
        <w:ind w:left="5040" w:firstLine="0"/>
        <w:rPr>
          <w:color w:val="000000"/>
        </w:rPr>
      </w:pPr>
      <w:r w:rsidRPr="00556738">
        <w:rPr>
          <w:color w:val="000000"/>
        </w:rPr>
        <w:t>Secretary</w:t>
      </w:r>
    </w:p>
    <w:p w:rsidR="003B029C" w:rsidRDefault="003B029C" w:rsidP="003B029C">
      <w:pPr>
        <w:ind w:firstLine="0"/>
        <w:rPr>
          <w:color w:val="000000"/>
        </w:rPr>
      </w:pPr>
    </w:p>
    <w:p w:rsidR="003B029C" w:rsidRPr="00556738" w:rsidRDefault="003B029C" w:rsidP="003B029C">
      <w:pPr>
        <w:ind w:firstLine="0"/>
        <w:rPr>
          <w:color w:val="000000"/>
        </w:rPr>
      </w:pPr>
      <w:r w:rsidRPr="00556738">
        <w:rPr>
          <w:color w:val="000000"/>
        </w:rPr>
        <w:t>(SEAL)</w:t>
      </w:r>
    </w:p>
    <w:p w:rsidR="003B029C" w:rsidRPr="00556738" w:rsidRDefault="003B029C" w:rsidP="003B029C">
      <w:pPr>
        <w:ind w:firstLine="0"/>
        <w:rPr>
          <w:color w:val="000000"/>
        </w:rPr>
      </w:pPr>
      <w:r>
        <w:rPr>
          <w:color w:val="000000"/>
        </w:rPr>
        <w:t xml:space="preserve">ORDER ADOPTED:  </w:t>
      </w:r>
      <w:r w:rsidR="00AE2234">
        <w:rPr>
          <w:color w:val="000000"/>
        </w:rPr>
        <w:t>April 14,</w:t>
      </w:r>
      <w:r>
        <w:rPr>
          <w:color w:val="000000"/>
        </w:rPr>
        <w:t xml:space="preserve"> 2011</w:t>
      </w:r>
    </w:p>
    <w:p w:rsidR="003B029C" w:rsidRPr="001E4143" w:rsidRDefault="003B029C" w:rsidP="003B029C">
      <w:pPr>
        <w:ind w:firstLine="0"/>
      </w:pPr>
      <w:r>
        <w:rPr>
          <w:color w:val="000000"/>
        </w:rPr>
        <w:t xml:space="preserve">ORDER ENTERED: </w:t>
      </w:r>
      <w:r w:rsidR="003B180D">
        <w:rPr>
          <w:color w:val="000000"/>
        </w:rPr>
        <w:t>April 15, 2011</w:t>
      </w:r>
    </w:p>
    <w:p w:rsidR="003B029C" w:rsidRPr="00750BC4" w:rsidRDefault="003B029C" w:rsidP="00750BC4"/>
    <w:sectPr w:rsidR="003B029C" w:rsidRPr="00750BC4" w:rsidSect="005431FA">
      <w:footerReference w:type="default" r:id="rId9"/>
      <w:type w:val="continuous"/>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8E2" w:rsidRDefault="00DD38E2" w:rsidP="00865951">
      <w:pPr>
        <w:spacing w:line="240" w:lineRule="auto"/>
      </w:pPr>
      <w:r>
        <w:separator/>
      </w:r>
    </w:p>
  </w:endnote>
  <w:endnote w:type="continuationSeparator" w:id="0">
    <w:p w:rsidR="00DD38E2" w:rsidRDefault="00DD38E2" w:rsidP="008659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1)">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77612"/>
      <w:docPartObj>
        <w:docPartGallery w:val="Page Numbers (Bottom of Page)"/>
        <w:docPartUnique/>
      </w:docPartObj>
    </w:sdtPr>
    <w:sdtContent>
      <w:p w:rsidR="002C6C18" w:rsidRDefault="00EE0503" w:rsidP="005431FA">
        <w:pPr>
          <w:pStyle w:val="Footer"/>
          <w:ind w:firstLine="0"/>
          <w:jc w:val="center"/>
        </w:pPr>
        <w:fldSimple w:instr=" PAGE   \* MERGEFORMAT ">
          <w:r w:rsidR="003B180D">
            <w:rPr>
              <w:noProof/>
            </w:rPr>
            <w:t>24</w:t>
          </w:r>
        </w:fldSimple>
      </w:p>
    </w:sdtContent>
  </w:sdt>
  <w:p w:rsidR="002C6C18" w:rsidRDefault="002C6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8E2" w:rsidRDefault="00DD38E2" w:rsidP="00865951">
      <w:pPr>
        <w:spacing w:line="240" w:lineRule="auto"/>
      </w:pPr>
      <w:r>
        <w:separator/>
      </w:r>
    </w:p>
  </w:footnote>
  <w:footnote w:type="continuationSeparator" w:id="0">
    <w:p w:rsidR="00DD38E2" w:rsidRDefault="00DD38E2" w:rsidP="00865951">
      <w:pPr>
        <w:spacing w:line="240" w:lineRule="auto"/>
      </w:pPr>
      <w:r>
        <w:continuationSeparator/>
      </w:r>
    </w:p>
  </w:footnote>
  <w:footnote w:id="1">
    <w:p w:rsidR="002C6C18" w:rsidRPr="00A81413" w:rsidRDefault="002C6C18" w:rsidP="008F6B6B">
      <w:pPr>
        <w:pStyle w:val="FootnoteText"/>
        <w:ind w:firstLine="720"/>
        <w:rPr>
          <w:sz w:val="26"/>
          <w:szCs w:val="26"/>
        </w:rPr>
      </w:pPr>
      <w:r w:rsidRPr="00B83353">
        <w:rPr>
          <w:sz w:val="26"/>
          <w:szCs w:val="26"/>
          <w:vertAlign w:val="superscript"/>
        </w:rPr>
        <w:footnoteRef/>
      </w:r>
      <w:r w:rsidRPr="00B83353">
        <w:rPr>
          <w:sz w:val="26"/>
          <w:szCs w:val="26"/>
          <w:vertAlign w:val="superscript"/>
        </w:rPr>
        <w:t xml:space="preserve"> </w:t>
      </w:r>
      <w:r>
        <w:rPr>
          <w:sz w:val="26"/>
          <w:szCs w:val="26"/>
        </w:rPr>
        <w:tab/>
      </w:r>
      <w:r w:rsidRPr="00A81413">
        <w:rPr>
          <w:sz w:val="26"/>
          <w:szCs w:val="26"/>
        </w:rPr>
        <w:t xml:space="preserve">PECO’s generation rate caps expired on December 31, 2010. </w:t>
      </w:r>
    </w:p>
  </w:footnote>
  <w:footnote w:id="2">
    <w:p w:rsidR="002C6C18" w:rsidRPr="009918B1" w:rsidRDefault="002C6C18" w:rsidP="008F6B6B">
      <w:pPr>
        <w:pStyle w:val="FootnoteText"/>
        <w:ind w:firstLine="720"/>
        <w:rPr>
          <w:sz w:val="26"/>
          <w:szCs w:val="26"/>
        </w:rPr>
      </w:pPr>
      <w:r w:rsidRPr="00E96213">
        <w:rPr>
          <w:rStyle w:val="FootnoteReference"/>
          <w:sz w:val="26"/>
          <w:szCs w:val="26"/>
        </w:rPr>
        <w:footnoteRef/>
      </w:r>
      <w:r w:rsidRPr="00E96213">
        <w:rPr>
          <w:sz w:val="26"/>
          <w:szCs w:val="26"/>
        </w:rPr>
        <w:t xml:space="preserve"> </w:t>
      </w:r>
      <w:r>
        <w:tab/>
      </w:r>
      <w:r w:rsidR="00E61D9D" w:rsidRPr="009918B1">
        <w:rPr>
          <w:i/>
          <w:sz w:val="26"/>
          <w:szCs w:val="26"/>
        </w:rPr>
        <w:t>Smart Meter Procurement and Installation</w:t>
      </w:r>
      <w:r w:rsidR="00E61D9D">
        <w:rPr>
          <w:sz w:val="26"/>
          <w:szCs w:val="26"/>
        </w:rPr>
        <w:t xml:space="preserve">, </w:t>
      </w:r>
      <w:r w:rsidR="00E61D9D" w:rsidRPr="009918B1">
        <w:rPr>
          <w:sz w:val="26"/>
          <w:szCs w:val="26"/>
        </w:rPr>
        <w:t>Docket No. M-2009-2092655</w:t>
      </w:r>
      <w:r w:rsidR="00E61D9D">
        <w:rPr>
          <w:sz w:val="26"/>
          <w:szCs w:val="26"/>
        </w:rPr>
        <w:t xml:space="preserve"> </w:t>
      </w:r>
      <w:r w:rsidRPr="009918B1">
        <w:rPr>
          <w:sz w:val="26"/>
          <w:szCs w:val="26"/>
        </w:rPr>
        <w:t xml:space="preserve"> </w:t>
      </w:r>
      <w:r w:rsidR="00E61D9D">
        <w:rPr>
          <w:sz w:val="26"/>
          <w:szCs w:val="26"/>
        </w:rPr>
        <w:t>(</w:t>
      </w:r>
      <w:r w:rsidRPr="009918B1">
        <w:rPr>
          <w:sz w:val="26"/>
          <w:szCs w:val="26"/>
        </w:rPr>
        <w:t>Order entered June 24, 2009</w:t>
      </w:r>
      <w:r w:rsidR="00E61D9D">
        <w:rPr>
          <w:sz w:val="26"/>
          <w:szCs w:val="26"/>
        </w:rPr>
        <w:t>)</w:t>
      </w:r>
      <w:r w:rsidRPr="009918B1">
        <w:rPr>
          <w:sz w:val="26"/>
          <w:szCs w:val="26"/>
        </w:rPr>
        <w:t xml:space="preserve">. </w:t>
      </w:r>
    </w:p>
  </w:footnote>
  <w:footnote w:id="3">
    <w:p w:rsidR="002C6C18" w:rsidRPr="000569E1" w:rsidRDefault="002C6C18" w:rsidP="008F6B6B">
      <w:pPr>
        <w:pStyle w:val="FootnoteText"/>
        <w:ind w:firstLine="720"/>
        <w:rPr>
          <w:sz w:val="26"/>
          <w:szCs w:val="26"/>
        </w:rPr>
      </w:pPr>
      <w:r w:rsidRPr="00B83353">
        <w:rPr>
          <w:rStyle w:val="FootnoteReference"/>
          <w:sz w:val="26"/>
          <w:szCs w:val="26"/>
        </w:rPr>
        <w:footnoteRef/>
      </w:r>
      <w:r>
        <w:tab/>
      </w:r>
      <w:r w:rsidR="00E61D9D" w:rsidRPr="000569E1">
        <w:rPr>
          <w:i/>
          <w:sz w:val="26"/>
          <w:szCs w:val="26"/>
        </w:rPr>
        <w:t>Petition of PECO Energy Company for Approval of its Smart Meter Technology and Procurement Plan</w:t>
      </w:r>
      <w:r w:rsidR="00E61D9D">
        <w:rPr>
          <w:i/>
          <w:sz w:val="26"/>
          <w:szCs w:val="26"/>
        </w:rPr>
        <w:t>,</w:t>
      </w:r>
      <w:r w:rsidR="00E61D9D" w:rsidRPr="000569E1">
        <w:rPr>
          <w:sz w:val="26"/>
          <w:szCs w:val="26"/>
        </w:rPr>
        <w:t xml:space="preserve"> </w:t>
      </w:r>
      <w:r w:rsidRPr="000569E1">
        <w:rPr>
          <w:sz w:val="26"/>
          <w:szCs w:val="26"/>
        </w:rPr>
        <w:t>Docket No. M-2009-2123944</w:t>
      </w:r>
      <w:r w:rsidR="00E61D9D">
        <w:rPr>
          <w:sz w:val="26"/>
          <w:szCs w:val="26"/>
        </w:rPr>
        <w:t xml:space="preserve"> (</w:t>
      </w:r>
      <w:r w:rsidR="00E61D9D" w:rsidRPr="000569E1">
        <w:rPr>
          <w:sz w:val="26"/>
          <w:szCs w:val="26"/>
        </w:rPr>
        <w:t>Order entered May 6, 2010</w:t>
      </w:r>
      <w:r w:rsidR="00E61D9D">
        <w:rPr>
          <w:sz w:val="26"/>
          <w:szCs w:val="26"/>
        </w:rPr>
        <w:t>)</w:t>
      </w:r>
      <w:r w:rsidRPr="000569E1">
        <w:rPr>
          <w:sz w:val="26"/>
          <w:szCs w:val="26"/>
        </w:rPr>
        <w:t>.</w:t>
      </w:r>
    </w:p>
  </w:footnote>
  <w:footnote w:id="4">
    <w:p w:rsidR="002C6C18" w:rsidRPr="00594D45" w:rsidRDefault="002C6C18" w:rsidP="00594D45">
      <w:pPr>
        <w:pStyle w:val="FootnoteText"/>
        <w:ind w:firstLine="720"/>
        <w:rPr>
          <w:sz w:val="26"/>
          <w:szCs w:val="26"/>
        </w:rPr>
      </w:pPr>
      <w:r w:rsidRPr="00594D45">
        <w:rPr>
          <w:rStyle w:val="FootnoteReference"/>
          <w:rFonts w:eastAsiaTheme="majorEastAsia"/>
          <w:sz w:val="26"/>
          <w:szCs w:val="26"/>
        </w:rPr>
        <w:footnoteRef/>
      </w:r>
      <w:r w:rsidRPr="00594D45">
        <w:rPr>
          <w:sz w:val="26"/>
          <w:szCs w:val="26"/>
        </w:rPr>
        <w:t xml:space="preserve"> </w:t>
      </w:r>
      <w:r w:rsidRPr="00594D45">
        <w:rPr>
          <w:sz w:val="26"/>
          <w:szCs w:val="26"/>
        </w:rPr>
        <w:tab/>
        <w:t xml:space="preserve">For the purpose of this proceeding, the members of PAIEUG, listed on Appendix A to its Petition to Intervene are Air Liquide Industrial U.S., LP, the Boeing Company, Building Owners &amp; Managers Association of Philadelphia, Drexel University, Franklin Mills Associates Limited Partnership,  GlaxoSmithKline, Jefferson Health System, Kimberly-Clark Corporation, Merck &amp; Co., Inc., Sanofi-Aventis, Saint Joseph’s University, Temple University and Villanova University.  </w:t>
      </w:r>
    </w:p>
  </w:footnote>
  <w:footnote w:id="5">
    <w:p w:rsidR="002C6C18" w:rsidRPr="002E19E8" w:rsidRDefault="002C6C18" w:rsidP="00C93B77">
      <w:pPr>
        <w:pStyle w:val="FootnoteText"/>
        <w:ind w:firstLine="720"/>
        <w:rPr>
          <w:sz w:val="26"/>
          <w:szCs w:val="26"/>
        </w:rPr>
      </w:pPr>
      <w:r w:rsidRPr="00B31845">
        <w:rPr>
          <w:rStyle w:val="FootnoteReference"/>
          <w:sz w:val="26"/>
          <w:szCs w:val="26"/>
        </w:rPr>
        <w:footnoteRef/>
      </w:r>
      <w:r w:rsidRPr="00B31845">
        <w:rPr>
          <w:sz w:val="26"/>
          <w:szCs w:val="26"/>
        </w:rPr>
        <w:t xml:space="preserve"> </w:t>
      </w:r>
      <w:r>
        <w:tab/>
      </w:r>
      <w:r w:rsidRPr="00C93B77">
        <w:rPr>
          <w:i/>
          <w:sz w:val="26"/>
          <w:szCs w:val="26"/>
        </w:rPr>
        <w:t>Pa. PUC. v. PPL Electric Utilities Corporation</w:t>
      </w:r>
      <w:r>
        <w:rPr>
          <w:sz w:val="26"/>
          <w:szCs w:val="26"/>
        </w:rPr>
        <w:t xml:space="preserve">, </w:t>
      </w:r>
      <w:r w:rsidRPr="002E19E8">
        <w:rPr>
          <w:sz w:val="26"/>
          <w:szCs w:val="26"/>
        </w:rPr>
        <w:t xml:space="preserve">Docket No. </w:t>
      </w:r>
      <w:r w:rsidR="006600C0">
        <w:rPr>
          <w:sz w:val="26"/>
          <w:szCs w:val="26"/>
        </w:rPr>
        <w:br/>
      </w:r>
      <w:r w:rsidRPr="002E19E8">
        <w:rPr>
          <w:sz w:val="26"/>
          <w:szCs w:val="26"/>
        </w:rPr>
        <w:t>R-2009-2122718 (Order entered March 9, 2010)</w:t>
      </w:r>
      <w:r>
        <w:rPr>
          <w:sz w:val="26"/>
          <w:szCs w:val="26"/>
        </w:rPr>
        <w:t xml:space="preserve">, </w:t>
      </w:r>
      <w:r w:rsidRPr="002E19E8">
        <w:rPr>
          <w:i/>
          <w:sz w:val="26"/>
          <w:szCs w:val="26"/>
        </w:rPr>
        <w:t>Petition of</w:t>
      </w:r>
      <w:r w:rsidRPr="002E19E8">
        <w:rPr>
          <w:sz w:val="26"/>
          <w:szCs w:val="26"/>
        </w:rPr>
        <w:t xml:space="preserve"> </w:t>
      </w:r>
      <w:r w:rsidRPr="002E19E8">
        <w:rPr>
          <w:i/>
          <w:sz w:val="26"/>
          <w:szCs w:val="26"/>
        </w:rPr>
        <w:t>Duquesne Light Co. for Approval of a Time-of-Use Plan</w:t>
      </w:r>
      <w:r w:rsidRPr="002E19E8">
        <w:rPr>
          <w:sz w:val="26"/>
          <w:szCs w:val="26"/>
        </w:rPr>
        <w:t xml:space="preserve">, Docket No. P-2009-2149807 </w:t>
      </w:r>
      <w:r>
        <w:rPr>
          <w:sz w:val="26"/>
          <w:szCs w:val="26"/>
        </w:rPr>
        <w:t>(</w:t>
      </w:r>
      <w:r w:rsidRPr="002E19E8">
        <w:rPr>
          <w:sz w:val="26"/>
          <w:szCs w:val="26"/>
        </w:rPr>
        <w:t>Order entered June 23, 2010</w:t>
      </w:r>
      <w:r>
        <w:rPr>
          <w:sz w:val="26"/>
          <w:szCs w:val="26"/>
        </w:rPr>
        <w:t>);</w:t>
      </w:r>
      <w:r w:rsidRPr="002E19E8">
        <w:rPr>
          <w:sz w:val="26"/>
          <w:szCs w:val="26"/>
        </w:rPr>
        <w:t xml:space="preserve"> </w:t>
      </w:r>
      <w:r>
        <w:rPr>
          <w:sz w:val="26"/>
          <w:szCs w:val="26"/>
        </w:rPr>
        <w:t xml:space="preserve"> </w:t>
      </w:r>
      <w:r w:rsidRPr="00BB7502">
        <w:rPr>
          <w:i/>
          <w:sz w:val="26"/>
          <w:szCs w:val="26"/>
        </w:rPr>
        <w:t>Petition of PECO Energy Company for Approval of its Act 129 Energy Efficiency and Conservation Plan and Expedited Approval of Compact Fluorescent Lamp Program</w:t>
      </w:r>
      <w:r>
        <w:rPr>
          <w:sz w:val="26"/>
          <w:szCs w:val="26"/>
        </w:rPr>
        <w:t>, Docket No. M-2009-2093215 (Ord</w:t>
      </w:r>
      <w:r w:rsidR="000456CF">
        <w:rPr>
          <w:sz w:val="26"/>
          <w:szCs w:val="26"/>
        </w:rPr>
        <w:t>er entered February 17,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C66"/>
    <w:multiLevelType w:val="hybridMultilevel"/>
    <w:tmpl w:val="DEC6DE1A"/>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201EC"/>
    <w:multiLevelType w:val="hybridMultilevel"/>
    <w:tmpl w:val="CAA6C9CA"/>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8461B2C"/>
    <w:multiLevelType w:val="hybridMultilevel"/>
    <w:tmpl w:val="2E62E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E6016"/>
    <w:multiLevelType w:val="hybridMultilevel"/>
    <w:tmpl w:val="E092E4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83070"/>
    <w:multiLevelType w:val="hybridMultilevel"/>
    <w:tmpl w:val="0BDEB888"/>
    <w:lvl w:ilvl="0" w:tplc="5B540CC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970CE"/>
    <w:multiLevelType w:val="hybridMultilevel"/>
    <w:tmpl w:val="D33C4232"/>
    <w:lvl w:ilvl="0" w:tplc="BE80E9C4">
      <w:start w:val="1"/>
      <w:numFmt w:val="lowerLetter"/>
      <w:lvlText w:val="(%1)"/>
      <w:lvlJc w:val="left"/>
      <w:pPr>
        <w:ind w:left="2880" w:hanging="360"/>
      </w:pPr>
      <w:rPr>
        <w:rFonts w:hint="default"/>
        <w:sz w:val="2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0DD2695D"/>
    <w:multiLevelType w:val="hybridMultilevel"/>
    <w:tmpl w:val="C262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B6341"/>
    <w:multiLevelType w:val="hybridMultilevel"/>
    <w:tmpl w:val="F4C6DA00"/>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AA32758"/>
    <w:multiLevelType w:val="hybridMultilevel"/>
    <w:tmpl w:val="0D26E492"/>
    <w:lvl w:ilvl="0" w:tplc="0409000F">
      <w:start w:val="1"/>
      <w:numFmt w:val="decimal"/>
      <w:lvlText w:val="%1."/>
      <w:lvlJc w:val="left"/>
      <w:pPr>
        <w:ind w:left="360" w:hanging="360"/>
      </w:pPr>
      <w:rPr>
        <w:rFonts w:hint="default"/>
        <w:sz w:val="2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BAA0646"/>
    <w:multiLevelType w:val="hybridMultilevel"/>
    <w:tmpl w:val="D730F490"/>
    <w:lvl w:ilvl="0" w:tplc="0409000F">
      <w:start w:val="1"/>
      <w:numFmt w:val="decimal"/>
      <w:lvlText w:val="%1."/>
      <w:lvlJc w:val="left"/>
      <w:pPr>
        <w:ind w:left="2160" w:hanging="360"/>
      </w:pPr>
      <w:rPr>
        <w:rFonts w:hint="default"/>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8A208E0"/>
    <w:multiLevelType w:val="hybridMultilevel"/>
    <w:tmpl w:val="57C49164"/>
    <w:lvl w:ilvl="0" w:tplc="53E86940">
      <w:start w:val="1"/>
      <w:numFmt w:val="decimal"/>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9450351"/>
    <w:multiLevelType w:val="hybridMultilevel"/>
    <w:tmpl w:val="609A808C"/>
    <w:lvl w:ilvl="0" w:tplc="53E86940">
      <w:start w:val="1"/>
      <w:numFmt w:val="decimal"/>
      <w:lvlText w:val="%1."/>
      <w:lvlJc w:val="right"/>
      <w:pPr>
        <w:ind w:left="2160" w:hanging="360"/>
      </w:pPr>
      <w:rPr>
        <w:rFonts w:hint="default"/>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B7D1BEB"/>
    <w:multiLevelType w:val="hybridMultilevel"/>
    <w:tmpl w:val="E536F4E0"/>
    <w:lvl w:ilvl="0" w:tplc="53E86940">
      <w:start w:val="1"/>
      <w:numFmt w:val="decimal"/>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FDF2F87"/>
    <w:multiLevelType w:val="hybridMultilevel"/>
    <w:tmpl w:val="3B14EBA4"/>
    <w:lvl w:ilvl="0" w:tplc="47AE5DF2">
      <w:start w:val="1"/>
      <w:numFmt w:val="lowerRoman"/>
      <w:pStyle w:val="Heading5"/>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7E347D1"/>
    <w:multiLevelType w:val="hybridMultilevel"/>
    <w:tmpl w:val="C68C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AC4A08"/>
    <w:multiLevelType w:val="hybridMultilevel"/>
    <w:tmpl w:val="C81C813E"/>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A2556A0"/>
    <w:multiLevelType w:val="hybridMultilevel"/>
    <w:tmpl w:val="F03CEC74"/>
    <w:lvl w:ilvl="0" w:tplc="882A4FBC">
      <w:start w:val="1"/>
      <w:numFmt w:val="decimal"/>
      <w:lvlText w:val="%1."/>
      <w:lvlJc w:val="right"/>
      <w:pPr>
        <w:ind w:left="2160" w:hanging="360"/>
      </w:pPr>
      <w:rPr>
        <w:rFonts w:hint="default"/>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A66081B"/>
    <w:multiLevelType w:val="hybridMultilevel"/>
    <w:tmpl w:val="098804CC"/>
    <w:lvl w:ilvl="0" w:tplc="1176560E">
      <w:start w:val="1"/>
      <w:numFmt w:val="lowerLetter"/>
      <w:pStyle w:val="Heading4"/>
      <w:lvlText w:val="%1."/>
      <w:lvlJc w:val="right"/>
      <w:pPr>
        <w:ind w:left="2880" w:hanging="360"/>
      </w:pPr>
      <w:rPr>
        <w:rFonts w:hint="default"/>
        <w:sz w:val="2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3B142548"/>
    <w:multiLevelType w:val="hybridMultilevel"/>
    <w:tmpl w:val="F8EAE0C8"/>
    <w:lvl w:ilvl="0" w:tplc="089A50EC">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E993AA1"/>
    <w:multiLevelType w:val="hybridMultilevel"/>
    <w:tmpl w:val="CA7449C8"/>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654FA2"/>
    <w:multiLevelType w:val="hybridMultilevel"/>
    <w:tmpl w:val="21F41126"/>
    <w:lvl w:ilvl="0" w:tplc="863AD6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32A9F"/>
    <w:multiLevelType w:val="hybridMultilevel"/>
    <w:tmpl w:val="859652F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41FB71AB"/>
    <w:multiLevelType w:val="hybridMultilevel"/>
    <w:tmpl w:val="DBF03A48"/>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D87376"/>
    <w:multiLevelType w:val="hybridMultilevel"/>
    <w:tmpl w:val="7C066586"/>
    <w:lvl w:ilvl="0" w:tplc="9AA40FA6">
      <w:start w:val="3"/>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5C60E9"/>
    <w:multiLevelType w:val="hybridMultilevel"/>
    <w:tmpl w:val="21867FEA"/>
    <w:lvl w:ilvl="0" w:tplc="EFC6194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27E66F4"/>
    <w:multiLevelType w:val="hybridMultilevel"/>
    <w:tmpl w:val="E500D03C"/>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73116A"/>
    <w:multiLevelType w:val="hybridMultilevel"/>
    <w:tmpl w:val="6498877C"/>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A7C7ECB"/>
    <w:multiLevelType w:val="hybridMultilevel"/>
    <w:tmpl w:val="1FF680F0"/>
    <w:lvl w:ilvl="0" w:tplc="F29E16B0">
      <w:start w:val="6"/>
      <w:numFmt w:val="decimal"/>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D432F8"/>
    <w:multiLevelType w:val="hybridMultilevel"/>
    <w:tmpl w:val="2B6A0FB8"/>
    <w:lvl w:ilvl="0" w:tplc="097AE848">
      <w:start w:val="1"/>
      <w:numFmt w:val="decimal"/>
      <w:lvlText w:val="%1."/>
      <w:lvlJc w:val="right"/>
      <w:pPr>
        <w:ind w:left="2160" w:hanging="360"/>
      </w:pPr>
      <w:rPr>
        <w:rFonts w:hint="default"/>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64F31185"/>
    <w:multiLevelType w:val="hybridMultilevel"/>
    <w:tmpl w:val="B1246554"/>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7045822"/>
    <w:multiLevelType w:val="hybridMultilevel"/>
    <w:tmpl w:val="AFCEE9A6"/>
    <w:lvl w:ilvl="0" w:tplc="CA84CF9E">
      <w:start w:val="1"/>
      <w:numFmt w:val="lowerLetter"/>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67876A66"/>
    <w:multiLevelType w:val="hybridMultilevel"/>
    <w:tmpl w:val="D0BA0B68"/>
    <w:lvl w:ilvl="0" w:tplc="9ABCBA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B93ADE"/>
    <w:multiLevelType w:val="hybridMultilevel"/>
    <w:tmpl w:val="DC1EE9CA"/>
    <w:lvl w:ilvl="0" w:tplc="3B6ACD6A">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79E48D0"/>
    <w:multiLevelType w:val="hybridMultilevel"/>
    <w:tmpl w:val="82463CE6"/>
    <w:lvl w:ilvl="0" w:tplc="6A1647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ADE6890"/>
    <w:multiLevelType w:val="hybridMultilevel"/>
    <w:tmpl w:val="609A808C"/>
    <w:lvl w:ilvl="0" w:tplc="53E86940">
      <w:start w:val="1"/>
      <w:numFmt w:val="decimal"/>
      <w:pStyle w:val="Heading3"/>
      <w:lvlText w:val="%1."/>
      <w:lvlJc w:val="right"/>
      <w:pPr>
        <w:ind w:left="5580" w:hanging="360"/>
      </w:pPr>
      <w:rPr>
        <w:rFonts w:hint="default"/>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BEF61BB"/>
    <w:multiLevelType w:val="hybridMultilevel"/>
    <w:tmpl w:val="9B545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363B4A"/>
    <w:multiLevelType w:val="hybridMultilevel"/>
    <w:tmpl w:val="6716474A"/>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35"/>
  </w:num>
  <w:num w:numId="4">
    <w:abstractNumId w:val="32"/>
  </w:num>
  <w:num w:numId="5">
    <w:abstractNumId w:val="17"/>
  </w:num>
  <w:num w:numId="6">
    <w:abstractNumId w:val="13"/>
  </w:num>
  <w:num w:numId="7">
    <w:abstractNumId w:val="21"/>
  </w:num>
  <w:num w:numId="8">
    <w:abstractNumId w:val="3"/>
  </w:num>
  <w:num w:numId="9">
    <w:abstractNumId w:val="5"/>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22"/>
  </w:num>
  <w:num w:numId="17">
    <w:abstractNumId w:val="25"/>
  </w:num>
  <w:num w:numId="18">
    <w:abstractNumId w:val="20"/>
  </w:num>
  <w:num w:numId="19">
    <w:abstractNumId w:val="26"/>
  </w:num>
  <w:num w:numId="20">
    <w:abstractNumId w:val="7"/>
  </w:num>
  <w:num w:numId="21">
    <w:abstractNumId w:val="15"/>
  </w:num>
  <w:num w:numId="22">
    <w:abstractNumId w:val="29"/>
  </w:num>
  <w:num w:numId="23">
    <w:abstractNumId w:val="10"/>
  </w:num>
  <w:num w:numId="24">
    <w:abstractNumId w:val="23"/>
  </w:num>
  <w:num w:numId="25">
    <w:abstractNumId w:val="1"/>
  </w:num>
  <w:num w:numId="26">
    <w:abstractNumId w:val="17"/>
    <w:lvlOverride w:ilvl="0">
      <w:startOverride w:val="1"/>
    </w:lvlOverride>
  </w:num>
  <w:num w:numId="27">
    <w:abstractNumId w:val="17"/>
    <w:lvlOverride w:ilvl="0">
      <w:startOverride w:val="1"/>
    </w:lvlOverride>
  </w:num>
  <w:num w:numId="28">
    <w:abstractNumId w:val="8"/>
  </w:num>
  <w:num w:numId="29">
    <w:abstractNumId w:val="30"/>
  </w:num>
  <w:num w:numId="30">
    <w:abstractNumId w:val="27"/>
  </w:num>
  <w:num w:numId="31">
    <w:abstractNumId w:val="28"/>
  </w:num>
  <w:num w:numId="32">
    <w:abstractNumId w:val="9"/>
  </w:num>
  <w:num w:numId="33">
    <w:abstractNumId w:val="16"/>
  </w:num>
  <w:num w:numId="34">
    <w:abstractNumId w:val="34"/>
  </w:num>
  <w:num w:numId="35">
    <w:abstractNumId w:val="34"/>
    <w:lvlOverride w:ilvl="0">
      <w:startOverride w:val="1"/>
    </w:lvlOverride>
  </w:num>
  <w:num w:numId="36">
    <w:abstractNumId w:val="12"/>
  </w:num>
  <w:num w:numId="37">
    <w:abstractNumId w:val="11"/>
  </w:num>
  <w:num w:numId="38">
    <w:abstractNumId w:val="34"/>
  </w:num>
  <w:num w:numId="39">
    <w:abstractNumId w:val="24"/>
  </w:num>
  <w:num w:numId="40">
    <w:abstractNumId w:val="33"/>
  </w:num>
  <w:num w:numId="41">
    <w:abstractNumId w:val="24"/>
    <w:lvlOverride w:ilvl="0">
      <w:lvl w:ilvl="0" w:tplc="EFC6194E">
        <w:start w:val="1"/>
        <w:numFmt w:val="lowerLetter"/>
        <w:lvlText w:val="(%1)"/>
        <w:lvlJc w:val="left"/>
        <w:pPr>
          <w:ind w:left="21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2">
    <w:abstractNumId w:val="4"/>
  </w:num>
  <w:num w:numId="43">
    <w:abstractNumId w:val="14"/>
  </w:num>
  <w:num w:numId="44">
    <w:abstractNumId w:val="6"/>
  </w:num>
  <w:num w:numId="45">
    <w:abstractNumId w:val="36"/>
  </w:num>
  <w:num w:numId="46">
    <w:abstractNumId w:val="0"/>
  </w:num>
  <w:num w:numId="47">
    <w:abstractNumId w:val="2"/>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0B38"/>
    <w:rsid w:val="00000257"/>
    <w:rsid w:val="00002A19"/>
    <w:rsid w:val="00003B33"/>
    <w:rsid w:val="00003C43"/>
    <w:rsid w:val="00004203"/>
    <w:rsid w:val="000049E8"/>
    <w:rsid w:val="00006B71"/>
    <w:rsid w:val="00007413"/>
    <w:rsid w:val="00007AC9"/>
    <w:rsid w:val="00007BFC"/>
    <w:rsid w:val="00011392"/>
    <w:rsid w:val="000117FD"/>
    <w:rsid w:val="00013AF8"/>
    <w:rsid w:val="00013E3B"/>
    <w:rsid w:val="000142CD"/>
    <w:rsid w:val="00014DF2"/>
    <w:rsid w:val="00014DF5"/>
    <w:rsid w:val="000160E5"/>
    <w:rsid w:val="00017065"/>
    <w:rsid w:val="00017CAA"/>
    <w:rsid w:val="00021518"/>
    <w:rsid w:val="00021BF7"/>
    <w:rsid w:val="00021F87"/>
    <w:rsid w:val="00022DE0"/>
    <w:rsid w:val="00023F09"/>
    <w:rsid w:val="000248C3"/>
    <w:rsid w:val="0002581F"/>
    <w:rsid w:val="00025D39"/>
    <w:rsid w:val="00027018"/>
    <w:rsid w:val="000274AE"/>
    <w:rsid w:val="0003067D"/>
    <w:rsid w:val="00030FAF"/>
    <w:rsid w:val="00031E31"/>
    <w:rsid w:val="00031FC9"/>
    <w:rsid w:val="0003202C"/>
    <w:rsid w:val="00033184"/>
    <w:rsid w:val="00037AD4"/>
    <w:rsid w:val="00037D23"/>
    <w:rsid w:val="000404A2"/>
    <w:rsid w:val="00041A97"/>
    <w:rsid w:val="00041C82"/>
    <w:rsid w:val="00041D7E"/>
    <w:rsid w:val="00042033"/>
    <w:rsid w:val="00042AA5"/>
    <w:rsid w:val="0004323C"/>
    <w:rsid w:val="000456CF"/>
    <w:rsid w:val="000459FB"/>
    <w:rsid w:val="0004663F"/>
    <w:rsid w:val="000502F4"/>
    <w:rsid w:val="000508BA"/>
    <w:rsid w:val="00051111"/>
    <w:rsid w:val="0005165D"/>
    <w:rsid w:val="0005202A"/>
    <w:rsid w:val="000522D7"/>
    <w:rsid w:val="00052C21"/>
    <w:rsid w:val="00054307"/>
    <w:rsid w:val="00054B1C"/>
    <w:rsid w:val="00054B7E"/>
    <w:rsid w:val="000550FA"/>
    <w:rsid w:val="000568C5"/>
    <w:rsid w:val="000569E1"/>
    <w:rsid w:val="00057ED8"/>
    <w:rsid w:val="00057FAE"/>
    <w:rsid w:val="00060197"/>
    <w:rsid w:val="0006066E"/>
    <w:rsid w:val="00061699"/>
    <w:rsid w:val="000623D6"/>
    <w:rsid w:val="00064695"/>
    <w:rsid w:val="00064997"/>
    <w:rsid w:val="00064BF4"/>
    <w:rsid w:val="00065306"/>
    <w:rsid w:val="000653B2"/>
    <w:rsid w:val="00065842"/>
    <w:rsid w:val="00065C0E"/>
    <w:rsid w:val="00066079"/>
    <w:rsid w:val="00066548"/>
    <w:rsid w:val="00071085"/>
    <w:rsid w:val="000710FA"/>
    <w:rsid w:val="00071481"/>
    <w:rsid w:val="000725EF"/>
    <w:rsid w:val="00073CB7"/>
    <w:rsid w:val="00074E1A"/>
    <w:rsid w:val="00075592"/>
    <w:rsid w:val="00075F6A"/>
    <w:rsid w:val="00077039"/>
    <w:rsid w:val="000776B1"/>
    <w:rsid w:val="000777A2"/>
    <w:rsid w:val="0007794F"/>
    <w:rsid w:val="00077B38"/>
    <w:rsid w:val="00080C2E"/>
    <w:rsid w:val="000815E0"/>
    <w:rsid w:val="0008258A"/>
    <w:rsid w:val="0008293D"/>
    <w:rsid w:val="00082C0F"/>
    <w:rsid w:val="00085A45"/>
    <w:rsid w:val="00086750"/>
    <w:rsid w:val="000872ED"/>
    <w:rsid w:val="00090E32"/>
    <w:rsid w:val="00091843"/>
    <w:rsid w:val="000929B6"/>
    <w:rsid w:val="00092DCF"/>
    <w:rsid w:val="00092EC4"/>
    <w:rsid w:val="00093EE8"/>
    <w:rsid w:val="0009450A"/>
    <w:rsid w:val="00096BBE"/>
    <w:rsid w:val="00096BF3"/>
    <w:rsid w:val="00096EB4"/>
    <w:rsid w:val="0009717B"/>
    <w:rsid w:val="00097334"/>
    <w:rsid w:val="000A0C2D"/>
    <w:rsid w:val="000A19C0"/>
    <w:rsid w:val="000A2781"/>
    <w:rsid w:val="000A33CB"/>
    <w:rsid w:val="000A38AF"/>
    <w:rsid w:val="000A3EB6"/>
    <w:rsid w:val="000A3ECF"/>
    <w:rsid w:val="000A4304"/>
    <w:rsid w:val="000A4DE5"/>
    <w:rsid w:val="000A4E81"/>
    <w:rsid w:val="000A5061"/>
    <w:rsid w:val="000A5D75"/>
    <w:rsid w:val="000A60B8"/>
    <w:rsid w:val="000A6414"/>
    <w:rsid w:val="000A6B75"/>
    <w:rsid w:val="000A6C6F"/>
    <w:rsid w:val="000B00E0"/>
    <w:rsid w:val="000B0309"/>
    <w:rsid w:val="000B10B6"/>
    <w:rsid w:val="000B14F1"/>
    <w:rsid w:val="000B1A7F"/>
    <w:rsid w:val="000B1D0F"/>
    <w:rsid w:val="000B1D84"/>
    <w:rsid w:val="000B1E8C"/>
    <w:rsid w:val="000B206E"/>
    <w:rsid w:val="000B21F1"/>
    <w:rsid w:val="000B2E78"/>
    <w:rsid w:val="000B3AF4"/>
    <w:rsid w:val="000B3FF3"/>
    <w:rsid w:val="000B40B9"/>
    <w:rsid w:val="000B4872"/>
    <w:rsid w:val="000B4D7F"/>
    <w:rsid w:val="000B4F70"/>
    <w:rsid w:val="000B5480"/>
    <w:rsid w:val="000B6480"/>
    <w:rsid w:val="000B7BF2"/>
    <w:rsid w:val="000C0958"/>
    <w:rsid w:val="000C188B"/>
    <w:rsid w:val="000C2117"/>
    <w:rsid w:val="000C214E"/>
    <w:rsid w:val="000C2C62"/>
    <w:rsid w:val="000C2F53"/>
    <w:rsid w:val="000C3B20"/>
    <w:rsid w:val="000C45F2"/>
    <w:rsid w:val="000C50F5"/>
    <w:rsid w:val="000C6D8D"/>
    <w:rsid w:val="000C76AD"/>
    <w:rsid w:val="000D05D1"/>
    <w:rsid w:val="000D1F6C"/>
    <w:rsid w:val="000D3556"/>
    <w:rsid w:val="000D3D76"/>
    <w:rsid w:val="000D4DB4"/>
    <w:rsid w:val="000D57D6"/>
    <w:rsid w:val="000D58AD"/>
    <w:rsid w:val="000D6056"/>
    <w:rsid w:val="000D70BC"/>
    <w:rsid w:val="000D74E7"/>
    <w:rsid w:val="000D7C1A"/>
    <w:rsid w:val="000E0E78"/>
    <w:rsid w:val="000E1050"/>
    <w:rsid w:val="000E25CC"/>
    <w:rsid w:val="000E2A3D"/>
    <w:rsid w:val="000E2F07"/>
    <w:rsid w:val="000E2F0F"/>
    <w:rsid w:val="000E446F"/>
    <w:rsid w:val="000E4B00"/>
    <w:rsid w:val="000E4EE5"/>
    <w:rsid w:val="000E50E9"/>
    <w:rsid w:val="000E54A2"/>
    <w:rsid w:val="000E6CE9"/>
    <w:rsid w:val="000E7406"/>
    <w:rsid w:val="000F0A46"/>
    <w:rsid w:val="000F0F58"/>
    <w:rsid w:val="000F26CA"/>
    <w:rsid w:val="000F29F4"/>
    <w:rsid w:val="000F3C5E"/>
    <w:rsid w:val="000F4CCE"/>
    <w:rsid w:val="000F5F96"/>
    <w:rsid w:val="000F7334"/>
    <w:rsid w:val="0010012B"/>
    <w:rsid w:val="00100287"/>
    <w:rsid w:val="0010052C"/>
    <w:rsid w:val="001006FE"/>
    <w:rsid w:val="0010125C"/>
    <w:rsid w:val="00101FF1"/>
    <w:rsid w:val="001035DC"/>
    <w:rsid w:val="001048BF"/>
    <w:rsid w:val="00105C56"/>
    <w:rsid w:val="00110035"/>
    <w:rsid w:val="00110969"/>
    <w:rsid w:val="00110A7F"/>
    <w:rsid w:val="00111739"/>
    <w:rsid w:val="00111E7C"/>
    <w:rsid w:val="00112D42"/>
    <w:rsid w:val="001131AE"/>
    <w:rsid w:val="00113A35"/>
    <w:rsid w:val="001140F3"/>
    <w:rsid w:val="001149AD"/>
    <w:rsid w:val="00115DB5"/>
    <w:rsid w:val="0011638D"/>
    <w:rsid w:val="001211B5"/>
    <w:rsid w:val="00121368"/>
    <w:rsid w:val="00121F45"/>
    <w:rsid w:val="001230D5"/>
    <w:rsid w:val="001244C2"/>
    <w:rsid w:val="001246DA"/>
    <w:rsid w:val="001255A9"/>
    <w:rsid w:val="00125750"/>
    <w:rsid w:val="00125AAA"/>
    <w:rsid w:val="00125B95"/>
    <w:rsid w:val="00125EED"/>
    <w:rsid w:val="001272BF"/>
    <w:rsid w:val="0012775C"/>
    <w:rsid w:val="00130045"/>
    <w:rsid w:val="001313C9"/>
    <w:rsid w:val="0013184D"/>
    <w:rsid w:val="0013295B"/>
    <w:rsid w:val="00132E33"/>
    <w:rsid w:val="001331C6"/>
    <w:rsid w:val="001332E8"/>
    <w:rsid w:val="00133384"/>
    <w:rsid w:val="001335C6"/>
    <w:rsid w:val="00133E33"/>
    <w:rsid w:val="00134299"/>
    <w:rsid w:val="0013434E"/>
    <w:rsid w:val="00134B74"/>
    <w:rsid w:val="00135028"/>
    <w:rsid w:val="00136AE7"/>
    <w:rsid w:val="0013739D"/>
    <w:rsid w:val="0014187D"/>
    <w:rsid w:val="0014267E"/>
    <w:rsid w:val="0014459D"/>
    <w:rsid w:val="001445A7"/>
    <w:rsid w:val="00144E27"/>
    <w:rsid w:val="0014508B"/>
    <w:rsid w:val="00145F94"/>
    <w:rsid w:val="00146750"/>
    <w:rsid w:val="0014781B"/>
    <w:rsid w:val="00150058"/>
    <w:rsid w:val="001505D1"/>
    <w:rsid w:val="00150756"/>
    <w:rsid w:val="001507C8"/>
    <w:rsid w:val="001508A6"/>
    <w:rsid w:val="00150C1D"/>
    <w:rsid w:val="001516A5"/>
    <w:rsid w:val="00151B6E"/>
    <w:rsid w:val="00152A00"/>
    <w:rsid w:val="00152BD0"/>
    <w:rsid w:val="0015317E"/>
    <w:rsid w:val="0015364D"/>
    <w:rsid w:val="001537AF"/>
    <w:rsid w:val="00153A31"/>
    <w:rsid w:val="00153E95"/>
    <w:rsid w:val="0016020A"/>
    <w:rsid w:val="00160B73"/>
    <w:rsid w:val="00161455"/>
    <w:rsid w:val="00163822"/>
    <w:rsid w:val="001648B2"/>
    <w:rsid w:val="00165196"/>
    <w:rsid w:val="001655CF"/>
    <w:rsid w:val="0016761D"/>
    <w:rsid w:val="00167626"/>
    <w:rsid w:val="00167740"/>
    <w:rsid w:val="00170D76"/>
    <w:rsid w:val="0017112A"/>
    <w:rsid w:val="00172364"/>
    <w:rsid w:val="001735D8"/>
    <w:rsid w:val="0017426E"/>
    <w:rsid w:val="00176421"/>
    <w:rsid w:val="0017738A"/>
    <w:rsid w:val="001774C8"/>
    <w:rsid w:val="00177F08"/>
    <w:rsid w:val="00177F8C"/>
    <w:rsid w:val="00180323"/>
    <w:rsid w:val="00180587"/>
    <w:rsid w:val="00180702"/>
    <w:rsid w:val="00180720"/>
    <w:rsid w:val="00181EE8"/>
    <w:rsid w:val="00182D30"/>
    <w:rsid w:val="0018316A"/>
    <w:rsid w:val="00183366"/>
    <w:rsid w:val="001837A6"/>
    <w:rsid w:val="00183A28"/>
    <w:rsid w:val="00184ED3"/>
    <w:rsid w:val="00185438"/>
    <w:rsid w:val="00187BD2"/>
    <w:rsid w:val="00187C02"/>
    <w:rsid w:val="00187F73"/>
    <w:rsid w:val="00190317"/>
    <w:rsid w:val="00192593"/>
    <w:rsid w:val="00192B09"/>
    <w:rsid w:val="00192BE7"/>
    <w:rsid w:val="0019361D"/>
    <w:rsid w:val="00194670"/>
    <w:rsid w:val="00194B11"/>
    <w:rsid w:val="00194D12"/>
    <w:rsid w:val="00194DFD"/>
    <w:rsid w:val="0019581F"/>
    <w:rsid w:val="00195D62"/>
    <w:rsid w:val="00196DD8"/>
    <w:rsid w:val="001A0FC2"/>
    <w:rsid w:val="001A13A0"/>
    <w:rsid w:val="001A13F7"/>
    <w:rsid w:val="001A226F"/>
    <w:rsid w:val="001A25B4"/>
    <w:rsid w:val="001A2DD8"/>
    <w:rsid w:val="001A2F9C"/>
    <w:rsid w:val="001A312D"/>
    <w:rsid w:val="001A3599"/>
    <w:rsid w:val="001A384F"/>
    <w:rsid w:val="001B0130"/>
    <w:rsid w:val="001B0FCA"/>
    <w:rsid w:val="001B0FCF"/>
    <w:rsid w:val="001B11CB"/>
    <w:rsid w:val="001B153D"/>
    <w:rsid w:val="001B190A"/>
    <w:rsid w:val="001B22F2"/>
    <w:rsid w:val="001B2979"/>
    <w:rsid w:val="001B4790"/>
    <w:rsid w:val="001B4BCE"/>
    <w:rsid w:val="001B4C51"/>
    <w:rsid w:val="001B5124"/>
    <w:rsid w:val="001B58BA"/>
    <w:rsid w:val="001B5FBE"/>
    <w:rsid w:val="001C1907"/>
    <w:rsid w:val="001C23C2"/>
    <w:rsid w:val="001C26AB"/>
    <w:rsid w:val="001C2B22"/>
    <w:rsid w:val="001C55E8"/>
    <w:rsid w:val="001C5A5B"/>
    <w:rsid w:val="001C5BD1"/>
    <w:rsid w:val="001C77B6"/>
    <w:rsid w:val="001D0037"/>
    <w:rsid w:val="001D15C4"/>
    <w:rsid w:val="001D16FA"/>
    <w:rsid w:val="001D1AED"/>
    <w:rsid w:val="001D2F21"/>
    <w:rsid w:val="001D4A6A"/>
    <w:rsid w:val="001D7042"/>
    <w:rsid w:val="001D7439"/>
    <w:rsid w:val="001D746A"/>
    <w:rsid w:val="001E081A"/>
    <w:rsid w:val="001E4376"/>
    <w:rsid w:val="001E5B69"/>
    <w:rsid w:val="001E5F73"/>
    <w:rsid w:val="001E7141"/>
    <w:rsid w:val="001E7446"/>
    <w:rsid w:val="001E7755"/>
    <w:rsid w:val="001E7B75"/>
    <w:rsid w:val="001F018A"/>
    <w:rsid w:val="001F0394"/>
    <w:rsid w:val="001F05CE"/>
    <w:rsid w:val="001F14A5"/>
    <w:rsid w:val="001F17F2"/>
    <w:rsid w:val="001F2665"/>
    <w:rsid w:val="001F3C03"/>
    <w:rsid w:val="001F5CD5"/>
    <w:rsid w:val="001F6130"/>
    <w:rsid w:val="001F6CCE"/>
    <w:rsid w:val="001F74D8"/>
    <w:rsid w:val="00201772"/>
    <w:rsid w:val="00202F3E"/>
    <w:rsid w:val="00203754"/>
    <w:rsid w:val="002049DB"/>
    <w:rsid w:val="002064E2"/>
    <w:rsid w:val="00207D74"/>
    <w:rsid w:val="002101DC"/>
    <w:rsid w:val="00211111"/>
    <w:rsid w:val="002112A3"/>
    <w:rsid w:val="002134A2"/>
    <w:rsid w:val="00215CD6"/>
    <w:rsid w:val="0021644D"/>
    <w:rsid w:val="00216CB4"/>
    <w:rsid w:val="0021719C"/>
    <w:rsid w:val="002179C3"/>
    <w:rsid w:val="00220A2B"/>
    <w:rsid w:val="00220CA6"/>
    <w:rsid w:val="0022267D"/>
    <w:rsid w:val="00223527"/>
    <w:rsid w:val="00223BFC"/>
    <w:rsid w:val="00224C6B"/>
    <w:rsid w:val="00224D02"/>
    <w:rsid w:val="00226542"/>
    <w:rsid w:val="00230C08"/>
    <w:rsid w:val="00232076"/>
    <w:rsid w:val="00232223"/>
    <w:rsid w:val="002336BA"/>
    <w:rsid w:val="00235CCF"/>
    <w:rsid w:val="0023639A"/>
    <w:rsid w:val="00236E76"/>
    <w:rsid w:val="00236FBF"/>
    <w:rsid w:val="002378D5"/>
    <w:rsid w:val="00237E22"/>
    <w:rsid w:val="00242C95"/>
    <w:rsid w:val="0024398A"/>
    <w:rsid w:val="0024549D"/>
    <w:rsid w:val="002454F5"/>
    <w:rsid w:val="00245557"/>
    <w:rsid w:val="00245D29"/>
    <w:rsid w:val="00247AA6"/>
    <w:rsid w:val="00251A3D"/>
    <w:rsid w:val="00253BFC"/>
    <w:rsid w:val="00254960"/>
    <w:rsid w:val="00254E93"/>
    <w:rsid w:val="00254F41"/>
    <w:rsid w:val="00254F83"/>
    <w:rsid w:val="00255750"/>
    <w:rsid w:val="002567D4"/>
    <w:rsid w:val="0026001C"/>
    <w:rsid w:val="00260C0D"/>
    <w:rsid w:val="00260F03"/>
    <w:rsid w:val="00262F59"/>
    <w:rsid w:val="00263462"/>
    <w:rsid w:val="002634E9"/>
    <w:rsid w:val="00263B9B"/>
    <w:rsid w:val="00263CD8"/>
    <w:rsid w:val="0026484C"/>
    <w:rsid w:val="00264A7E"/>
    <w:rsid w:val="00267A50"/>
    <w:rsid w:val="00270C1A"/>
    <w:rsid w:val="00270CE0"/>
    <w:rsid w:val="00270D79"/>
    <w:rsid w:val="002710FA"/>
    <w:rsid w:val="00271410"/>
    <w:rsid w:val="002714F8"/>
    <w:rsid w:val="00271D72"/>
    <w:rsid w:val="00272C47"/>
    <w:rsid w:val="002734F2"/>
    <w:rsid w:val="0027509D"/>
    <w:rsid w:val="00275B4E"/>
    <w:rsid w:val="0027744E"/>
    <w:rsid w:val="002779AE"/>
    <w:rsid w:val="002826C9"/>
    <w:rsid w:val="0028362E"/>
    <w:rsid w:val="00283C80"/>
    <w:rsid w:val="00284235"/>
    <w:rsid w:val="002860B1"/>
    <w:rsid w:val="002862C7"/>
    <w:rsid w:val="0028650C"/>
    <w:rsid w:val="00286A61"/>
    <w:rsid w:val="00287AC1"/>
    <w:rsid w:val="00290B60"/>
    <w:rsid w:val="00291EE7"/>
    <w:rsid w:val="00292A61"/>
    <w:rsid w:val="00293ED7"/>
    <w:rsid w:val="00294974"/>
    <w:rsid w:val="002A0B17"/>
    <w:rsid w:val="002A0D1D"/>
    <w:rsid w:val="002A155D"/>
    <w:rsid w:val="002A1786"/>
    <w:rsid w:val="002A1835"/>
    <w:rsid w:val="002A37CA"/>
    <w:rsid w:val="002A3FD6"/>
    <w:rsid w:val="002A4716"/>
    <w:rsid w:val="002A4B77"/>
    <w:rsid w:val="002A5684"/>
    <w:rsid w:val="002A615A"/>
    <w:rsid w:val="002A6DD4"/>
    <w:rsid w:val="002A77A7"/>
    <w:rsid w:val="002B03B6"/>
    <w:rsid w:val="002B12BE"/>
    <w:rsid w:val="002B181E"/>
    <w:rsid w:val="002B2072"/>
    <w:rsid w:val="002B37C5"/>
    <w:rsid w:val="002B6673"/>
    <w:rsid w:val="002B6ACA"/>
    <w:rsid w:val="002B7354"/>
    <w:rsid w:val="002C043B"/>
    <w:rsid w:val="002C056A"/>
    <w:rsid w:val="002C0D84"/>
    <w:rsid w:val="002C1921"/>
    <w:rsid w:val="002C1A8F"/>
    <w:rsid w:val="002C1FD6"/>
    <w:rsid w:val="002C2424"/>
    <w:rsid w:val="002C3189"/>
    <w:rsid w:val="002C3821"/>
    <w:rsid w:val="002C3D03"/>
    <w:rsid w:val="002C3F14"/>
    <w:rsid w:val="002C5560"/>
    <w:rsid w:val="002C5B49"/>
    <w:rsid w:val="002C5C51"/>
    <w:rsid w:val="002C637F"/>
    <w:rsid w:val="002C6C18"/>
    <w:rsid w:val="002C6E2C"/>
    <w:rsid w:val="002C7CB4"/>
    <w:rsid w:val="002D2DED"/>
    <w:rsid w:val="002D3309"/>
    <w:rsid w:val="002D39C1"/>
    <w:rsid w:val="002D4909"/>
    <w:rsid w:val="002D5512"/>
    <w:rsid w:val="002D5DF6"/>
    <w:rsid w:val="002D6A25"/>
    <w:rsid w:val="002E061C"/>
    <w:rsid w:val="002E0E28"/>
    <w:rsid w:val="002E1155"/>
    <w:rsid w:val="002E148D"/>
    <w:rsid w:val="002E19E8"/>
    <w:rsid w:val="002E3699"/>
    <w:rsid w:val="002E3AFF"/>
    <w:rsid w:val="002E63AF"/>
    <w:rsid w:val="002E6B1C"/>
    <w:rsid w:val="002E7002"/>
    <w:rsid w:val="002F07FE"/>
    <w:rsid w:val="002F0AEC"/>
    <w:rsid w:val="002F1278"/>
    <w:rsid w:val="002F1623"/>
    <w:rsid w:val="002F2452"/>
    <w:rsid w:val="002F26E2"/>
    <w:rsid w:val="002F2E00"/>
    <w:rsid w:val="002F346C"/>
    <w:rsid w:val="002F3A94"/>
    <w:rsid w:val="002F52D7"/>
    <w:rsid w:val="003005A9"/>
    <w:rsid w:val="0030097D"/>
    <w:rsid w:val="0030111F"/>
    <w:rsid w:val="00301680"/>
    <w:rsid w:val="00301C83"/>
    <w:rsid w:val="0030391C"/>
    <w:rsid w:val="00304714"/>
    <w:rsid w:val="003052A4"/>
    <w:rsid w:val="00305820"/>
    <w:rsid w:val="003060AA"/>
    <w:rsid w:val="003071D1"/>
    <w:rsid w:val="00307DE2"/>
    <w:rsid w:val="00310035"/>
    <w:rsid w:val="00310443"/>
    <w:rsid w:val="00310C28"/>
    <w:rsid w:val="00310C48"/>
    <w:rsid w:val="003117DF"/>
    <w:rsid w:val="003117E8"/>
    <w:rsid w:val="00311A3C"/>
    <w:rsid w:val="00311E50"/>
    <w:rsid w:val="0031269A"/>
    <w:rsid w:val="00312795"/>
    <w:rsid w:val="003127E7"/>
    <w:rsid w:val="00313860"/>
    <w:rsid w:val="00314131"/>
    <w:rsid w:val="003149FC"/>
    <w:rsid w:val="00314B6F"/>
    <w:rsid w:val="00314D00"/>
    <w:rsid w:val="003157A4"/>
    <w:rsid w:val="00315A11"/>
    <w:rsid w:val="0031694A"/>
    <w:rsid w:val="003172D1"/>
    <w:rsid w:val="00317900"/>
    <w:rsid w:val="00320CB8"/>
    <w:rsid w:val="00320D69"/>
    <w:rsid w:val="00320FA1"/>
    <w:rsid w:val="00321BFD"/>
    <w:rsid w:val="00321D52"/>
    <w:rsid w:val="0032229F"/>
    <w:rsid w:val="003232BE"/>
    <w:rsid w:val="003232F4"/>
    <w:rsid w:val="00323AB9"/>
    <w:rsid w:val="00323BC6"/>
    <w:rsid w:val="00324166"/>
    <w:rsid w:val="00324620"/>
    <w:rsid w:val="0032475A"/>
    <w:rsid w:val="00324FE2"/>
    <w:rsid w:val="00325173"/>
    <w:rsid w:val="00325696"/>
    <w:rsid w:val="003275BE"/>
    <w:rsid w:val="00331031"/>
    <w:rsid w:val="00331105"/>
    <w:rsid w:val="003320F1"/>
    <w:rsid w:val="00333988"/>
    <w:rsid w:val="00334A9B"/>
    <w:rsid w:val="00336755"/>
    <w:rsid w:val="00337183"/>
    <w:rsid w:val="0033742E"/>
    <w:rsid w:val="0033768C"/>
    <w:rsid w:val="00337C47"/>
    <w:rsid w:val="003401FC"/>
    <w:rsid w:val="0034042F"/>
    <w:rsid w:val="00340C1F"/>
    <w:rsid w:val="00342C93"/>
    <w:rsid w:val="00343167"/>
    <w:rsid w:val="003435BB"/>
    <w:rsid w:val="00345E2B"/>
    <w:rsid w:val="00347235"/>
    <w:rsid w:val="00347B4E"/>
    <w:rsid w:val="003503C8"/>
    <w:rsid w:val="00352B02"/>
    <w:rsid w:val="003538DF"/>
    <w:rsid w:val="00353A2A"/>
    <w:rsid w:val="00355AFF"/>
    <w:rsid w:val="00355E91"/>
    <w:rsid w:val="0035644F"/>
    <w:rsid w:val="003565E7"/>
    <w:rsid w:val="00356634"/>
    <w:rsid w:val="003571BD"/>
    <w:rsid w:val="00360783"/>
    <w:rsid w:val="00361E18"/>
    <w:rsid w:val="00364644"/>
    <w:rsid w:val="00364950"/>
    <w:rsid w:val="00365DC5"/>
    <w:rsid w:val="00366639"/>
    <w:rsid w:val="00370782"/>
    <w:rsid w:val="00371144"/>
    <w:rsid w:val="00371412"/>
    <w:rsid w:val="00371B0D"/>
    <w:rsid w:val="00371D73"/>
    <w:rsid w:val="00372D28"/>
    <w:rsid w:val="00373068"/>
    <w:rsid w:val="0037326E"/>
    <w:rsid w:val="00373437"/>
    <w:rsid w:val="0037405D"/>
    <w:rsid w:val="00376360"/>
    <w:rsid w:val="00376ADC"/>
    <w:rsid w:val="003774ED"/>
    <w:rsid w:val="00377585"/>
    <w:rsid w:val="00377E02"/>
    <w:rsid w:val="003805A3"/>
    <w:rsid w:val="00380671"/>
    <w:rsid w:val="00380E4F"/>
    <w:rsid w:val="00381EF4"/>
    <w:rsid w:val="003820A5"/>
    <w:rsid w:val="0038249A"/>
    <w:rsid w:val="00382F38"/>
    <w:rsid w:val="00382FF5"/>
    <w:rsid w:val="003832AC"/>
    <w:rsid w:val="003843C2"/>
    <w:rsid w:val="0038440D"/>
    <w:rsid w:val="00384F02"/>
    <w:rsid w:val="003859E1"/>
    <w:rsid w:val="00385BFF"/>
    <w:rsid w:val="003861AC"/>
    <w:rsid w:val="0038741D"/>
    <w:rsid w:val="00387BBB"/>
    <w:rsid w:val="00390978"/>
    <w:rsid w:val="00391A50"/>
    <w:rsid w:val="00392302"/>
    <w:rsid w:val="003924B6"/>
    <w:rsid w:val="003927E6"/>
    <w:rsid w:val="00393813"/>
    <w:rsid w:val="0039401B"/>
    <w:rsid w:val="00394067"/>
    <w:rsid w:val="00394D58"/>
    <w:rsid w:val="00394F23"/>
    <w:rsid w:val="0039555A"/>
    <w:rsid w:val="00396140"/>
    <w:rsid w:val="0039635D"/>
    <w:rsid w:val="00396B65"/>
    <w:rsid w:val="00396C0E"/>
    <w:rsid w:val="003976E1"/>
    <w:rsid w:val="003A0BF3"/>
    <w:rsid w:val="003A18CA"/>
    <w:rsid w:val="003A1FB7"/>
    <w:rsid w:val="003A1FE0"/>
    <w:rsid w:val="003A32FD"/>
    <w:rsid w:val="003A46BB"/>
    <w:rsid w:val="003A5704"/>
    <w:rsid w:val="003A75CC"/>
    <w:rsid w:val="003B029C"/>
    <w:rsid w:val="003B065C"/>
    <w:rsid w:val="003B0696"/>
    <w:rsid w:val="003B142B"/>
    <w:rsid w:val="003B180D"/>
    <w:rsid w:val="003B2055"/>
    <w:rsid w:val="003B270A"/>
    <w:rsid w:val="003B3900"/>
    <w:rsid w:val="003B3977"/>
    <w:rsid w:val="003B6876"/>
    <w:rsid w:val="003B6920"/>
    <w:rsid w:val="003B6E91"/>
    <w:rsid w:val="003B7172"/>
    <w:rsid w:val="003C0BFC"/>
    <w:rsid w:val="003C2468"/>
    <w:rsid w:val="003C27C5"/>
    <w:rsid w:val="003C3A0E"/>
    <w:rsid w:val="003C3C05"/>
    <w:rsid w:val="003C4643"/>
    <w:rsid w:val="003C46BE"/>
    <w:rsid w:val="003C5300"/>
    <w:rsid w:val="003C562E"/>
    <w:rsid w:val="003C65AC"/>
    <w:rsid w:val="003C691B"/>
    <w:rsid w:val="003D2700"/>
    <w:rsid w:val="003D2A72"/>
    <w:rsid w:val="003D5DCF"/>
    <w:rsid w:val="003D6BDF"/>
    <w:rsid w:val="003D7BFB"/>
    <w:rsid w:val="003E03D5"/>
    <w:rsid w:val="003E2008"/>
    <w:rsid w:val="003E2241"/>
    <w:rsid w:val="003E2D5D"/>
    <w:rsid w:val="003E3B48"/>
    <w:rsid w:val="003E4083"/>
    <w:rsid w:val="003E5EC3"/>
    <w:rsid w:val="003E64B5"/>
    <w:rsid w:val="003E76AA"/>
    <w:rsid w:val="003F1AB8"/>
    <w:rsid w:val="003F1B3C"/>
    <w:rsid w:val="003F1B97"/>
    <w:rsid w:val="003F1CC7"/>
    <w:rsid w:val="003F1DDC"/>
    <w:rsid w:val="003F2D0D"/>
    <w:rsid w:val="003F35C8"/>
    <w:rsid w:val="003F3CB1"/>
    <w:rsid w:val="003F499C"/>
    <w:rsid w:val="003F5056"/>
    <w:rsid w:val="003F6CC3"/>
    <w:rsid w:val="003F6D27"/>
    <w:rsid w:val="00401386"/>
    <w:rsid w:val="0040145B"/>
    <w:rsid w:val="004021C0"/>
    <w:rsid w:val="0040236C"/>
    <w:rsid w:val="00402BC9"/>
    <w:rsid w:val="004034D4"/>
    <w:rsid w:val="004035F5"/>
    <w:rsid w:val="00403FF0"/>
    <w:rsid w:val="0040404B"/>
    <w:rsid w:val="004046AF"/>
    <w:rsid w:val="00404B11"/>
    <w:rsid w:val="00410F86"/>
    <w:rsid w:val="004110E9"/>
    <w:rsid w:val="00411146"/>
    <w:rsid w:val="004111CA"/>
    <w:rsid w:val="00411796"/>
    <w:rsid w:val="00412987"/>
    <w:rsid w:val="00413903"/>
    <w:rsid w:val="004141B8"/>
    <w:rsid w:val="00415091"/>
    <w:rsid w:val="004151BC"/>
    <w:rsid w:val="00416B04"/>
    <w:rsid w:val="00417199"/>
    <w:rsid w:val="00417251"/>
    <w:rsid w:val="00420344"/>
    <w:rsid w:val="004203B1"/>
    <w:rsid w:val="00420CA6"/>
    <w:rsid w:val="00420D3A"/>
    <w:rsid w:val="00421179"/>
    <w:rsid w:val="00421552"/>
    <w:rsid w:val="00422278"/>
    <w:rsid w:val="00422AC5"/>
    <w:rsid w:val="004236F5"/>
    <w:rsid w:val="00424509"/>
    <w:rsid w:val="00425F13"/>
    <w:rsid w:val="00426308"/>
    <w:rsid w:val="00427392"/>
    <w:rsid w:val="004279FF"/>
    <w:rsid w:val="00431DC5"/>
    <w:rsid w:val="004327BC"/>
    <w:rsid w:val="00432DC1"/>
    <w:rsid w:val="0043388F"/>
    <w:rsid w:val="00434ABE"/>
    <w:rsid w:val="00435407"/>
    <w:rsid w:val="0043684D"/>
    <w:rsid w:val="00436EC5"/>
    <w:rsid w:val="00437A23"/>
    <w:rsid w:val="00437B04"/>
    <w:rsid w:val="00437CFD"/>
    <w:rsid w:val="004409D9"/>
    <w:rsid w:val="00440D6C"/>
    <w:rsid w:val="00440F45"/>
    <w:rsid w:val="00441160"/>
    <w:rsid w:val="00441DF4"/>
    <w:rsid w:val="00442D92"/>
    <w:rsid w:val="0044404A"/>
    <w:rsid w:val="00444955"/>
    <w:rsid w:val="004455F4"/>
    <w:rsid w:val="00445BE9"/>
    <w:rsid w:val="00446E8C"/>
    <w:rsid w:val="00447969"/>
    <w:rsid w:val="00447C8D"/>
    <w:rsid w:val="00447D7C"/>
    <w:rsid w:val="00450484"/>
    <w:rsid w:val="00450F35"/>
    <w:rsid w:val="004510BE"/>
    <w:rsid w:val="00451275"/>
    <w:rsid w:val="004514C8"/>
    <w:rsid w:val="00451763"/>
    <w:rsid w:val="00453972"/>
    <w:rsid w:val="00454098"/>
    <w:rsid w:val="00454A8B"/>
    <w:rsid w:val="00455268"/>
    <w:rsid w:val="0045565C"/>
    <w:rsid w:val="004568BC"/>
    <w:rsid w:val="00460580"/>
    <w:rsid w:val="004614F2"/>
    <w:rsid w:val="004616B6"/>
    <w:rsid w:val="00461E39"/>
    <w:rsid w:val="00462EED"/>
    <w:rsid w:val="00463083"/>
    <w:rsid w:val="0046311E"/>
    <w:rsid w:val="0046410E"/>
    <w:rsid w:val="004649EF"/>
    <w:rsid w:val="00464C96"/>
    <w:rsid w:val="004656E1"/>
    <w:rsid w:val="00465761"/>
    <w:rsid w:val="00465AC9"/>
    <w:rsid w:val="0047064B"/>
    <w:rsid w:val="00470FF3"/>
    <w:rsid w:val="00471A02"/>
    <w:rsid w:val="00472CE5"/>
    <w:rsid w:val="004754C9"/>
    <w:rsid w:val="004757CC"/>
    <w:rsid w:val="00475890"/>
    <w:rsid w:val="00477223"/>
    <w:rsid w:val="00477461"/>
    <w:rsid w:val="00480F9B"/>
    <w:rsid w:val="004815A5"/>
    <w:rsid w:val="00481703"/>
    <w:rsid w:val="0048223A"/>
    <w:rsid w:val="0048271C"/>
    <w:rsid w:val="00482D87"/>
    <w:rsid w:val="00483658"/>
    <w:rsid w:val="004838E3"/>
    <w:rsid w:val="00483DA4"/>
    <w:rsid w:val="004840D0"/>
    <w:rsid w:val="00484428"/>
    <w:rsid w:val="0048470A"/>
    <w:rsid w:val="00484989"/>
    <w:rsid w:val="00485510"/>
    <w:rsid w:val="004873FF"/>
    <w:rsid w:val="004877F1"/>
    <w:rsid w:val="00487D54"/>
    <w:rsid w:val="004903DA"/>
    <w:rsid w:val="004920B6"/>
    <w:rsid w:val="0049304A"/>
    <w:rsid w:val="0049466F"/>
    <w:rsid w:val="00495953"/>
    <w:rsid w:val="00497278"/>
    <w:rsid w:val="004A33A7"/>
    <w:rsid w:val="004A4D56"/>
    <w:rsid w:val="004A645A"/>
    <w:rsid w:val="004A6735"/>
    <w:rsid w:val="004A6F29"/>
    <w:rsid w:val="004A7856"/>
    <w:rsid w:val="004B11A9"/>
    <w:rsid w:val="004B11D0"/>
    <w:rsid w:val="004B1BB5"/>
    <w:rsid w:val="004B2238"/>
    <w:rsid w:val="004B25B2"/>
    <w:rsid w:val="004B5F36"/>
    <w:rsid w:val="004B70D1"/>
    <w:rsid w:val="004B75AD"/>
    <w:rsid w:val="004B7A1E"/>
    <w:rsid w:val="004C1CF6"/>
    <w:rsid w:val="004C2071"/>
    <w:rsid w:val="004C28FD"/>
    <w:rsid w:val="004C2E54"/>
    <w:rsid w:val="004C3D88"/>
    <w:rsid w:val="004C4CDF"/>
    <w:rsid w:val="004C57A2"/>
    <w:rsid w:val="004C60E9"/>
    <w:rsid w:val="004C6646"/>
    <w:rsid w:val="004C68C4"/>
    <w:rsid w:val="004C69F4"/>
    <w:rsid w:val="004C6E21"/>
    <w:rsid w:val="004C7024"/>
    <w:rsid w:val="004D0935"/>
    <w:rsid w:val="004D0DA0"/>
    <w:rsid w:val="004D34CD"/>
    <w:rsid w:val="004D3766"/>
    <w:rsid w:val="004D40FF"/>
    <w:rsid w:val="004D419A"/>
    <w:rsid w:val="004D63A7"/>
    <w:rsid w:val="004E0401"/>
    <w:rsid w:val="004E0480"/>
    <w:rsid w:val="004E1F23"/>
    <w:rsid w:val="004E29EE"/>
    <w:rsid w:val="004E3336"/>
    <w:rsid w:val="004E393B"/>
    <w:rsid w:val="004E4910"/>
    <w:rsid w:val="004E5758"/>
    <w:rsid w:val="004E5844"/>
    <w:rsid w:val="004E5B6E"/>
    <w:rsid w:val="004E60F8"/>
    <w:rsid w:val="004E6625"/>
    <w:rsid w:val="004E6936"/>
    <w:rsid w:val="004F0C3F"/>
    <w:rsid w:val="004F0DAD"/>
    <w:rsid w:val="004F0E74"/>
    <w:rsid w:val="004F119C"/>
    <w:rsid w:val="004F185E"/>
    <w:rsid w:val="004F197C"/>
    <w:rsid w:val="004F1A40"/>
    <w:rsid w:val="004F1B00"/>
    <w:rsid w:val="004F307A"/>
    <w:rsid w:val="004F5D5A"/>
    <w:rsid w:val="004F6A46"/>
    <w:rsid w:val="004F791A"/>
    <w:rsid w:val="004F79BE"/>
    <w:rsid w:val="004F7B4A"/>
    <w:rsid w:val="0050063C"/>
    <w:rsid w:val="00500F78"/>
    <w:rsid w:val="00502A12"/>
    <w:rsid w:val="00503D60"/>
    <w:rsid w:val="0050408D"/>
    <w:rsid w:val="00507477"/>
    <w:rsid w:val="005075F8"/>
    <w:rsid w:val="00507D2A"/>
    <w:rsid w:val="00507EB8"/>
    <w:rsid w:val="005109ED"/>
    <w:rsid w:val="00512A98"/>
    <w:rsid w:val="00512FEF"/>
    <w:rsid w:val="005131E5"/>
    <w:rsid w:val="00513F8C"/>
    <w:rsid w:val="00515403"/>
    <w:rsid w:val="005158D5"/>
    <w:rsid w:val="005167BF"/>
    <w:rsid w:val="00517096"/>
    <w:rsid w:val="005172D7"/>
    <w:rsid w:val="00517622"/>
    <w:rsid w:val="00520F60"/>
    <w:rsid w:val="0052193F"/>
    <w:rsid w:val="00522AC1"/>
    <w:rsid w:val="005230D9"/>
    <w:rsid w:val="00523274"/>
    <w:rsid w:val="005253A8"/>
    <w:rsid w:val="005253AB"/>
    <w:rsid w:val="00525433"/>
    <w:rsid w:val="00525B47"/>
    <w:rsid w:val="00526B94"/>
    <w:rsid w:val="005274CF"/>
    <w:rsid w:val="00530D31"/>
    <w:rsid w:val="00530FE9"/>
    <w:rsid w:val="00531176"/>
    <w:rsid w:val="00531379"/>
    <w:rsid w:val="005319AE"/>
    <w:rsid w:val="00531AA5"/>
    <w:rsid w:val="00532CD6"/>
    <w:rsid w:val="0053321A"/>
    <w:rsid w:val="00533519"/>
    <w:rsid w:val="00533C8C"/>
    <w:rsid w:val="0053466A"/>
    <w:rsid w:val="005346EF"/>
    <w:rsid w:val="00536C15"/>
    <w:rsid w:val="00536D36"/>
    <w:rsid w:val="00537107"/>
    <w:rsid w:val="005376FE"/>
    <w:rsid w:val="00537FFA"/>
    <w:rsid w:val="00541544"/>
    <w:rsid w:val="00541D17"/>
    <w:rsid w:val="005430E6"/>
    <w:rsid w:val="005431FA"/>
    <w:rsid w:val="0054375D"/>
    <w:rsid w:val="005437D2"/>
    <w:rsid w:val="00543F64"/>
    <w:rsid w:val="00544348"/>
    <w:rsid w:val="005454B5"/>
    <w:rsid w:val="00545D41"/>
    <w:rsid w:val="00546A08"/>
    <w:rsid w:val="00547854"/>
    <w:rsid w:val="00547993"/>
    <w:rsid w:val="00547B17"/>
    <w:rsid w:val="00550074"/>
    <w:rsid w:val="005509B2"/>
    <w:rsid w:val="00550F50"/>
    <w:rsid w:val="00551631"/>
    <w:rsid w:val="005523CE"/>
    <w:rsid w:val="005524E0"/>
    <w:rsid w:val="00552968"/>
    <w:rsid w:val="00553D6C"/>
    <w:rsid w:val="00553E30"/>
    <w:rsid w:val="0055418D"/>
    <w:rsid w:val="00554CAF"/>
    <w:rsid w:val="00556756"/>
    <w:rsid w:val="00556AA2"/>
    <w:rsid w:val="005575B2"/>
    <w:rsid w:val="005576D7"/>
    <w:rsid w:val="0056062B"/>
    <w:rsid w:val="00560EB4"/>
    <w:rsid w:val="0056278E"/>
    <w:rsid w:val="0056348C"/>
    <w:rsid w:val="00563CF7"/>
    <w:rsid w:val="00564026"/>
    <w:rsid w:val="0056427D"/>
    <w:rsid w:val="00564B48"/>
    <w:rsid w:val="0056571D"/>
    <w:rsid w:val="005658FB"/>
    <w:rsid w:val="005668EF"/>
    <w:rsid w:val="0056695D"/>
    <w:rsid w:val="00570FE1"/>
    <w:rsid w:val="00571AA7"/>
    <w:rsid w:val="00573071"/>
    <w:rsid w:val="00574FDE"/>
    <w:rsid w:val="00575475"/>
    <w:rsid w:val="00575F4F"/>
    <w:rsid w:val="005763E6"/>
    <w:rsid w:val="00577106"/>
    <w:rsid w:val="005771C0"/>
    <w:rsid w:val="005773EA"/>
    <w:rsid w:val="00580505"/>
    <w:rsid w:val="005805B6"/>
    <w:rsid w:val="0058061F"/>
    <w:rsid w:val="0058090A"/>
    <w:rsid w:val="00580B38"/>
    <w:rsid w:val="00581495"/>
    <w:rsid w:val="00585134"/>
    <w:rsid w:val="00585792"/>
    <w:rsid w:val="005868C4"/>
    <w:rsid w:val="005871F9"/>
    <w:rsid w:val="00591833"/>
    <w:rsid w:val="00591C2A"/>
    <w:rsid w:val="00591E39"/>
    <w:rsid w:val="005926AE"/>
    <w:rsid w:val="00593832"/>
    <w:rsid w:val="00593C83"/>
    <w:rsid w:val="00594396"/>
    <w:rsid w:val="00594703"/>
    <w:rsid w:val="00594D45"/>
    <w:rsid w:val="00594E7F"/>
    <w:rsid w:val="00595433"/>
    <w:rsid w:val="00595D61"/>
    <w:rsid w:val="0059653E"/>
    <w:rsid w:val="005968F6"/>
    <w:rsid w:val="005969AA"/>
    <w:rsid w:val="00596A90"/>
    <w:rsid w:val="005A040E"/>
    <w:rsid w:val="005A0B47"/>
    <w:rsid w:val="005A0CF6"/>
    <w:rsid w:val="005A1F3E"/>
    <w:rsid w:val="005A20EE"/>
    <w:rsid w:val="005A25CB"/>
    <w:rsid w:val="005A2724"/>
    <w:rsid w:val="005A2745"/>
    <w:rsid w:val="005A2756"/>
    <w:rsid w:val="005A3F10"/>
    <w:rsid w:val="005A423D"/>
    <w:rsid w:val="005A4DB5"/>
    <w:rsid w:val="005A637B"/>
    <w:rsid w:val="005A6422"/>
    <w:rsid w:val="005A7017"/>
    <w:rsid w:val="005B054F"/>
    <w:rsid w:val="005B18F1"/>
    <w:rsid w:val="005B2DCC"/>
    <w:rsid w:val="005B3837"/>
    <w:rsid w:val="005B388F"/>
    <w:rsid w:val="005B3BC3"/>
    <w:rsid w:val="005B3E26"/>
    <w:rsid w:val="005B3F1A"/>
    <w:rsid w:val="005B4BB3"/>
    <w:rsid w:val="005B565D"/>
    <w:rsid w:val="005B7C2C"/>
    <w:rsid w:val="005C033F"/>
    <w:rsid w:val="005C10D0"/>
    <w:rsid w:val="005C19ED"/>
    <w:rsid w:val="005C39A2"/>
    <w:rsid w:val="005C6C6C"/>
    <w:rsid w:val="005C77E7"/>
    <w:rsid w:val="005D02A6"/>
    <w:rsid w:val="005D05FD"/>
    <w:rsid w:val="005D0989"/>
    <w:rsid w:val="005D0A3B"/>
    <w:rsid w:val="005D0AA9"/>
    <w:rsid w:val="005D129D"/>
    <w:rsid w:val="005D156C"/>
    <w:rsid w:val="005D1571"/>
    <w:rsid w:val="005D1BC4"/>
    <w:rsid w:val="005D22E1"/>
    <w:rsid w:val="005D2782"/>
    <w:rsid w:val="005D3057"/>
    <w:rsid w:val="005D3BDA"/>
    <w:rsid w:val="005D3CA2"/>
    <w:rsid w:val="005D46AA"/>
    <w:rsid w:val="005D6A3D"/>
    <w:rsid w:val="005D71D8"/>
    <w:rsid w:val="005D7F1D"/>
    <w:rsid w:val="005E08D7"/>
    <w:rsid w:val="005E0A3F"/>
    <w:rsid w:val="005E356F"/>
    <w:rsid w:val="005E6FD1"/>
    <w:rsid w:val="005E7C0D"/>
    <w:rsid w:val="005F01A9"/>
    <w:rsid w:val="005F0BC3"/>
    <w:rsid w:val="005F0CFF"/>
    <w:rsid w:val="005F1182"/>
    <w:rsid w:val="005F241C"/>
    <w:rsid w:val="005F245F"/>
    <w:rsid w:val="005F2CF6"/>
    <w:rsid w:val="005F33A1"/>
    <w:rsid w:val="005F366C"/>
    <w:rsid w:val="005F39E6"/>
    <w:rsid w:val="005F4009"/>
    <w:rsid w:val="005F48A4"/>
    <w:rsid w:val="005F4DD7"/>
    <w:rsid w:val="005F52B9"/>
    <w:rsid w:val="005F56AD"/>
    <w:rsid w:val="005F63D8"/>
    <w:rsid w:val="005F6487"/>
    <w:rsid w:val="005F765C"/>
    <w:rsid w:val="00600A0F"/>
    <w:rsid w:val="0060103F"/>
    <w:rsid w:val="00601209"/>
    <w:rsid w:val="00601BEE"/>
    <w:rsid w:val="00601C08"/>
    <w:rsid w:val="00602FC9"/>
    <w:rsid w:val="006035B3"/>
    <w:rsid w:val="00604865"/>
    <w:rsid w:val="00604A63"/>
    <w:rsid w:val="00604DC8"/>
    <w:rsid w:val="00605DF0"/>
    <w:rsid w:val="00607817"/>
    <w:rsid w:val="00611CAD"/>
    <w:rsid w:val="00611D93"/>
    <w:rsid w:val="00612195"/>
    <w:rsid w:val="0061225B"/>
    <w:rsid w:val="00612CCC"/>
    <w:rsid w:val="00612FFD"/>
    <w:rsid w:val="00613AD3"/>
    <w:rsid w:val="00614CA4"/>
    <w:rsid w:val="00615403"/>
    <w:rsid w:val="00616782"/>
    <w:rsid w:val="00617208"/>
    <w:rsid w:val="0061765C"/>
    <w:rsid w:val="006210B3"/>
    <w:rsid w:val="00621A9E"/>
    <w:rsid w:val="00621ABD"/>
    <w:rsid w:val="00621FF3"/>
    <w:rsid w:val="00622B0E"/>
    <w:rsid w:val="00622F1B"/>
    <w:rsid w:val="00624DB2"/>
    <w:rsid w:val="006252F6"/>
    <w:rsid w:val="0062573F"/>
    <w:rsid w:val="00626280"/>
    <w:rsid w:val="006300EA"/>
    <w:rsid w:val="00630304"/>
    <w:rsid w:val="00630503"/>
    <w:rsid w:val="006306F9"/>
    <w:rsid w:val="00631293"/>
    <w:rsid w:val="0063283A"/>
    <w:rsid w:val="006337FA"/>
    <w:rsid w:val="00633ABA"/>
    <w:rsid w:val="00634760"/>
    <w:rsid w:val="00634A73"/>
    <w:rsid w:val="00636553"/>
    <w:rsid w:val="00640144"/>
    <w:rsid w:val="006407E5"/>
    <w:rsid w:val="00641B02"/>
    <w:rsid w:val="0064219A"/>
    <w:rsid w:val="006422FA"/>
    <w:rsid w:val="006427AE"/>
    <w:rsid w:val="0064308B"/>
    <w:rsid w:val="006438D7"/>
    <w:rsid w:val="0064587B"/>
    <w:rsid w:val="00646F6B"/>
    <w:rsid w:val="006477EE"/>
    <w:rsid w:val="00647B06"/>
    <w:rsid w:val="00650470"/>
    <w:rsid w:val="0065063F"/>
    <w:rsid w:val="00650916"/>
    <w:rsid w:val="00652AAA"/>
    <w:rsid w:val="00652CFB"/>
    <w:rsid w:val="006541A7"/>
    <w:rsid w:val="00654526"/>
    <w:rsid w:val="00654BCE"/>
    <w:rsid w:val="0065537C"/>
    <w:rsid w:val="00655679"/>
    <w:rsid w:val="00656443"/>
    <w:rsid w:val="0065650E"/>
    <w:rsid w:val="00657C7F"/>
    <w:rsid w:val="006600C0"/>
    <w:rsid w:val="0066012F"/>
    <w:rsid w:val="00660A2D"/>
    <w:rsid w:val="006620F9"/>
    <w:rsid w:val="006621BB"/>
    <w:rsid w:val="006629D0"/>
    <w:rsid w:val="00664CDA"/>
    <w:rsid w:val="00665250"/>
    <w:rsid w:val="006656CE"/>
    <w:rsid w:val="00665768"/>
    <w:rsid w:val="00665DF9"/>
    <w:rsid w:val="00666024"/>
    <w:rsid w:val="006669DD"/>
    <w:rsid w:val="00666F7B"/>
    <w:rsid w:val="0066765D"/>
    <w:rsid w:val="006677B7"/>
    <w:rsid w:val="00670BFF"/>
    <w:rsid w:val="00670ED4"/>
    <w:rsid w:val="00670F01"/>
    <w:rsid w:val="00671D58"/>
    <w:rsid w:val="00671FF6"/>
    <w:rsid w:val="006721BE"/>
    <w:rsid w:val="00673858"/>
    <w:rsid w:val="00673FAE"/>
    <w:rsid w:val="0067418A"/>
    <w:rsid w:val="006746A5"/>
    <w:rsid w:val="00674A60"/>
    <w:rsid w:val="00674D41"/>
    <w:rsid w:val="00675021"/>
    <w:rsid w:val="0067502A"/>
    <w:rsid w:val="00675138"/>
    <w:rsid w:val="00675851"/>
    <w:rsid w:val="00676A6A"/>
    <w:rsid w:val="006802ED"/>
    <w:rsid w:val="00680DFD"/>
    <w:rsid w:val="00685DE3"/>
    <w:rsid w:val="00685FC0"/>
    <w:rsid w:val="00687837"/>
    <w:rsid w:val="006909E0"/>
    <w:rsid w:val="00694143"/>
    <w:rsid w:val="0069432D"/>
    <w:rsid w:val="0069545D"/>
    <w:rsid w:val="00696425"/>
    <w:rsid w:val="006A0081"/>
    <w:rsid w:val="006A0A5A"/>
    <w:rsid w:val="006A117F"/>
    <w:rsid w:val="006A4B0D"/>
    <w:rsid w:val="006A61BC"/>
    <w:rsid w:val="006A65CD"/>
    <w:rsid w:val="006A68A5"/>
    <w:rsid w:val="006A70B0"/>
    <w:rsid w:val="006B181D"/>
    <w:rsid w:val="006B1E7C"/>
    <w:rsid w:val="006B2823"/>
    <w:rsid w:val="006B39C5"/>
    <w:rsid w:val="006B464C"/>
    <w:rsid w:val="006B6716"/>
    <w:rsid w:val="006B71F7"/>
    <w:rsid w:val="006B7216"/>
    <w:rsid w:val="006C02CD"/>
    <w:rsid w:val="006C0923"/>
    <w:rsid w:val="006C24AA"/>
    <w:rsid w:val="006C286C"/>
    <w:rsid w:val="006C2E00"/>
    <w:rsid w:val="006C38A7"/>
    <w:rsid w:val="006C3AFC"/>
    <w:rsid w:val="006C3EB4"/>
    <w:rsid w:val="006C428A"/>
    <w:rsid w:val="006C58C8"/>
    <w:rsid w:val="006C5B4F"/>
    <w:rsid w:val="006C6A6E"/>
    <w:rsid w:val="006C75AE"/>
    <w:rsid w:val="006C7794"/>
    <w:rsid w:val="006D129F"/>
    <w:rsid w:val="006D1711"/>
    <w:rsid w:val="006D21E4"/>
    <w:rsid w:val="006D289E"/>
    <w:rsid w:val="006D29C0"/>
    <w:rsid w:val="006D2A49"/>
    <w:rsid w:val="006D2C97"/>
    <w:rsid w:val="006D3587"/>
    <w:rsid w:val="006D4B0B"/>
    <w:rsid w:val="006D5638"/>
    <w:rsid w:val="006D6166"/>
    <w:rsid w:val="006D729E"/>
    <w:rsid w:val="006D7778"/>
    <w:rsid w:val="006D78A9"/>
    <w:rsid w:val="006D7DF0"/>
    <w:rsid w:val="006E04CB"/>
    <w:rsid w:val="006E129F"/>
    <w:rsid w:val="006E2EC6"/>
    <w:rsid w:val="006E36AB"/>
    <w:rsid w:val="006E6E5A"/>
    <w:rsid w:val="006E7985"/>
    <w:rsid w:val="006F0904"/>
    <w:rsid w:val="006F129A"/>
    <w:rsid w:val="006F2AED"/>
    <w:rsid w:val="006F3055"/>
    <w:rsid w:val="006F3572"/>
    <w:rsid w:val="006F3AD9"/>
    <w:rsid w:val="006F4458"/>
    <w:rsid w:val="006F54EF"/>
    <w:rsid w:val="006F582C"/>
    <w:rsid w:val="006F68D3"/>
    <w:rsid w:val="006F6CA4"/>
    <w:rsid w:val="006F70B3"/>
    <w:rsid w:val="006F772A"/>
    <w:rsid w:val="00700312"/>
    <w:rsid w:val="00700A2D"/>
    <w:rsid w:val="00701333"/>
    <w:rsid w:val="00703993"/>
    <w:rsid w:val="0070402F"/>
    <w:rsid w:val="007043B2"/>
    <w:rsid w:val="00705FDE"/>
    <w:rsid w:val="0070755C"/>
    <w:rsid w:val="00707C26"/>
    <w:rsid w:val="00707CBF"/>
    <w:rsid w:val="00711272"/>
    <w:rsid w:val="007118C1"/>
    <w:rsid w:val="00711F8B"/>
    <w:rsid w:val="00712B96"/>
    <w:rsid w:val="00712EE9"/>
    <w:rsid w:val="00713C61"/>
    <w:rsid w:val="007162E3"/>
    <w:rsid w:val="00716914"/>
    <w:rsid w:val="00716DB7"/>
    <w:rsid w:val="007205E3"/>
    <w:rsid w:val="00721307"/>
    <w:rsid w:val="00721EBC"/>
    <w:rsid w:val="00722944"/>
    <w:rsid w:val="007230A6"/>
    <w:rsid w:val="007234F6"/>
    <w:rsid w:val="0072407E"/>
    <w:rsid w:val="007246E0"/>
    <w:rsid w:val="00725AF4"/>
    <w:rsid w:val="00732B76"/>
    <w:rsid w:val="00733AB1"/>
    <w:rsid w:val="007348F3"/>
    <w:rsid w:val="007354B6"/>
    <w:rsid w:val="0073621E"/>
    <w:rsid w:val="00736C12"/>
    <w:rsid w:val="00736F60"/>
    <w:rsid w:val="00736FBD"/>
    <w:rsid w:val="007401DE"/>
    <w:rsid w:val="00740503"/>
    <w:rsid w:val="0074058A"/>
    <w:rsid w:val="00740F0A"/>
    <w:rsid w:val="0074151D"/>
    <w:rsid w:val="00741ABA"/>
    <w:rsid w:val="007427CC"/>
    <w:rsid w:val="00744608"/>
    <w:rsid w:val="00744CB9"/>
    <w:rsid w:val="0074523E"/>
    <w:rsid w:val="00745854"/>
    <w:rsid w:val="00745D49"/>
    <w:rsid w:val="00745D4A"/>
    <w:rsid w:val="00750BC4"/>
    <w:rsid w:val="00751271"/>
    <w:rsid w:val="00751877"/>
    <w:rsid w:val="00753B18"/>
    <w:rsid w:val="00753F50"/>
    <w:rsid w:val="0075537D"/>
    <w:rsid w:val="00755410"/>
    <w:rsid w:val="007559A5"/>
    <w:rsid w:val="00755AD4"/>
    <w:rsid w:val="00755CFD"/>
    <w:rsid w:val="00755D7B"/>
    <w:rsid w:val="00756093"/>
    <w:rsid w:val="00757027"/>
    <w:rsid w:val="007571E7"/>
    <w:rsid w:val="00757E1B"/>
    <w:rsid w:val="00760DF1"/>
    <w:rsid w:val="00761DC6"/>
    <w:rsid w:val="00762933"/>
    <w:rsid w:val="00762CDD"/>
    <w:rsid w:val="0076372B"/>
    <w:rsid w:val="007641AD"/>
    <w:rsid w:val="00764333"/>
    <w:rsid w:val="00764F65"/>
    <w:rsid w:val="00765A77"/>
    <w:rsid w:val="00766022"/>
    <w:rsid w:val="0076692B"/>
    <w:rsid w:val="007674F2"/>
    <w:rsid w:val="007678D9"/>
    <w:rsid w:val="00770D0E"/>
    <w:rsid w:val="007715F5"/>
    <w:rsid w:val="007721A4"/>
    <w:rsid w:val="007721CA"/>
    <w:rsid w:val="00772F0D"/>
    <w:rsid w:val="00772F3E"/>
    <w:rsid w:val="00774574"/>
    <w:rsid w:val="007748CF"/>
    <w:rsid w:val="007767EB"/>
    <w:rsid w:val="00776AC5"/>
    <w:rsid w:val="00776ADF"/>
    <w:rsid w:val="00776F51"/>
    <w:rsid w:val="00777655"/>
    <w:rsid w:val="00777EE1"/>
    <w:rsid w:val="00780716"/>
    <w:rsid w:val="007808EE"/>
    <w:rsid w:val="007813DB"/>
    <w:rsid w:val="007818D5"/>
    <w:rsid w:val="00781E44"/>
    <w:rsid w:val="00782C83"/>
    <w:rsid w:val="007844F2"/>
    <w:rsid w:val="00784682"/>
    <w:rsid w:val="0078543B"/>
    <w:rsid w:val="007856AC"/>
    <w:rsid w:val="00785F91"/>
    <w:rsid w:val="007869E3"/>
    <w:rsid w:val="00790DFF"/>
    <w:rsid w:val="007917BA"/>
    <w:rsid w:val="00791D94"/>
    <w:rsid w:val="0079214D"/>
    <w:rsid w:val="007934D1"/>
    <w:rsid w:val="007939F1"/>
    <w:rsid w:val="00793C8D"/>
    <w:rsid w:val="00795CE5"/>
    <w:rsid w:val="00795D27"/>
    <w:rsid w:val="00795E27"/>
    <w:rsid w:val="0079601A"/>
    <w:rsid w:val="00796737"/>
    <w:rsid w:val="00796BE0"/>
    <w:rsid w:val="007A0FF0"/>
    <w:rsid w:val="007A10FA"/>
    <w:rsid w:val="007A132B"/>
    <w:rsid w:val="007A13A6"/>
    <w:rsid w:val="007A1598"/>
    <w:rsid w:val="007A1A5A"/>
    <w:rsid w:val="007A1A84"/>
    <w:rsid w:val="007A313A"/>
    <w:rsid w:val="007A3218"/>
    <w:rsid w:val="007A3D00"/>
    <w:rsid w:val="007A42FC"/>
    <w:rsid w:val="007A4879"/>
    <w:rsid w:val="007A5404"/>
    <w:rsid w:val="007A567E"/>
    <w:rsid w:val="007A60F0"/>
    <w:rsid w:val="007A696B"/>
    <w:rsid w:val="007B0361"/>
    <w:rsid w:val="007B10DA"/>
    <w:rsid w:val="007B4093"/>
    <w:rsid w:val="007B4239"/>
    <w:rsid w:val="007B5239"/>
    <w:rsid w:val="007B5468"/>
    <w:rsid w:val="007B5E64"/>
    <w:rsid w:val="007B5EF7"/>
    <w:rsid w:val="007C05E0"/>
    <w:rsid w:val="007C0FA1"/>
    <w:rsid w:val="007C1313"/>
    <w:rsid w:val="007C2D53"/>
    <w:rsid w:val="007C30D9"/>
    <w:rsid w:val="007C3857"/>
    <w:rsid w:val="007C395F"/>
    <w:rsid w:val="007C3E5F"/>
    <w:rsid w:val="007C45FF"/>
    <w:rsid w:val="007C4701"/>
    <w:rsid w:val="007C57CD"/>
    <w:rsid w:val="007C59AA"/>
    <w:rsid w:val="007C61F5"/>
    <w:rsid w:val="007C69ED"/>
    <w:rsid w:val="007C6C47"/>
    <w:rsid w:val="007C7423"/>
    <w:rsid w:val="007C7579"/>
    <w:rsid w:val="007C7DBC"/>
    <w:rsid w:val="007D0331"/>
    <w:rsid w:val="007D128D"/>
    <w:rsid w:val="007D1835"/>
    <w:rsid w:val="007D1FD1"/>
    <w:rsid w:val="007D20A9"/>
    <w:rsid w:val="007D2359"/>
    <w:rsid w:val="007D25CB"/>
    <w:rsid w:val="007D3007"/>
    <w:rsid w:val="007D317E"/>
    <w:rsid w:val="007D3C75"/>
    <w:rsid w:val="007D46D3"/>
    <w:rsid w:val="007D4909"/>
    <w:rsid w:val="007D4AA3"/>
    <w:rsid w:val="007D561F"/>
    <w:rsid w:val="007D5709"/>
    <w:rsid w:val="007D5BF0"/>
    <w:rsid w:val="007E1B2F"/>
    <w:rsid w:val="007E2540"/>
    <w:rsid w:val="007E3465"/>
    <w:rsid w:val="007E4171"/>
    <w:rsid w:val="007E45E0"/>
    <w:rsid w:val="007E5CBB"/>
    <w:rsid w:val="007E62F6"/>
    <w:rsid w:val="007E6433"/>
    <w:rsid w:val="007E6676"/>
    <w:rsid w:val="007F05A7"/>
    <w:rsid w:val="007F099C"/>
    <w:rsid w:val="007F30D4"/>
    <w:rsid w:val="007F31F6"/>
    <w:rsid w:val="007F3584"/>
    <w:rsid w:val="007F36C6"/>
    <w:rsid w:val="007F44D7"/>
    <w:rsid w:val="007F4673"/>
    <w:rsid w:val="007F650C"/>
    <w:rsid w:val="007F786B"/>
    <w:rsid w:val="007F7B6B"/>
    <w:rsid w:val="007F7DE1"/>
    <w:rsid w:val="00802772"/>
    <w:rsid w:val="008032ED"/>
    <w:rsid w:val="00803391"/>
    <w:rsid w:val="008033A4"/>
    <w:rsid w:val="00803F97"/>
    <w:rsid w:val="0080405F"/>
    <w:rsid w:val="008042AC"/>
    <w:rsid w:val="008042E0"/>
    <w:rsid w:val="008048B1"/>
    <w:rsid w:val="008049C0"/>
    <w:rsid w:val="00804CD4"/>
    <w:rsid w:val="00805EC4"/>
    <w:rsid w:val="00806B92"/>
    <w:rsid w:val="00807647"/>
    <w:rsid w:val="00807A89"/>
    <w:rsid w:val="0081039B"/>
    <w:rsid w:val="00811EC8"/>
    <w:rsid w:val="008129C6"/>
    <w:rsid w:val="00812E96"/>
    <w:rsid w:val="008146B7"/>
    <w:rsid w:val="0081512E"/>
    <w:rsid w:val="00816EB3"/>
    <w:rsid w:val="0081709E"/>
    <w:rsid w:val="00817E8D"/>
    <w:rsid w:val="00820174"/>
    <w:rsid w:val="008208FB"/>
    <w:rsid w:val="0082098B"/>
    <w:rsid w:val="0082157B"/>
    <w:rsid w:val="00821634"/>
    <w:rsid w:val="00821769"/>
    <w:rsid w:val="008219D2"/>
    <w:rsid w:val="00821FAD"/>
    <w:rsid w:val="0082295E"/>
    <w:rsid w:val="0082404F"/>
    <w:rsid w:val="0082427E"/>
    <w:rsid w:val="0082495E"/>
    <w:rsid w:val="008262BD"/>
    <w:rsid w:val="00826974"/>
    <w:rsid w:val="00830185"/>
    <w:rsid w:val="008313F9"/>
    <w:rsid w:val="00831AE5"/>
    <w:rsid w:val="008323D1"/>
    <w:rsid w:val="00833731"/>
    <w:rsid w:val="0083399E"/>
    <w:rsid w:val="008344F5"/>
    <w:rsid w:val="008358EF"/>
    <w:rsid w:val="00840404"/>
    <w:rsid w:val="00843308"/>
    <w:rsid w:val="008447D6"/>
    <w:rsid w:val="00844DCD"/>
    <w:rsid w:val="008452C8"/>
    <w:rsid w:val="008454A2"/>
    <w:rsid w:val="00846057"/>
    <w:rsid w:val="00846157"/>
    <w:rsid w:val="00846234"/>
    <w:rsid w:val="00846DBE"/>
    <w:rsid w:val="00846FB0"/>
    <w:rsid w:val="00850C6D"/>
    <w:rsid w:val="008512DE"/>
    <w:rsid w:val="00852EAD"/>
    <w:rsid w:val="00853A7E"/>
    <w:rsid w:val="00853AE9"/>
    <w:rsid w:val="008540CA"/>
    <w:rsid w:val="00854186"/>
    <w:rsid w:val="00854281"/>
    <w:rsid w:val="00854689"/>
    <w:rsid w:val="00855ADF"/>
    <w:rsid w:val="00855BC2"/>
    <w:rsid w:val="00856801"/>
    <w:rsid w:val="008573F4"/>
    <w:rsid w:val="00857854"/>
    <w:rsid w:val="00857C7D"/>
    <w:rsid w:val="00861628"/>
    <w:rsid w:val="00861BB0"/>
    <w:rsid w:val="008621D3"/>
    <w:rsid w:val="00862EA0"/>
    <w:rsid w:val="0086377B"/>
    <w:rsid w:val="00863AC5"/>
    <w:rsid w:val="00864ACA"/>
    <w:rsid w:val="00865307"/>
    <w:rsid w:val="0086553E"/>
    <w:rsid w:val="00865951"/>
    <w:rsid w:val="00865E19"/>
    <w:rsid w:val="00867118"/>
    <w:rsid w:val="0086753C"/>
    <w:rsid w:val="00870C2E"/>
    <w:rsid w:val="0087124E"/>
    <w:rsid w:val="00871404"/>
    <w:rsid w:val="00871C26"/>
    <w:rsid w:val="0087247F"/>
    <w:rsid w:val="0087352C"/>
    <w:rsid w:val="00874062"/>
    <w:rsid w:val="008753EF"/>
    <w:rsid w:val="00876978"/>
    <w:rsid w:val="00876A99"/>
    <w:rsid w:val="00877395"/>
    <w:rsid w:val="00881B40"/>
    <w:rsid w:val="008825FC"/>
    <w:rsid w:val="0088270B"/>
    <w:rsid w:val="00882E8B"/>
    <w:rsid w:val="008841A7"/>
    <w:rsid w:val="0088502D"/>
    <w:rsid w:val="00887291"/>
    <w:rsid w:val="008875ED"/>
    <w:rsid w:val="00887A33"/>
    <w:rsid w:val="008903D5"/>
    <w:rsid w:val="00890A89"/>
    <w:rsid w:val="008913C9"/>
    <w:rsid w:val="00892257"/>
    <w:rsid w:val="00892659"/>
    <w:rsid w:val="008947D6"/>
    <w:rsid w:val="0089578C"/>
    <w:rsid w:val="00895C9D"/>
    <w:rsid w:val="00896809"/>
    <w:rsid w:val="008970AC"/>
    <w:rsid w:val="008974D7"/>
    <w:rsid w:val="00897CDA"/>
    <w:rsid w:val="008A07E4"/>
    <w:rsid w:val="008A0C31"/>
    <w:rsid w:val="008A0F2C"/>
    <w:rsid w:val="008A1B7E"/>
    <w:rsid w:val="008A2A29"/>
    <w:rsid w:val="008A4331"/>
    <w:rsid w:val="008A49A5"/>
    <w:rsid w:val="008A518B"/>
    <w:rsid w:val="008A5386"/>
    <w:rsid w:val="008A5BA5"/>
    <w:rsid w:val="008A5DFF"/>
    <w:rsid w:val="008A5F2B"/>
    <w:rsid w:val="008A601F"/>
    <w:rsid w:val="008B091F"/>
    <w:rsid w:val="008B0D65"/>
    <w:rsid w:val="008B1D32"/>
    <w:rsid w:val="008B2222"/>
    <w:rsid w:val="008B2B0D"/>
    <w:rsid w:val="008B39A4"/>
    <w:rsid w:val="008B4F90"/>
    <w:rsid w:val="008B5050"/>
    <w:rsid w:val="008B5946"/>
    <w:rsid w:val="008B71BC"/>
    <w:rsid w:val="008B7EDE"/>
    <w:rsid w:val="008C01E9"/>
    <w:rsid w:val="008C1043"/>
    <w:rsid w:val="008C12AD"/>
    <w:rsid w:val="008C25FF"/>
    <w:rsid w:val="008C2880"/>
    <w:rsid w:val="008C41A9"/>
    <w:rsid w:val="008C4E49"/>
    <w:rsid w:val="008C4F6B"/>
    <w:rsid w:val="008C50E2"/>
    <w:rsid w:val="008C590C"/>
    <w:rsid w:val="008C5F32"/>
    <w:rsid w:val="008C60EB"/>
    <w:rsid w:val="008C7F66"/>
    <w:rsid w:val="008D0AC4"/>
    <w:rsid w:val="008D2198"/>
    <w:rsid w:val="008D219D"/>
    <w:rsid w:val="008D3697"/>
    <w:rsid w:val="008D36EF"/>
    <w:rsid w:val="008D445B"/>
    <w:rsid w:val="008D4578"/>
    <w:rsid w:val="008D5328"/>
    <w:rsid w:val="008D78C2"/>
    <w:rsid w:val="008E07A7"/>
    <w:rsid w:val="008E2EA3"/>
    <w:rsid w:val="008E3D6D"/>
    <w:rsid w:val="008E49CC"/>
    <w:rsid w:val="008F2234"/>
    <w:rsid w:val="008F22E6"/>
    <w:rsid w:val="008F279C"/>
    <w:rsid w:val="008F6B6B"/>
    <w:rsid w:val="008F6E08"/>
    <w:rsid w:val="008F782A"/>
    <w:rsid w:val="008F788B"/>
    <w:rsid w:val="00900021"/>
    <w:rsid w:val="009000B7"/>
    <w:rsid w:val="0090055A"/>
    <w:rsid w:val="00900764"/>
    <w:rsid w:val="00900D28"/>
    <w:rsid w:val="009010FE"/>
    <w:rsid w:val="0090158F"/>
    <w:rsid w:val="009015AF"/>
    <w:rsid w:val="009019CA"/>
    <w:rsid w:val="009022AA"/>
    <w:rsid w:val="00902BA6"/>
    <w:rsid w:val="00904F8B"/>
    <w:rsid w:val="009055CE"/>
    <w:rsid w:val="00905677"/>
    <w:rsid w:val="00905698"/>
    <w:rsid w:val="0090578E"/>
    <w:rsid w:val="00905979"/>
    <w:rsid w:val="009078E4"/>
    <w:rsid w:val="0091010E"/>
    <w:rsid w:val="009107D0"/>
    <w:rsid w:val="0091125D"/>
    <w:rsid w:val="00911840"/>
    <w:rsid w:val="00911EE3"/>
    <w:rsid w:val="00912297"/>
    <w:rsid w:val="00912B6D"/>
    <w:rsid w:val="00912B9B"/>
    <w:rsid w:val="00912D85"/>
    <w:rsid w:val="00915275"/>
    <w:rsid w:val="00916084"/>
    <w:rsid w:val="00916AAA"/>
    <w:rsid w:val="0091759D"/>
    <w:rsid w:val="00917B58"/>
    <w:rsid w:val="00920499"/>
    <w:rsid w:val="009207CE"/>
    <w:rsid w:val="00921E22"/>
    <w:rsid w:val="00922B95"/>
    <w:rsid w:val="009234E0"/>
    <w:rsid w:val="0092411E"/>
    <w:rsid w:val="00924B4E"/>
    <w:rsid w:val="00924BD4"/>
    <w:rsid w:val="0092548B"/>
    <w:rsid w:val="009268B1"/>
    <w:rsid w:val="009270AC"/>
    <w:rsid w:val="0093022C"/>
    <w:rsid w:val="00930796"/>
    <w:rsid w:val="0093102A"/>
    <w:rsid w:val="00931842"/>
    <w:rsid w:val="00932158"/>
    <w:rsid w:val="0093215C"/>
    <w:rsid w:val="00932348"/>
    <w:rsid w:val="0093545C"/>
    <w:rsid w:val="00936248"/>
    <w:rsid w:val="00940C3F"/>
    <w:rsid w:val="00941BB1"/>
    <w:rsid w:val="009436E5"/>
    <w:rsid w:val="00945D30"/>
    <w:rsid w:val="00945FC1"/>
    <w:rsid w:val="00947F5A"/>
    <w:rsid w:val="00950903"/>
    <w:rsid w:val="00950DE4"/>
    <w:rsid w:val="00951E52"/>
    <w:rsid w:val="00952051"/>
    <w:rsid w:val="00952CA7"/>
    <w:rsid w:val="009534A5"/>
    <w:rsid w:val="009542DE"/>
    <w:rsid w:val="009546BF"/>
    <w:rsid w:val="009547F6"/>
    <w:rsid w:val="009550E1"/>
    <w:rsid w:val="0095517B"/>
    <w:rsid w:val="009555B9"/>
    <w:rsid w:val="00955ADE"/>
    <w:rsid w:val="00955F50"/>
    <w:rsid w:val="00956329"/>
    <w:rsid w:val="00956861"/>
    <w:rsid w:val="00956A7F"/>
    <w:rsid w:val="00956EAA"/>
    <w:rsid w:val="00960227"/>
    <w:rsid w:val="00962C47"/>
    <w:rsid w:val="00962FBA"/>
    <w:rsid w:val="009630ED"/>
    <w:rsid w:val="00963167"/>
    <w:rsid w:val="00963F4D"/>
    <w:rsid w:val="00966F75"/>
    <w:rsid w:val="00967504"/>
    <w:rsid w:val="009675C2"/>
    <w:rsid w:val="009679E2"/>
    <w:rsid w:val="00970704"/>
    <w:rsid w:val="009716A8"/>
    <w:rsid w:val="009717E7"/>
    <w:rsid w:val="00972832"/>
    <w:rsid w:val="00973685"/>
    <w:rsid w:val="00973AF3"/>
    <w:rsid w:val="00973E6B"/>
    <w:rsid w:val="00975A28"/>
    <w:rsid w:val="00975C15"/>
    <w:rsid w:val="00976147"/>
    <w:rsid w:val="009769AE"/>
    <w:rsid w:val="00976E6C"/>
    <w:rsid w:val="009806DD"/>
    <w:rsid w:val="00983196"/>
    <w:rsid w:val="00984180"/>
    <w:rsid w:val="0098615E"/>
    <w:rsid w:val="00986786"/>
    <w:rsid w:val="00986A58"/>
    <w:rsid w:val="00986D31"/>
    <w:rsid w:val="00990552"/>
    <w:rsid w:val="0099162B"/>
    <w:rsid w:val="009918B1"/>
    <w:rsid w:val="009936E6"/>
    <w:rsid w:val="009946C0"/>
    <w:rsid w:val="00996446"/>
    <w:rsid w:val="009A045A"/>
    <w:rsid w:val="009A057C"/>
    <w:rsid w:val="009A14BC"/>
    <w:rsid w:val="009A431B"/>
    <w:rsid w:val="009A5E95"/>
    <w:rsid w:val="009A6FBD"/>
    <w:rsid w:val="009A748F"/>
    <w:rsid w:val="009B03BB"/>
    <w:rsid w:val="009B1679"/>
    <w:rsid w:val="009B250C"/>
    <w:rsid w:val="009B3D62"/>
    <w:rsid w:val="009B4415"/>
    <w:rsid w:val="009B4A7E"/>
    <w:rsid w:val="009B5C2C"/>
    <w:rsid w:val="009C0309"/>
    <w:rsid w:val="009C0772"/>
    <w:rsid w:val="009C0CCC"/>
    <w:rsid w:val="009C1264"/>
    <w:rsid w:val="009C1D06"/>
    <w:rsid w:val="009C224C"/>
    <w:rsid w:val="009C229D"/>
    <w:rsid w:val="009C318F"/>
    <w:rsid w:val="009C510F"/>
    <w:rsid w:val="009C5676"/>
    <w:rsid w:val="009C635A"/>
    <w:rsid w:val="009C6825"/>
    <w:rsid w:val="009D2CC4"/>
    <w:rsid w:val="009D3E2F"/>
    <w:rsid w:val="009D443C"/>
    <w:rsid w:val="009D4F1D"/>
    <w:rsid w:val="009D513F"/>
    <w:rsid w:val="009D62BF"/>
    <w:rsid w:val="009D63E9"/>
    <w:rsid w:val="009D681A"/>
    <w:rsid w:val="009D7A40"/>
    <w:rsid w:val="009D7DEA"/>
    <w:rsid w:val="009E122F"/>
    <w:rsid w:val="009E2272"/>
    <w:rsid w:val="009E3769"/>
    <w:rsid w:val="009E3C0E"/>
    <w:rsid w:val="009E47D4"/>
    <w:rsid w:val="009E5A9F"/>
    <w:rsid w:val="009E5CF0"/>
    <w:rsid w:val="009E6235"/>
    <w:rsid w:val="009E7258"/>
    <w:rsid w:val="009E7678"/>
    <w:rsid w:val="009F0925"/>
    <w:rsid w:val="009F0D4A"/>
    <w:rsid w:val="009F21DB"/>
    <w:rsid w:val="009F3164"/>
    <w:rsid w:val="009F4ABA"/>
    <w:rsid w:val="009F50EC"/>
    <w:rsid w:val="009F52B9"/>
    <w:rsid w:val="009F63D6"/>
    <w:rsid w:val="009F6410"/>
    <w:rsid w:val="009F69C9"/>
    <w:rsid w:val="009F6AFF"/>
    <w:rsid w:val="00A0005E"/>
    <w:rsid w:val="00A0028E"/>
    <w:rsid w:val="00A01B88"/>
    <w:rsid w:val="00A023A8"/>
    <w:rsid w:val="00A02C26"/>
    <w:rsid w:val="00A03017"/>
    <w:rsid w:val="00A03DB8"/>
    <w:rsid w:val="00A06135"/>
    <w:rsid w:val="00A0639C"/>
    <w:rsid w:val="00A06E22"/>
    <w:rsid w:val="00A0740C"/>
    <w:rsid w:val="00A07F98"/>
    <w:rsid w:val="00A1071E"/>
    <w:rsid w:val="00A10BE1"/>
    <w:rsid w:val="00A10E84"/>
    <w:rsid w:val="00A11A91"/>
    <w:rsid w:val="00A13619"/>
    <w:rsid w:val="00A13D34"/>
    <w:rsid w:val="00A14098"/>
    <w:rsid w:val="00A14B1C"/>
    <w:rsid w:val="00A151E6"/>
    <w:rsid w:val="00A155AD"/>
    <w:rsid w:val="00A158FF"/>
    <w:rsid w:val="00A15F24"/>
    <w:rsid w:val="00A1682E"/>
    <w:rsid w:val="00A16E21"/>
    <w:rsid w:val="00A175EE"/>
    <w:rsid w:val="00A1769C"/>
    <w:rsid w:val="00A179DB"/>
    <w:rsid w:val="00A205D8"/>
    <w:rsid w:val="00A20A03"/>
    <w:rsid w:val="00A220C3"/>
    <w:rsid w:val="00A233B6"/>
    <w:rsid w:val="00A23804"/>
    <w:rsid w:val="00A266AF"/>
    <w:rsid w:val="00A27041"/>
    <w:rsid w:val="00A2707C"/>
    <w:rsid w:val="00A27B2A"/>
    <w:rsid w:val="00A27C9E"/>
    <w:rsid w:val="00A30003"/>
    <w:rsid w:val="00A305BA"/>
    <w:rsid w:val="00A30814"/>
    <w:rsid w:val="00A308CE"/>
    <w:rsid w:val="00A30CF4"/>
    <w:rsid w:val="00A31ECE"/>
    <w:rsid w:val="00A32B4E"/>
    <w:rsid w:val="00A33FA4"/>
    <w:rsid w:val="00A34383"/>
    <w:rsid w:val="00A34FDB"/>
    <w:rsid w:val="00A35077"/>
    <w:rsid w:val="00A352AB"/>
    <w:rsid w:val="00A35340"/>
    <w:rsid w:val="00A36777"/>
    <w:rsid w:val="00A36C17"/>
    <w:rsid w:val="00A3778D"/>
    <w:rsid w:val="00A4067D"/>
    <w:rsid w:val="00A426E5"/>
    <w:rsid w:val="00A4339E"/>
    <w:rsid w:val="00A43656"/>
    <w:rsid w:val="00A43B0B"/>
    <w:rsid w:val="00A446A0"/>
    <w:rsid w:val="00A448FA"/>
    <w:rsid w:val="00A45C59"/>
    <w:rsid w:val="00A46768"/>
    <w:rsid w:val="00A46F2E"/>
    <w:rsid w:val="00A4707B"/>
    <w:rsid w:val="00A47EFE"/>
    <w:rsid w:val="00A50C15"/>
    <w:rsid w:val="00A50FCA"/>
    <w:rsid w:val="00A51345"/>
    <w:rsid w:val="00A51723"/>
    <w:rsid w:val="00A51DFE"/>
    <w:rsid w:val="00A52FE9"/>
    <w:rsid w:val="00A5477C"/>
    <w:rsid w:val="00A55500"/>
    <w:rsid w:val="00A55BCF"/>
    <w:rsid w:val="00A55EBD"/>
    <w:rsid w:val="00A561E5"/>
    <w:rsid w:val="00A563DC"/>
    <w:rsid w:val="00A566E6"/>
    <w:rsid w:val="00A567FB"/>
    <w:rsid w:val="00A57115"/>
    <w:rsid w:val="00A57AB1"/>
    <w:rsid w:val="00A60CE1"/>
    <w:rsid w:val="00A60EE0"/>
    <w:rsid w:val="00A61AA4"/>
    <w:rsid w:val="00A62095"/>
    <w:rsid w:val="00A62384"/>
    <w:rsid w:val="00A62659"/>
    <w:rsid w:val="00A64496"/>
    <w:rsid w:val="00A6489F"/>
    <w:rsid w:val="00A64A87"/>
    <w:rsid w:val="00A66143"/>
    <w:rsid w:val="00A667A7"/>
    <w:rsid w:val="00A70185"/>
    <w:rsid w:val="00A706AD"/>
    <w:rsid w:val="00A70A70"/>
    <w:rsid w:val="00A70FD2"/>
    <w:rsid w:val="00A71D5B"/>
    <w:rsid w:val="00A72B64"/>
    <w:rsid w:val="00A73322"/>
    <w:rsid w:val="00A737AB"/>
    <w:rsid w:val="00A73CC5"/>
    <w:rsid w:val="00A744DA"/>
    <w:rsid w:val="00A74A35"/>
    <w:rsid w:val="00A752D8"/>
    <w:rsid w:val="00A753FE"/>
    <w:rsid w:val="00A766E2"/>
    <w:rsid w:val="00A8057A"/>
    <w:rsid w:val="00A81413"/>
    <w:rsid w:val="00A81B2C"/>
    <w:rsid w:val="00A82F63"/>
    <w:rsid w:val="00A84807"/>
    <w:rsid w:val="00A84FFA"/>
    <w:rsid w:val="00A85940"/>
    <w:rsid w:val="00A85BA8"/>
    <w:rsid w:val="00A86672"/>
    <w:rsid w:val="00A86999"/>
    <w:rsid w:val="00A86F65"/>
    <w:rsid w:val="00A90113"/>
    <w:rsid w:val="00A906B0"/>
    <w:rsid w:val="00A90EC3"/>
    <w:rsid w:val="00A9136D"/>
    <w:rsid w:val="00A913CC"/>
    <w:rsid w:val="00A9156D"/>
    <w:rsid w:val="00A91ACD"/>
    <w:rsid w:val="00A91BF8"/>
    <w:rsid w:val="00A924B6"/>
    <w:rsid w:val="00A93CBE"/>
    <w:rsid w:val="00A94539"/>
    <w:rsid w:val="00A9573F"/>
    <w:rsid w:val="00A9597C"/>
    <w:rsid w:val="00A95CBE"/>
    <w:rsid w:val="00A960CB"/>
    <w:rsid w:val="00A96C60"/>
    <w:rsid w:val="00A972C0"/>
    <w:rsid w:val="00A972EA"/>
    <w:rsid w:val="00A974B0"/>
    <w:rsid w:val="00A97FCF"/>
    <w:rsid w:val="00AA0004"/>
    <w:rsid w:val="00AA0988"/>
    <w:rsid w:val="00AA43A8"/>
    <w:rsid w:val="00AA56F5"/>
    <w:rsid w:val="00AA588F"/>
    <w:rsid w:val="00AA6417"/>
    <w:rsid w:val="00AA6B1B"/>
    <w:rsid w:val="00AA76A5"/>
    <w:rsid w:val="00AB089A"/>
    <w:rsid w:val="00AB115F"/>
    <w:rsid w:val="00AB29C2"/>
    <w:rsid w:val="00AB30D1"/>
    <w:rsid w:val="00AB3238"/>
    <w:rsid w:val="00AB3251"/>
    <w:rsid w:val="00AB3C46"/>
    <w:rsid w:val="00AB41F0"/>
    <w:rsid w:val="00AB4346"/>
    <w:rsid w:val="00AB4A72"/>
    <w:rsid w:val="00AB4A9E"/>
    <w:rsid w:val="00AB4C5C"/>
    <w:rsid w:val="00AB503A"/>
    <w:rsid w:val="00AB6738"/>
    <w:rsid w:val="00AB6E4B"/>
    <w:rsid w:val="00AC0D1B"/>
    <w:rsid w:val="00AC0E3D"/>
    <w:rsid w:val="00AC13DA"/>
    <w:rsid w:val="00AC25A8"/>
    <w:rsid w:val="00AC2EB8"/>
    <w:rsid w:val="00AC40EB"/>
    <w:rsid w:val="00AC4824"/>
    <w:rsid w:val="00AC540F"/>
    <w:rsid w:val="00AC6121"/>
    <w:rsid w:val="00AC6553"/>
    <w:rsid w:val="00AC7A54"/>
    <w:rsid w:val="00AD03C9"/>
    <w:rsid w:val="00AD149E"/>
    <w:rsid w:val="00AD1630"/>
    <w:rsid w:val="00AD1E09"/>
    <w:rsid w:val="00AD225D"/>
    <w:rsid w:val="00AD284F"/>
    <w:rsid w:val="00AD2EB9"/>
    <w:rsid w:val="00AD3124"/>
    <w:rsid w:val="00AD4B20"/>
    <w:rsid w:val="00AD50B1"/>
    <w:rsid w:val="00AD51ED"/>
    <w:rsid w:val="00AD55D3"/>
    <w:rsid w:val="00AD5DB2"/>
    <w:rsid w:val="00AD61E1"/>
    <w:rsid w:val="00AD716D"/>
    <w:rsid w:val="00AE0B1A"/>
    <w:rsid w:val="00AE0E48"/>
    <w:rsid w:val="00AE15F3"/>
    <w:rsid w:val="00AE19ED"/>
    <w:rsid w:val="00AE1DDB"/>
    <w:rsid w:val="00AE2234"/>
    <w:rsid w:val="00AE2847"/>
    <w:rsid w:val="00AE3A2C"/>
    <w:rsid w:val="00AE414E"/>
    <w:rsid w:val="00AE4249"/>
    <w:rsid w:val="00AE4F41"/>
    <w:rsid w:val="00AE557E"/>
    <w:rsid w:val="00AE5CCC"/>
    <w:rsid w:val="00AE62E1"/>
    <w:rsid w:val="00AF075E"/>
    <w:rsid w:val="00AF1AF6"/>
    <w:rsid w:val="00AF1BE4"/>
    <w:rsid w:val="00AF1D85"/>
    <w:rsid w:val="00AF1EA1"/>
    <w:rsid w:val="00AF1FD8"/>
    <w:rsid w:val="00AF24D9"/>
    <w:rsid w:val="00AF257A"/>
    <w:rsid w:val="00AF2CB4"/>
    <w:rsid w:val="00AF57EC"/>
    <w:rsid w:val="00AF5961"/>
    <w:rsid w:val="00AF5ED1"/>
    <w:rsid w:val="00AF66BA"/>
    <w:rsid w:val="00AF6FD3"/>
    <w:rsid w:val="00B00C43"/>
    <w:rsid w:val="00B00D51"/>
    <w:rsid w:val="00B02C13"/>
    <w:rsid w:val="00B0411F"/>
    <w:rsid w:val="00B049FE"/>
    <w:rsid w:val="00B05046"/>
    <w:rsid w:val="00B0537D"/>
    <w:rsid w:val="00B05595"/>
    <w:rsid w:val="00B06866"/>
    <w:rsid w:val="00B10B40"/>
    <w:rsid w:val="00B11681"/>
    <w:rsid w:val="00B1315B"/>
    <w:rsid w:val="00B1367B"/>
    <w:rsid w:val="00B14A85"/>
    <w:rsid w:val="00B15C41"/>
    <w:rsid w:val="00B1628F"/>
    <w:rsid w:val="00B16890"/>
    <w:rsid w:val="00B173F5"/>
    <w:rsid w:val="00B2003C"/>
    <w:rsid w:val="00B20AAA"/>
    <w:rsid w:val="00B21383"/>
    <w:rsid w:val="00B21BAC"/>
    <w:rsid w:val="00B22420"/>
    <w:rsid w:val="00B230EF"/>
    <w:rsid w:val="00B23A99"/>
    <w:rsid w:val="00B241C1"/>
    <w:rsid w:val="00B248F5"/>
    <w:rsid w:val="00B252B2"/>
    <w:rsid w:val="00B273EB"/>
    <w:rsid w:val="00B274E8"/>
    <w:rsid w:val="00B30273"/>
    <w:rsid w:val="00B30495"/>
    <w:rsid w:val="00B30BF0"/>
    <w:rsid w:val="00B31845"/>
    <w:rsid w:val="00B33D33"/>
    <w:rsid w:val="00B350CC"/>
    <w:rsid w:val="00B365ED"/>
    <w:rsid w:val="00B369F1"/>
    <w:rsid w:val="00B37760"/>
    <w:rsid w:val="00B404BC"/>
    <w:rsid w:val="00B40671"/>
    <w:rsid w:val="00B42890"/>
    <w:rsid w:val="00B42DBB"/>
    <w:rsid w:val="00B42F4B"/>
    <w:rsid w:val="00B43640"/>
    <w:rsid w:val="00B438E1"/>
    <w:rsid w:val="00B43A34"/>
    <w:rsid w:val="00B442D6"/>
    <w:rsid w:val="00B4453C"/>
    <w:rsid w:val="00B44F0B"/>
    <w:rsid w:val="00B4672E"/>
    <w:rsid w:val="00B46C1C"/>
    <w:rsid w:val="00B47E72"/>
    <w:rsid w:val="00B47EEA"/>
    <w:rsid w:val="00B5010A"/>
    <w:rsid w:val="00B50240"/>
    <w:rsid w:val="00B504D3"/>
    <w:rsid w:val="00B51983"/>
    <w:rsid w:val="00B51E35"/>
    <w:rsid w:val="00B5222F"/>
    <w:rsid w:val="00B524D6"/>
    <w:rsid w:val="00B5279A"/>
    <w:rsid w:val="00B52EC2"/>
    <w:rsid w:val="00B53C94"/>
    <w:rsid w:val="00B54779"/>
    <w:rsid w:val="00B556F9"/>
    <w:rsid w:val="00B579CD"/>
    <w:rsid w:val="00B57DE4"/>
    <w:rsid w:val="00B604DE"/>
    <w:rsid w:val="00B60915"/>
    <w:rsid w:val="00B61E36"/>
    <w:rsid w:val="00B61F87"/>
    <w:rsid w:val="00B628F2"/>
    <w:rsid w:val="00B63609"/>
    <w:rsid w:val="00B641AB"/>
    <w:rsid w:val="00B642F0"/>
    <w:rsid w:val="00B64313"/>
    <w:rsid w:val="00B650E0"/>
    <w:rsid w:val="00B650F2"/>
    <w:rsid w:val="00B66A21"/>
    <w:rsid w:val="00B70928"/>
    <w:rsid w:val="00B7136E"/>
    <w:rsid w:val="00B71A9B"/>
    <w:rsid w:val="00B72221"/>
    <w:rsid w:val="00B72D12"/>
    <w:rsid w:val="00B75264"/>
    <w:rsid w:val="00B75418"/>
    <w:rsid w:val="00B7587E"/>
    <w:rsid w:val="00B76390"/>
    <w:rsid w:val="00B76655"/>
    <w:rsid w:val="00B7682C"/>
    <w:rsid w:val="00B76CC5"/>
    <w:rsid w:val="00B76F2A"/>
    <w:rsid w:val="00B779C3"/>
    <w:rsid w:val="00B817B1"/>
    <w:rsid w:val="00B820D8"/>
    <w:rsid w:val="00B826AA"/>
    <w:rsid w:val="00B82B36"/>
    <w:rsid w:val="00B83353"/>
    <w:rsid w:val="00B83651"/>
    <w:rsid w:val="00B83777"/>
    <w:rsid w:val="00B854A8"/>
    <w:rsid w:val="00B85969"/>
    <w:rsid w:val="00B863F0"/>
    <w:rsid w:val="00B8705C"/>
    <w:rsid w:val="00B87442"/>
    <w:rsid w:val="00B91C32"/>
    <w:rsid w:val="00B9509E"/>
    <w:rsid w:val="00B95392"/>
    <w:rsid w:val="00B9579F"/>
    <w:rsid w:val="00B962FA"/>
    <w:rsid w:val="00B9678F"/>
    <w:rsid w:val="00B96AF8"/>
    <w:rsid w:val="00B96D4C"/>
    <w:rsid w:val="00B97A64"/>
    <w:rsid w:val="00BA0C2F"/>
    <w:rsid w:val="00BA13DE"/>
    <w:rsid w:val="00BA2524"/>
    <w:rsid w:val="00BA29F2"/>
    <w:rsid w:val="00BA2F8B"/>
    <w:rsid w:val="00BA451E"/>
    <w:rsid w:val="00BA4526"/>
    <w:rsid w:val="00BA51D1"/>
    <w:rsid w:val="00BA53C2"/>
    <w:rsid w:val="00BA7DB2"/>
    <w:rsid w:val="00BA7E35"/>
    <w:rsid w:val="00BA7F67"/>
    <w:rsid w:val="00BB17DC"/>
    <w:rsid w:val="00BB18B3"/>
    <w:rsid w:val="00BB211A"/>
    <w:rsid w:val="00BB2604"/>
    <w:rsid w:val="00BB27C1"/>
    <w:rsid w:val="00BB577E"/>
    <w:rsid w:val="00BB6FF4"/>
    <w:rsid w:val="00BB7502"/>
    <w:rsid w:val="00BB7822"/>
    <w:rsid w:val="00BB7F9A"/>
    <w:rsid w:val="00BC1F75"/>
    <w:rsid w:val="00BC3AEA"/>
    <w:rsid w:val="00BC3F2B"/>
    <w:rsid w:val="00BC3F85"/>
    <w:rsid w:val="00BC4169"/>
    <w:rsid w:val="00BC449A"/>
    <w:rsid w:val="00BC45E0"/>
    <w:rsid w:val="00BC4FDF"/>
    <w:rsid w:val="00BC51BF"/>
    <w:rsid w:val="00BC5D4B"/>
    <w:rsid w:val="00BC6164"/>
    <w:rsid w:val="00BC652C"/>
    <w:rsid w:val="00BC6B18"/>
    <w:rsid w:val="00BC7802"/>
    <w:rsid w:val="00BC7C31"/>
    <w:rsid w:val="00BD23CC"/>
    <w:rsid w:val="00BD2E97"/>
    <w:rsid w:val="00BD3AAE"/>
    <w:rsid w:val="00BD45FB"/>
    <w:rsid w:val="00BD7930"/>
    <w:rsid w:val="00BD7E0E"/>
    <w:rsid w:val="00BE0758"/>
    <w:rsid w:val="00BE0941"/>
    <w:rsid w:val="00BE0EEB"/>
    <w:rsid w:val="00BE1901"/>
    <w:rsid w:val="00BE3E35"/>
    <w:rsid w:val="00BE467B"/>
    <w:rsid w:val="00BE5C4B"/>
    <w:rsid w:val="00BE6B7A"/>
    <w:rsid w:val="00BE7D3B"/>
    <w:rsid w:val="00BF0B0C"/>
    <w:rsid w:val="00BF1846"/>
    <w:rsid w:val="00BF2D16"/>
    <w:rsid w:val="00BF370D"/>
    <w:rsid w:val="00BF3DAA"/>
    <w:rsid w:val="00BF43D5"/>
    <w:rsid w:val="00BF591E"/>
    <w:rsid w:val="00BF65B0"/>
    <w:rsid w:val="00BF6C79"/>
    <w:rsid w:val="00BF7273"/>
    <w:rsid w:val="00BF7EC4"/>
    <w:rsid w:val="00C00BC4"/>
    <w:rsid w:val="00C019D7"/>
    <w:rsid w:val="00C03E07"/>
    <w:rsid w:val="00C04138"/>
    <w:rsid w:val="00C045D3"/>
    <w:rsid w:val="00C04F25"/>
    <w:rsid w:val="00C055A0"/>
    <w:rsid w:val="00C10044"/>
    <w:rsid w:val="00C104BB"/>
    <w:rsid w:val="00C119E9"/>
    <w:rsid w:val="00C11CC5"/>
    <w:rsid w:val="00C14757"/>
    <w:rsid w:val="00C14A3F"/>
    <w:rsid w:val="00C14B2D"/>
    <w:rsid w:val="00C14C76"/>
    <w:rsid w:val="00C16015"/>
    <w:rsid w:val="00C16AE7"/>
    <w:rsid w:val="00C1716A"/>
    <w:rsid w:val="00C17381"/>
    <w:rsid w:val="00C175AE"/>
    <w:rsid w:val="00C20F54"/>
    <w:rsid w:val="00C232A1"/>
    <w:rsid w:val="00C232D2"/>
    <w:rsid w:val="00C237F8"/>
    <w:rsid w:val="00C24E09"/>
    <w:rsid w:val="00C25EDC"/>
    <w:rsid w:val="00C2708F"/>
    <w:rsid w:val="00C272E9"/>
    <w:rsid w:val="00C2785B"/>
    <w:rsid w:val="00C27FF5"/>
    <w:rsid w:val="00C30017"/>
    <w:rsid w:val="00C303FE"/>
    <w:rsid w:val="00C30E1D"/>
    <w:rsid w:val="00C31A60"/>
    <w:rsid w:val="00C31C64"/>
    <w:rsid w:val="00C321A7"/>
    <w:rsid w:val="00C32432"/>
    <w:rsid w:val="00C32595"/>
    <w:rsid w:val="00C32A44"/>
    <w:rsid w:val="00C32E64"/>
    <w:rsid w:val="00C350ED"/>
    <w:rsid w:val="00C35252"/>
    <w:rsid w:val="00C3527D"/>
    <w:rsid w:val="00C35671"/>
    <w:rsid w:val="00C37017"/>
    <w:rsid w:val="00C37CCA"/>
    <w:rsid w:val="00C40D09"/>
    <w:rsid w:val="00C40D19"/>
    <w:rsid w:val="00C41332"/>
    <w:rsid w:val="00C4149F"/>
    <w:rsid w:val="00C41E81"/>
    <w:rsid w:val="00C42454"/>
    <w:rsid w:val="00C44DBE"/>
    <w:rsid w:val="00C455E7"/>
    <w:rsid w:val="00C457BB"/>
    <w:rsid w:val="00C461D7"/>
    <w:rsid w:val="00C478CB"/>
    <w:rsid w:val="00C47AA0"/>
    <w:rsid w:val="00C50D57"/>
    <w:rsid w:val="00C50E59"/>
    <w:rsid w:val="00C51535"/>
    <w:rsid w:val="00C51564"/>
    <w:rsid w:val="00C51D3A"/>
    <w:rsid w:val="00C52912"/>
    <w:rsid w:val="00C53127"/>
    <w:rsid w:val="00C53283"/>
    <w:rsid w:val="00C53952"/>
    <w:rsid w:val="00C55096"/>
    <w:rsid w:val="00C55A77"/>
    <w:rsid w:val="00C56664"/>
    <w:rsid w:val="00C566BF"/>
    <w:rsid w:val="00C567BF"/>
    <w:rsid w:val="00C577FC"/>
    <w:rsid w:val="00C607FB"/>
    <w:rsid w:val="00C60B5F"/>
    <w:rsid w:val="00C62A0C"/>
    <w:rsid w:val="00C63259"/>
    <w:rsid w:val="00C638A8"/>
    <w:rsid w:val="00C64726"/>
    <w:rsid w:val="00C649AE"/>
    <w:rsid w:val="00C66B53"/>
    <w:rsid w:val="00C66ED4"/>
    <w:rsid w:val="00C671D7"/>
    <w:rsid w:val="00C67B32"/>
    <w:rsid w:val="00C67E2B"/>
    <w:rsid w:val="00C70842"/>
    <w:rsid w:val="00C70F81"/>
    <w:rsid w:val="00C7176F"/>
    <w:rsid w:val="00C717D1"/>
    <w:rsid w:val="00C71E10"/>
    <w:rsid w:val="00C721D3"/>
    <w:rsid w:val="00C736B3"/>
    <w:rsid w:val="00C7430C"/>
    <w:rsid w:val="00C750CE"/>
    <w:rsid w:val="00C77A12"/>
    <w:rsid w:val="00C77E1C"/>
    <w:rsid w:val="00C800A2"/>
    <w:rsid w:val="00C816C5"/>
    <w:rsid w:val="00C81803"/>
    <w:rsid w:val="00C81DD9"/>
    <w:rsid w:val="00C823DC"/>
    <w:rsid w:val="00C83117"/>
    <w:rsid w:val="00C83EC7"/>
    <w:rsid w:val="00C86A9D"/>
    <w:rsid w:val="00C86C3D"/>
    <w:rsid w:val="00C879EE"/>
    <w:rsid w:val="00C92770"/>
    <w:rsid w:val="00C93220"/>
    <w:rsid w:val="00C93B77"/>
    <w:rsid w:val="00C95E17"/>
    <w:rsid w:val="00C967F5"/>
    <w:rsid w:val="00C9681E"/>
    <w:rsid w:val="00C96E86"/>
    <w:rsid w:val="00C9784A"/>
    <w:rsid w:val="00C97E16"/>
    <w:rsid w:val="00CA0B46"/>
    <w:rsid w:val="00CA1002"/>
    <w:rsid w:val="00CA1689"/>
    <w:rsid w:val="00CA1BDD"/>
    <w:rsid w:val="00CA236F"/>
    <w:rsid w:val="00CA3085"/>
    <w:rsid w:val="00CA336F"/>
    <w:rsid w:val="00CA3550"/>
    <w:rsid w:val="00CA3885"/>
    <w:rsid w:val="00CA4C25"/>
    <w:rsid w:val="00CA664C"/>
    <w:rsid w:val="00CA7367"/>
    <w:rsid w:val="00CB0648"/>
    <w:rsid w:val="00CB10C3"/>
    <w:rsid w:val="00CB121B"/>
    <w:rsid w:val="00CB1C2F"/>
    <w:rsid w:val="00CB2C6F"/>
    <w:rsid w:val="00CB7045"/>
    <w:rsid w:val="00CB7779"/>
    <w:rsid w:val="00CC0DB8"/>
    <w:rsid w:val="00CC0E8D"/>
    <w:rsid w:val="00CC1811"/>
    <w:rsid w:val="00CC29B0"/>
    <w:rsid w:val="00CC37B5"/>
    <w:rsid w:val="00CC4FB0"/>
    <w:rsid w:val="00CC61B3"/>
    <w:rsid w:val="00CC623C"/>
    <w:rsid w:val="00CC6BA5"/>
    <w:rsid w:val="00CC71A6"/>
    <w:rsid w:val="00CC7BA2"/>
    <w:rsid w:val="00CD07D4"/>
    <w:rsid w:val="00CD16EB"/>
    <w:rsid w:val="00CD3EF9"/>
    <w:rsid w:val="00CD4144"/>
    <w:rsid w:val="00CD50F2"/>
    <w:rsid w:val="00CD5F37"/>
    <w:rsid w:val="00CD7EBA"/>
    <w:rsid w:val="00CE0EB9"/>
    <w:rsid w:val="00CE2195"/>
    <w:rsid w:val="00CE2316"/>
    <w:rsid w:val="00CE24DE"/>
    <w:rsid w:val="00CE2DF8"/>
    <w:rsid w:val="00CE2E9F"/>
    <w:rsid w:val="00CE42A9"/>
    <w:rsid w:val="00CE4AE8"/>
    <w:rsid w:val="00CE4D1E"/>
    <w:rsid w:val="00CE60E9"/>
    <w:rsid w:val="00CE6486"/>
    <w:rsid w:val="00CE64C6"/>
    <w:rsid w:val="00CF0D45"/>
    <w:rsid w:val="00CF0FFB"/>
    <w:rsid w:val="00CF1A48"/>
    <w:rsid w:val="00CF1B30"/>
    <w:rsid w:val="00CF1F83"/>
    <w:rsid w:val="00CF2493"/>
    <w:rsid w:val="00CF270B"/>
    <w:rsid w:val="00CF28FF"/>
    <w:rsid w:val="00CF311D"/>
    <w:rsid w:val="00CF31C5"/>
    <w:rsid w:val="00CF35A7"/>
    <w:rsid w:val="00CF47CC"/>
    <w:rsid w:val="00CF5BB1"/>
    <w:rsid w:val="00CF651A"/>
    <w:rsid w:val="00CF6BBA"/>
    <w:rsid w:val="00CF7316"/>
    <w:rsid w:val="00CF750A"/>
    <w:rsid w:val="00CF7698"/>
    <w:rsid w:val="00D014AE"/>
    <w:rsid w:val="00D01B73"/>
    <w:rsid w:val="00D01FB9"/>
    <w:rsid w:val="00D03F56"/>
    <w:rsid w:val="00D047A4"/>
    <w:rsid w:val="00D04AF3"/>
    <w:rsid w:val="00D05DA1"/>
    <w:rsid w:val="00D06802"/>
    <w:rsid w:val="00D078BC"/>
    <w:rsid w:val="00D10B13"/>
    <w:rsid w:val="00D118F4"/>
    <w:rsid w:val="00D12DC9"/>
    <w:rsid w:val="00D132A6"/>
    <w:rsid w:val="00D137E1"/>
    <w:rsid w:val="00D13C63"/>
    <w:rsid w:val="00D148A2"/>
    <w:rsid w:val="00D14D00"/>
    <w:rsid w:val="00D14F44"/>
    <w:rsid w:val="00D15F7C"/>
    <w:rsid w:val="00D163C3"/>
    <w:rsid w:val="00D16A72"/>
    <w:rsid w:val="00D16AD1"/>
    <w:rsid w:val="00D17021"/>
    <w:rsid w:val="00D1744B"/>
    <w:rsid w:val="00D175FD"/>
    <w:rsid w:val="00D20296"/>
    <w:rsid w:val="00D21EAA"/>
    <w:rsid w:val="00D23109"/>
    <w:rsid w:val="00D23364"/>
    <w:rsid w:val="00D23391"/>
    <w:rsid w:val="00D24C95"/>
    <w:rsid w:val="00D24D54"/>
    <w:rsid w:val="00D25C69"/>
    <w:rsid w:val="00D25F1B"/>
    <w:rsid w:val="00D261FF"/>
    <w:rsid w:val="00D30BB1"/>
    <w:rsid w:val="00D3276F"/>
    <w:rsid w:val="00D32F66"/>
    <w:rsid w:val="00D34020"/>
    <w:rsid w:val="00D359D6"/>
    <w:rsid w:val="00D364F6"/>
    <w:rsid w:val="00D36B01"/>
    <w:rsid w:val="00D41479"/>
    <w:rsid w:val="00D41658"/>
    <w:rsid w:val="00D44EFE"/>
    <w:rsid w:val="00D45CC9"/>
    <w:rsid w:val="00D5097A"/>
    <w:rsid w:val="00D51931"/>
    <w:rsid w:val="00D519D5"/>
    <w:rsid w:val="00D52717"/>
    <w:rsid w:val="00D52795"/>
    <w:rsid w:val="00D52BCB"/>
    <w:rsid w:val="00D5370A"/>
    <w:rsid w:val="00D5470B"/>
    <w:rsid w:val="00D55047"/>
    <w:rsid w:val="00D55E70"/>
    <w:rsid w:val="00D57F1B"/>
    <w:rsid w:val="00D602AF"/>
    <w:rsid w:val="00D6115D"/>
    <w:rsid w:val="00D62520"/>
    <w:rsid w:val="00D64494"/>
    <w:rsid w:val="00D647C7"/>
    <w:rsid w:val="00D64A7A"/>
    <w:rsid w:val="00D64F65"/>
    <w:rsid w:val="00D658F7"/>
    <w:rsid w:val="00D66CFB"/>
    <w:rsid w:val="00D66E04"/>
    <w:rsid w:val="00D67DD4"/>
    <w:rsid w:val="00D701F6"/>
    <w:rsid w:val="00D7086A"/>
    <w:rsid w:val="00D70B62"/>
    <w:rsid w:val="00D7462E"/>
    <w:rsid w:val="00D7536B"/>
    <w:rsid w:val="00D756C6"/>
    <w:rsid w:val="00D756DF"/>
    <w:rsid w:val="00D75C70"/>
    <w:rsid w:val="00D7653F"/>
    <w:rsid w:val="00D80F44"/>
    <w:rsid w:val="00D8180F"/>
    <w:rsid w:val="00D8236A"/>
    <w:rsid w:val="00D828E4"/>
    <w:rsid w:val="00D84B6A"/>
    <w:rsid w:val="00D84E53"/>
    <w:rsid w:val="00D85C45"/>
    <w:rsid w:val="00D86134"/>
    <w:rsid w:val="00D86A8F"/>
    <w:rsid w:val="00D879B2"/>
    <w:rsid w:val="00D87ADC"/>
    <w:rsid w:val="00D87FD6"/>
    <w:rsid w:val="00D90133"/>
    <w:rsid w:val="00D906D8"/>
    <w:rsid w:val="00D907D9"/>
    <w:rsid w:val="00D9106B"/>
    <w:rsid w:val="00D92474"/>
    <w:rsid w:val="00D94988"/>
    <w:rsid w:val="00D968C3"/>
    <w:rsid w:val="00D97710"/>
    <w:rsid w:val="00DA05D2"/>
    <w:rsid w:val="00DA0968"/>
    <w:rsid w:val="00DA1E41"/>
    <w:rsid w:val="00DA2715"/>
    <w:rsid w:val="00DA2A76"/>
    <w:rsid w:val="00DA2CFE"/>
    <w:rsid w:val="00DA31CB"/>
    <w:rsid w:val="00DA3C5A"/>
    <w:rsid w:val="00DA3F9A"/>
    <w:rsid w:val="00DA4C29"/>
    <w:rsid w:val="00DA78CD"/>
    <w:rsid w:val="00DA7F52"/>
    <w:rsid w:val="00DB015F"/>
    <w:rsid w:val="00DB078F"/>
    <w:rsid w:val="00DB2688"/>
    <w:rsid w:val="00DB3217"/>
    <w:rsid w:val="00DB435B"/>
    <w:rsid w:val="00DB5048"/>
    <w:rsid w:val="00DB5918"/>
    <w:rsid w:val="00DB5F52"/>
    <w:rsid w:val="00DB6763"/>
    <w:rsid w:val="00DB6DFE"/>
    <w:rsid w:val="00DB6F30"/>
    <w:rsid w:val="00DC0178"/>
    <w:rsid w:val="00DC0B60"/>
    <w:rsid w:val="00DC0FD1"/>
    <w:rsid w:val="00DC453C"/>
    <w:rsid w:val="00DC4C49"/>
    <w:rsid w:val="00DC5522"/>
    <w:rsid w:val="00DC705C"/>
    <w:rsid w:val="00DC7359"/>
    <w:rsid w:val="00DC7BDF"/>
    <w:rsid w:val="00DD015C"/>
    <w:rsid w:val="00DD0ACA"/>
    <w:rsid w:val="00DD0CB5"/>
    <w:rsid w:val="00DD0DA5"/>
    <w:rsid w:val="00DD11EE"/>
    <w:rsid w:val="00DD1429"/>
    <w:rsid w:val="00DD16D5"/>
    <w:rsid w:val="00DD1AC8"/>
    <w:rsid w:val="00DD2341"/>
    <w:rsid w:val="00DD306E"/>
    <w:rsid w:val="00DD38E2"/>
    <w:rsid w:val="00DD3D34"/>
    <w:rsid w:val="00DD42B0"/>
    <w:rsid w:val="00DD4E0E"/>
    <w:rsid w:val="00DD72CA"/>
    <w:rsid w:val="00DD75F5"/>
    <w:rsid w:val="00DE0794"/>
    <w:rsid w:val="00DE0BC3"/>
    <w:rsid w:val="00DE0F53"/>
    <w:rsid w:val="00DE2ABD"/>
    <w:rsid w:val="00DE3835"/>
    <w:rsid w:val="00DE4652"/>
    <w:rsid w:val="00DE4B36"/>
    <w:rsid w:val="00DE4E3F"/>
    <w:rsid w:val="00DE527B"/>
    <w:rsid w:val="00DE722F"/>
    <w:rsid w:val="00DF0879"/>
    <w:rsid w:val="00DF0DD3"/>
    <w:rsid w:val="00DF2040"/>
    <w:rsid w:val="00DF2B3C"/>
    <w:rsid w:val="00DF3F44"/>
    <w:rsid w:val="00DF4DCF"/>
    <w:rsid w:val="00DF5623"/>
    <w:rsid w:val="00DF6F8F"/>
    <w:rsid w:val="00DF7DF2"/>
    <w:rsid w:val="00E0031D"/>
    <w:rsid w:val="00E00708"/>
    <w:rsid w:val="00E019A1"/>
    <w:rsid w:val="00E02936"/>
    <w:rsid w:val="00E03CA4"/>
    <w:rsid w:val="00E03D06"/>
    <w:rsid w:val="00E04735"/>
    <w:rsid w:val="00E04AE9"/>
    <w:rsid w:val="00E05BBA"/>
    <w:rsid w:val="00E06406"/>
    <w:rsid w:val="00E066A6"/>
    <w:rsid w:val="00E0763F"/>
    <w:rsid w:val="00E07BCA"/>
    <w:rsid w:val="00E104F9"/>
    <w:rsid w:val="00E119ED"/>
    <w:rsid w:val="00E11BB8"/>
    <w:rsid w:val="00E12BC8"/>
    <w:rsid w:val="00E12C20"/>
    <w:rsid w:val="00E12C4B"/>
    <w:rsid w:val="00E13527"/>
    <w:rsid w:val="00E139AF"/>
    <w:rsid w:val="00E14635"/>
    <w:rsid w:val="00E152D4"/>
    <w:rsid w:val="00E164EB"/>
    <w:rsid w:val="00E16DAB"/>
    <w:rsid w:val="00E2134F"/>
    <w:rsid w:val="00E23039"/>
    <w:rsid w:val="00E236D6"/>
    <w:rsid w:val="00E24231"/>
    <w:rsid w:val="00E250D1"/>
    <w:rsid w:val="00E25B2E"/>
    <w:rsid w:val="00E2666B"/>
    <w:rsid w:val="00E26F57"/>
    <w:rsid w:val="00E277C1"/>
    <w:rsid w:val="00E307F3"/>
    <w:rsid w:val="00E30AB8"/>
    <w:rsid w:val="00E326E6"/>
    <w:rsid w:val="00E32F90"/>
    <w:rsid w:val="00E33B39"/>
    <w:rsid w:val="00E3414F"/>
    <w:rsid w:val="00E3496B"/>
    <w:rsid w:val="00E36C31"/>
    <w:rsid w:val="00E36CAC"/>
    <w:rsid w:val="00E37C67"/>
    <w:rsid w:val="00E411DC"/>
    <w:rsid w:val="00E417B6"/>
    <w:rsid w:val="00E42766"/>
    <w:rsid w:val="00E427E3"/>
    <w:rsid w:val="00E4330C"/>
    <w:rsid w:val="00E43CB1"/>
    <w:rsid w:val="00E44322"/>
    <w:rsid w:val="00E44F7F"/>
    <w:rsid w:val="00E44F98"/>
    <w:rsid w:val="00E45170"/>
    <w:rsid w:val="00E45CEB"/>
    <w:rsid w:val="00E4679E"/>
    <w:rsid w:val="00E46AC6"/>
    <w:rsid w:val="00E46F69"/>
    <w:rsid w:val="00E47043"/>
    <w:rsid w:val="00E519EE"/>
    <w:rsid w:val="00E52718"/>
    <w:rsid w:val="00E530CC"/>
    <w:rsid w:val="00E53E5C"/>
    <w:rsid w:val="00E5404C"/>
    <w:rsid w:val="00E542EF"/>
    <w:rsid w:val="00E56B8F"/>
    <w:rsid w:val="00E570CD"/>
    <w:rsid w:val="00E57859"/>
    <w:rsid w:val="00E60245"/>
    <w:rsid w:val="00E6042B"/>
    <w:rsid w:val="00E6090B"/>
    <w:rsid w:val="00E61164"/>
    <w:rsid w:val="00E61D9D"/>
    <w:rsid w:val="00E6247B"/>
    <w:rsid w:val="00E626EC"/>
    <w:rsid w:val="00E6292B"/>
    <w:rsid w:val="00E6323D"/>
    <w:rsid w:val="00E63380"/>
    <w:rsid w:val="00E63DC3"/>
    <w:rsid w:val="00E64828"/>
    <w:rsid w:val="00E65908"/>
    <w:rsid w:val="00E659C1"/>
    <w:rsid w:val="00E70787"/>
    <w:rsid w:val="00E70A9B"/>
    <w:rsid w:val="00E71B82"/>
    <w:rsid w:val="00E72384"/>
    <w:rsid w:val="00E73458"/>
    <w:rsid w:val="00E73DDB"/>
    <w:rsid w:val="00E7480B"/>
    <w:rsid w:val="00E74820"/>
    <w:rsid w:val="00E75592"/>
    <w:rsid w:val="00E77438"/>
    <w:rsid w:val="00E80607"/>
    <w:rsid w:val="00E806E5"/>
    <w:rsid w:val="00E80D39"/>
    <w:rsid w:val="00E8164E"/>
    <w:rsid w:val="00E81A84"/>
    <w:rsid w:val="00E82AAA"/>
    <w:rsid w:val="00E82CA8"/>
    <w:rsid w:val="00E8303E"/>
    <w:rsid w:val="00E831BD"/>
    <w:rsid w:val="00E83832"/>
    <w:rsid w:val="00E83BD9"/>
    <w:rsid w:val="00E83DA8"/>
    <w:rsid w:val="00E83F11"/>
    <w:rsid w:val="00E84BDF"/>
    <w:rsid w:val="00E85543"/>
    <w:rsid w:val="00E863DB"/>
    <w:rsid w:val="00E86524"/>
    <w:rsid w:val="00E86E1A"/>
    <w:rsid w:val="00E87814"/>
    <w:rsid w:val="00E90594"/>
    <w:rsid w:val="00E911B5"/>
    <w:rsid w:val="00E91C25"/>
    <w:rsid w:val="00E937E1"/>
    <w:rsid w:val="00E9389E"/>
    <w:rsid w:val="00E94027"/>
    <w:rsid w:val="00E95376"/>
    <w:rsid w:val="00E9590B"/>
    <w:rsid w:val="00E95B0C"/>
    <w:rsid w:val="00E96213"/>
    <w:rsid w:val="00E96355"/>
    <w:rsid w:val="00EA052C"/>
    <w:rsid w:val="00EA1BA1"/>
    <w:rsid w:val="00EA2525"/>
    <w:rsid w:val="00EA27B4"/>
    <w:rsid w:val="00EA2BBD"/>
    <w:rsid w:val="00EA3894"/>
    <w:rsid w:val="00EA3B22"/>
    <w:rsid w:val="00EA3BD6"/>
    <w:rsid w:val="00EA753A"/>
    <w:rsid w:val="00EA7777"/>
    <w:rsid w:val="00EB1898"/>
    <w:rsid w:val="00EB26FE"/>
    <w:rsid w:val="00EB3858"/>
    <w:rsid w:val="00EB3899"/>
    <w:rsid w:val="00EB4456"/>
    <w:rsid w:val="00EB66A7"/>
    <w:rsid w:val="00EB6DAE"/>
    <w:rsid w:val="00EB76DC"/>
    <w:rsid w:val="00EB78C5"/>
    <w:rsid w:val="00EC0767"/>
    <w:rsid w:val="00EC0CFC"/>
    <w:rsid w:val="00EC0FCC"/>
    <w:rsid w:val="00EC3700"/>
    <w:rsid w:val="00EC3932"/>
    <w:rsid w:val="00EC3A64"/>
    <w:rsid w:val="00EC41BA"/>
    <w:rsid w:val="00EC5285"/>
    <w:rsid w:val="00EC6CA0"/>
    <w:rsid w:val="00EC7A81"/>
    <w:rsid w:val="00ED1F7E"/>
    <w:rsid w:val="00ED3DD9"/>
    <w:rsid w:val="00ED4724"/>
    <w:rsid w:val="00ED69A8"/>
    <w:rsid w:val="00ED741D"/>
    <w:rsid w:val="00ED7A87"/>
    <w:rsid w:val="00EE0503"/>
    <w:rsid w:val="00EE0909"/>
    <w:rsid w:val="00EE153D"/>
    <w:rsid w:val="00EE17F2"/>
    <w:rsid w:val="00EE2922"/>
    <w:rsid w:val="00EE2EB6"/>
    <w:rsid w:val="00EE3172"/>
    <w:rsid w:val="00EE386F"/>
    <w:rsid w:val="00EE38BC"/>
    <w:rsid w:val="00EE6043"/>
    <w:rsid w:val="00EE6C02"/>
    <w:rsid w:val="00EE6FB5"/>
    <w:rsid w:val="00EF0085"/>
    <w:rsid w:val="00EF184F"/>
    <w:rsid w:val="00EF1FD2"/>
    <w:rsid w:val="00EF3A0F"/>
    <w:rsid w:val="00EF3DE6"/>
    <w:rsid w:val="00EF47EB"/>
    <w:rsid w:val="00EF4869"/>
    <w:rsid w:val="00EF4D04"/>
    <w:rsid w:val="00EF4DE9"/>
    <w:rsid w:val="00F018A9"/>
    <w:rsid w:val="00F022DE"/>
    <w:rsid w:val="00F02AEB"/>
    <w:rsid w:val="00F03215"/>
    <w:rsid w:val="00F04403"/>
    <w:rsid w:val="00F04D84"/>
    <w:rsid w:val="00F05A89"/>
    <w:rsid w:val="00F05B2B"/>
    <w:rsid w:val="00F05EB4"/>
    <w:rsid w:val="00F06568"/>
    <w:rsid w:val="00F06B5A"/>
    <w:rsid w:val="00F06FED"/>
    <w:rsid w:val="00F07F97"/>
    <w:rsid w:val="00F10274"/>
    <w:rsid w:val="00F10310"/>
    <w:rsid w:val="00F103B8"/>
    <w:rsid w:val="00F110B4"/>
    <w:rsid w:val="00F11ED0"/>
    <w:rsid w:val="00F11F5B"/>
    <w:rsid w:val="00F138B7"/>
    <w:rsid w:val="00F14948"/>
    <w:rsid w:val="00F14A40"/>
    <w:rsid w:val="00F15836"/>
    <w:rsid w:val="00F15EA5"/>
    <w:rsid w:val="00F2031A"/>
    <w:rsid w:val="00F2065D"/>
    <w:rsid w:val="00F20857"/>
    <w:rsid w:val="00F20EB4"/>
    <w:rsid w:val="00F21BC3"/>
    <w:rsid w:val="00F21EDD"/>
    <w:rsid w:val="00F225A5"/>
    <w:rsid w:val="00F23275"/>
    <w:rsid w:val="00F23459"/>
    <w:rsid w:val="00F23C31"/>
    <w:rsid w:val="00F2407A"/>
    <w:rsid w:val="00F241E5"/>
    <w:rsid w:val="00F2589F"/>
    <w:rsid w:val="00F26622"/>
    <w:rsid w:val="00F26769"/>
    <w:rsid w:val="00F279D7"/>
    <w:rsid w:val="00F30482"/>
    <w:rsid w:val="00F308EE"/>
    <w:rsid w:val="00F309C4"/>
    <w:rsid w:val="00F31410"/>
    <w:rsid w:val="00F319A1"/>
    <w:rsid w:val="00F32160"/>
    <w:rsid w:val="00F32225"/>
    <w:rsid w:val="00F32E20"/>
    <w:rsid w:val="00F330F6"/>
    <w:rsid w:val="00F34107"/>
    <w:rsid w:val="00F377D6"/>
    <w:rsid w:val="00F40151"/>
    <w:rsid w:val="00F40273"/>
    <w:rsid w:val="00F41FE2"/>
    <w:rsid w:val="00F43736"/>
    <w:rsid w:val="00F43D16"/>
    <w:rsid w:val="00F44E8B"/>
    <w:rsid w:val="00F45D53"/>
    <w:rsid w:val="00F469E1"/>
    <w:rsid w:val="00F50298"/>
    <w:rsid w:val="00F5161C"/>
    <w:rsid w:val="00F517D5"/>
    <w:rsid w:val="00F51A1F"/>
    <w:rsid w:val="00F51E81"/>
    <w:rsid w:val="00F52273"/>
    <w:rsid w:val="00F5308A"/>
    <w:rsid w:val="00F5324E"/>
    <w:rsid w:val="00F53D1C"/>
    <w:rsid w:val="00F53F85"/>
    <w:rsid w:val="00F548AE"/>
    <w:rsid w:val="00F54B6E"/>
    <w:rsid w:val="00F54C65"/>
    <w:rsid w:val="00F55AED"/>
    <w:rsid w:val="00F606F9"/>
    <w:rsid w:val="00F60B65"/>
    <w:rsid w:val="00F61579"/>
    <w:rsid w:val="00F63BF3"/>
    <w:rsid w:val="00F644FF"/>
    <w:rsid w:val="00F64E7A"/>
    <w:rsid w:val="00F64EC5"/>
    <w:rsid w:val="00F65889"/>
    <w:rsid w:val="00F65940"/>
    <w:rsid w:val="00F65BA8"/>
    <w:rsid w:val="00F663E4"/>
    <w:rsid w:val="00F70BDF"/>
    <w:rsid w:val="00F70E0E"/>
    <w:rsid w:val="00F70E84"/>
    <w:rsid w:val="00F710A1"/>
    <w:rsid w:val="00F713BF"/>
    <w:rsid w:val="00F71CFE"/>
    <w:rsid w:val="00F7277F"/>
    <w:rsid w:val="00F729A0"/>
    <w:rsid w:val="00F72F22"/>
    <w:rsid w:val="00F73553"/>
    <w:rsid w:val="00F741F9"/>
    <w:rsid w:val="00F7464B"/>
    <w:rsid w:val="00F77167"/>
    <w:rsid w:val="00F80F8A"/>
    <w:rsid w:val="00F832CE"/>
    <w:rsid w:val="00F83336"/>
    <w:rsid w:val="00F84D2F"/>
    <w:rsid w:val="00F84FF8"/>
    <w:rsid w:val="00F8662D"/>
    <w:rsid w:val="00F86BE4"/>
    <w:rsid w:val="00F905AE"/>
    <w:rsid w:val="00F909AC"/>
    <w:rsid w:val="00F90C3D"/>
    <w:rsid w:val="00F92379"/>
    <w:rsid w:val="00F93315"/>
    <w:rsid w:val="00F94F30"/>
    <w:rsid w:val="00F95117"/>
    <w:rsid w:val="00F95321"/>
    <w:rsid w:val="00F954C5"/>
    <w:rsid w:val="00F957AE"/>
    <w:rsid w:val="00F9590F"/>
    <w:rsid w:val="00F96949"/>
    <w:rsid w:val="00F97C84"/>
    <w:rsid w:val="00F97CFD"/>
    <w:rsid w:val="00FA02D3"/>
    <w:rsid w:val="00FA10B3"/>
    <w:rsid w:val="00FA15A6"/>
    <w:rsid w:val="00FA15AD"/>
    <w:rsid w:val="00FA1856"/>
    <w:rsid w:val="00FA1F0B"/>
    <w:rsid w:val="00FA27C6"/>
    <w:rsid w:val="00FA39CB"/>
    <w:rsid w:val="00FA3FE3"/>
    <w:rsid w:val="00FA72A7"/>
    <w:rsid w:val="00FA7761"/>
    <w:rsid w:val="00FB0B7B"/>
    <w:rsid w:val="00FB1D5F"/>
    <w:rsid w:val="00FB1E9E"/>
    <w:rsid w:val="00FB2051"/>
    <w:rsid w:val="00FB31F0"/>
    <w:rsid w:val="00FB34BE"/>
    <w:rsid w:val="00FB5889"/>
    <w:rsid w:val="00FB61D9"/>
    <w:rsid w:val="00FB68D2"/>
    <w:rsid w:val="00FB6B59"/>
    <w:rsid w:val="00FB7766"/>
    <w:rsid w:val="00FB7D1F"/>
    <w:rsid w:val="00FB7F72"/>
    <w:rsid w:val="00FC0C4A"/>
    <w:rsid w:val="00FC1384"/>
    <w:rsid w:val="00FC1419"/>
    <w:rsid w:val="00FC168B"/>
    <w:rsid w:val="00FC21D3"/>
    <w:rsid w:val="00FC2A89"/>
    <w:rsid w:val="00FC35E0"/>
    <w:rsid w:val="00FC4981"/>
    <w:rsid w:val="00FC5CA4"/>
    <w:rsid w:val="00FC6079"/>
    <w:rsid w:val="00FC61AD"/>
    <w:rsid w:val="00FC6F07"/>
    <w:rsid w:val="00FC70E9"/>
    <w:rsid w:val="00FD0CA1"/>
    <w:rsid w:val="00FD164F"/>
    <w:rsid w:val="00FD1D0D"/>
    <w:rsid w:val="00FD1D9B"/>
    <w:rsid w:val="00FD244C"/>
    <w:rsid w:val="00FD2656"/>
    <w:rsid w:val="00FD2B12"/>
    <w:rsid w:val="00FD4090"/>
    <w:rsid w:val="00FD45BC"/>
    <w:rsid w:val="00FD4A1B"/>
    <w:rsid w:val="00FD4C1D"/>
    <w:rsid w:val="00FD4C60"/>
    <w:rsid w:val="00FD5162"/>
    <w:rsid w:val="00FD5F20"/>
    <w:rsid w:val="00FD6387"/>
    <w:rsid w:val="00FD6AC6"/>
    <w:rsid w:val="00FD7D70"/>
    <w:rsid w:val="00FD7E92"/>
    <w:rsid w:val="00FE03E4"/>
    <w:rsid w:val="00FE0A44"/>
    <w:rsid w:val="00FE1F46"/>
    <w:rsid w:val="00FE21D6"/>
    <w:rsid w:val="00FE27B7"/>
    <w:rsid w:val="00FE29E0"/>
    <w:rsid w:val="00FE4709"/>
    <w:rsid w:val="00FE4865"/>
    <w:rsid w:val="00FE4F11"/>
    <w:rsid w:val="00FE642B"/>
    <w:rsid w:val="00FF0709"/>
    <w:rsid w:val="00FF222A"/>
    <w:rsid w:val="00FF2B92"/>
    <w:rsid w:val="00FF4309"/>
    <w:rsid w:val="00FF43C7"/>
    <w:rsid w:val="00FF444E"/>
    <w:rsid w:val="00FF5BDE"/>
    <w:rsid w:val="00FF5CD8"/>
    <w:rsid w:val="00FF7539"/>
    <w:rsid w:val="00FF7DEA"/>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360" w:lineRule="auto"/>
        <w:ind w:firstLine="14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E1"/>
    <w:rPr>
      <w:rFonts w:cs="Mangal"/>
      <w:sz w:val="26"/>
      <w:szCs w:val="26"/>
    </w:rPr>
  </w:style>
  <w:style w:type="paragraph" w:styleId="Heading1">
    <w:name w:val="heading 1"/>
    <w:basedOn w:val="Normal"/>
    <w:next w:val="Normal"/>
    <w:link w:val="Heading1Char"/>
    <w:qFormat/>
    <w:rsid w:val="001C55E8"/>
    <w:pPr>
      <w:keepNext/>
      <w:keepLines/>
      <w:ind w:firstLine="0"/>
      <w:outlineLvl w:val="0"/>
    </w:pPr>
    <w:rPr>
      <w:rFonts w:eastAsiaTheme="majorEastAsia" w:cstheme="majorBidi"/>
      <w:b/>
      <w:bCs/>
      <w:szCs w:val="28"/>
    </w:rPr>
  </w:style>
  <w:style w:type="paragraph" w:styleId="Heading2">
    <w:name w:val="heading 2"/>
    <w:basedOn w:val="Normal"/>
    <w:next w:val="Normal"/>
    <w:link w:val="Heading2Char"/>
    <w:qFormat/>
    <w:rsid w:val="00A3778D"/>
    <w:pPr>
      <w:keepNext/>
      <w:numPr>
        <w:numId w:val="1"/>
      </w:numPr>
      <w:ind w:left="1800"/>
      <w:outlineLvl w:val="1"/>
    </w:pPr>
    <w:rPr>
      <w:rFonts w:eastAsiaTheme="majorEastAsia" w:cstheme="majorBidi"/>
      <w:b/>
      <w:szCs w:val="20"/>
    </w:rPr>
  </w:style>
  <w:style w:type="paragraph" w:styleId="Heading3">
    <w:name w:val="heading 3"/>
    <w:basedOn w:val="Normal"/>
    <w:next w:val="Normal"/>
    <w:link w:val="Heading3Char"/>
    <w:qFormat/>
    <w:rsid w:val="00E411DC"/>
    <w:pPr>
      <w:keepNext/>
      <w:numPr>
        <w:numId w:val="34"/>
      </w:numPr>
      <w:outlineLvl w:val="2"/>
    </w:pPr>
    <w:rPr>
      <w:rFonts w:eastAsiaTheme="majorEastAsia" w:cstheme="majorBidi"/>
      <w:b/>
      <w:szCs w:val="20"/>
    </w:rPr>
  </w:style>
  <w:style w:type="paragraph" w:styleId="Heading4">
    <w:name w:val="heading 4"/>
    <w:basedOn w:val="Normal"/>
    <w:next w:val="Normal"/>
    <w:link w:val="Heading4Char"/>
    <w:unhideWhenUsed/>
    <w:qFormat/>
    <w:rsid w:val="00AE19ED"/>
    <w:pPr>
      <w:keepNext/>
      <w:numPr>
        <w:numId w:val="5"/>
      </w:numPr>
      <w:outlineLvl w:val="3"/>
    </w:pPr>
    <w:rPr>
      <w:rFonts w:eastAsiaTheme="minorEastAsia" w:cstheme="minorBidi"/>
      <w:b/>
      <w:bCs/>
      <w:szCs w:val="28"/>
    </w:rPr>
  </w:style>
  <w:style w:type="paragraph" w:styleId="Heading5">
    <w:name w:val="heading 5"/>
    <w:basedOn w:val="Normal"/>
    <w:next w:val="Normal"/>
    <w:link w:val="Heading5Char"/>
    <w:unhideWhenUsed/>
    <w:qFormat/>
    <w:rsid w:val="00A3778D"/>
    <w:pPr>
      <w:numPr>
        <w:numId w:val="6"/>
      </w:numPr>
      <w:ind w:left="4320" w:hanging="720"/>
      <w:outlineLvl w:val="4"/>
    </w:pPr>
    <w:rPr>
      <w:rFonts w:eastAsiaTheme="minorEastAsia" w:cstheme="minorBidi"/>
      <w:b/>
      <w:bCs/>
      <w:iCs/>
    </w:rPr>
  </w:style>
  <w:style w:type="paragraph" w:styleId="Heading6">
    <w:name w:val="heading 6"/>
    <w:basedOn w:val="Normal"/>
    <w:next w:val="Normal"/>
    <w:link w:val="Heading6Char"/>
    <w:semiHidden/>
    <w:unhideWhenUsed/>
    <w:qFormat/>
    <w:rsid w:val="006C24AA"/>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D05DA1"/>
    <w:pPr>
      <w:spacing w:line="240" w:lineRule="auto"/>
      <w:ind w:firstLine="0"/>
    </w:pPr>
    <w:rPr>
      <w:rFonts w:ascii="Arial (W1)" w:eastAsiaTheme="majorEastAsia" w:hAnsi="Arial (W1)"/>
      <w:sz w:val="24"/>
      <w:szCs w:val="18"/>
    </w:rPr>
  </w:style>
  <w:style w:type="paragraph" w:styleId="EnvelopeAddress">
    <w:name w:val="envelope address"/>
    <w:basedOn w:val="Normal"/>
    <w:uiPriority w:val="99"/>
    <w:unhideWhenUsed/>
    <w:rsid w:val="00D05DA1"/>
    <w:pPr>
      <w:framePr w:w="7920" w:h="1980" w:hRule="exact" w:hSpace="180" w:wrap="auto" w:hAnchor="page" w:xAlign="center" w:yAlign="bottom"/>
      <w:spacing w:line="240" w:lineRule="auto"/>
      <w:ind w:left="2880" w:firstLine="0"/>
    </w:pPr>
    <w:rPr>
      <w:rFonts w:ascii="Arial (W1)" w:eastAsiaTheme="majorEastAsia" w:hAnsi="Arial (W1)"/>
      <w:sz w:val="28"/>
      <w:szCs w:val="21"/>
    </w:rPr>
  </w:style>
  <w:style w:type="character" w:customStyle="1" w:styleId="Heading1Char">
    <w:name w:val="Heading 1 Char"/>
    <w:basedOn w:val="DefaultParagraphFont"/>
    <w:link w:val="Heading1"/>
    <w:rsid w:val="001C55E8"/>
    <w:rPr>
      <w:rFonts w:eastAsiaTheme="majorEastAsia" w:cstheme="majorBidi"/>
      <w:b/>
      <w:bCs/>
      <w:sz w:val="26"/>
      <w:szCs w:val="28"/>
    </w:rPr>
  </w:style>
  <w:style w:type="character" w:customStyle="1" w:styleId="Heading2Char">
    <w:name w:val="Heading 2 Char"/>
    <w:basedOn w:val="DefaultParagraphFont"/>
    <w:link w:val="Heading2"/>
    <w:rsid w:val="00A3778D"/>
    <w:rPr>
      <w:rFonts w:eastAsiaTheme="majorEastAsia" w:cstheme="majorBidi"/>
      <w:b/>
      <w:sz w:val="26"/>
    </w:rPr>
  </w:style>
  <w:style w:type="character" w:customStyle="1" w:styleId="Heading3Char">
    <w:name w:val="Heading 3 Char"/>
    <w:basedOn w:val="DefaultParagraphFont"/>
    <w:link w:val="Heading3"/>
    <w:rsid w:val="00E411DC"/>
    <w:rPr>
      <w:rFonts w:eastAsiaTheme="majorEastAsia" w:cstheme="majorBidi"/>
      <w:b/>
      <w:sz w:val="26"/>
    </w:rPr>
  </w:style>
  <w:style w:type="character" w:customStyle="1" w:styleId="Heading4Char">
    <w:name w:val="Heading 4 Char"/>
    <w:basedOn w:val="DefaultParagraphFont"/>
    <w:link w:val="Heading4"/>
    <w:rsid w:val="00AE19ED"/>
    <w:rPr>
      <w:rFonts w:eastAsiaTheme="minorEastAsia" w:cstheme="minorBidi"/>
      <w:b/>
      <w:bCs/>
      <w:sz w:val="26"/>
      <w:szCs w:val="28"/>
    </w:rPr>
  </w:style>
  <w:style w:type="character" w:customStyle="1" w:styleId="Heading5Char">
    <w:name w:val="Heading 5 Char"/>
    <w:basedOn w:val="DefaultParagraphFont"/>
    <w:link w:val="Heading5"/>
    <w:rsid w:val="00A3778D"/>
    <w:rPr>
      <w:rFonts w:eastAsiaTheme="minorEastAsia" w:cstheme="minorBidi"/>
      <w:b/>
      <w:bCs/>
      <w:iCs/>
      <w:sz w:val="26"/>
      <w:szCs w:val="26"/>
    </w:rPr>
  </w:style>
  <w:style w:type="character" w:customStyle="1" w:styleId="Heading6Char">
    <w:name w:val="Heading 6 Char"/>
    <w:basedOn w:val="DefaultParagraphFont"/>
    <w:link w:val="Heading6"/>
    <w:semiHidden/>
    <w:rsid w:val="006C24AA"/>
    <w:rPr>
      <w:rFonts w:asciiTheme="minorHAnsi" w:eastAsiaTheme="minorEastAsia" w:hAnsiTheme="minorHAnsi" w:cstheme="minorBidi"/>
      <w:b/>
      <w:bCs/>
      <w:sz w:val="22"/>
      <w:szCs w:val="22"/>
    </w:rPr>
  </w:style>
  <w:style w:type="paragraph" w:styleId="TOC1">
    <w:name w:val="toc 1"/>
    <w:basedOn w:val="Normal"/>
    <w:next w:val="Normal"/>
    <w:autoRedefine/>
    <w:uiPriority w:val="39"/>
    <w:unhideWhenUsed/>
    <w:rsid w:val="006C24AA"/>
    <w:pPr>
      <w:spacing w:after="100"/>
    </w:pPr>
    <w:rPr>
      <w:rFonts w:cs="Times New Roman"/>
    </w:rPr>
  </w:style>
  <w:style w:type="paragraph" w:styleId="TOC2">
    <w:name w:val="toc 2"/>
    <w:basedOn w:val="Normal"/>
    <w:next w:val="Normal"/>
    <w:autoRedefine/>
    <w:uiPriority w:val="39"/>
    <w:unhideWhenUsed/>
    <w:rsid w:val="006C24AA"/>
    <w:pPr>
      <w:tabs>
        <w:tab w:val="left" w:pos="1080"/>
        <w:tab w:val="right" w:leader="dot" w:pos="9350"/>
      </w:tabs>
      <w:spacing w:after="100"/>
      <w:ind w:left="240"/>
    </w:pPr>
    <w:rPr>
      <w:rFonts w:cs="Times New Roman"/>
    </w:rPr>
  </w:style>
  <w:style w:type="paragraph" w:styleId="TOC3">
    <w:name w:val="toc 3"/>
    <w:basedOn w:val="Normal"/>
    <w:next w:val="Normal"/>
    <w:autoRedefine/>
    <w:uiPriority w:val="39"/>
    <w:unhideWhenUsed/>
    <w:rsid w:val="006C24AA"/>
    <w:pPr>
      <w:tabs>
        <w:tab w:val="left" w:pos="1440"/>
        <w:tab w:val="right" w:leader="dot" w:pos="9350"/>
      </w:tabs>
      <w:spacing w:after="100"/>
      <w:ind w:left="480"/>
    </w:pPr>
    <w:rPr>
      <w:rFonts w:cs="Times New Roman"/>
    </w:rPr>
  </w:style>
  <w:style w:type="character" w:styleId="Emphasis">
    <w:name w:val="Emphasis"/>
    <w:basedOn w:val="DefaultParagraphFont"/>
    <w:qFormat/>
    <w:rsid w:val="006C24AA"/>
    <w:rPr>
      <w:i/>
      <w:iCs/>
    </w:rPr>
  </w:style>
  <w:style w:type="paragraph" w:styleId="NoSpacing">
    <w:name w:val="No Spacing"/>
    <w:uiPriority w:val="1"/>
    <w:qFormat/>
    <w:rsid w:val="006C24AA"/>
    <w:rPr>
      <w:sz w:val="26"/>
      <w:szCs w:val="26"/>
    </w:rPr>
  </w:style>
  <w:style w:type="paragraph" w:styleId="ListParagraph">
    <w:name w:val="List Paragraph"/>
    <w:basedOn w:val="Normal"/>
    <w:uiPriority w:val="34"/>
    <w:qFormat/>
    <w:rsid w:val="006C24AA"/>
    <w:pPr>
      <w:ind w:left="720"/>
    </w:pPr>
    <w:rPr>
      <w:rFonts w:cs="Times New Roman"/>
    </w:rPr>
  </w:style>
  <w:style w:type="paragraph" w:styleId="TOCHeading">
    <w:name w:val="TOC Heading"/>
    <w:basedOn w:val="Heading1"/>
    <w:next w:val="Normal"/>
    <w:uiPriority w:val="39"/>
    <w:semiHidden/>
    <w:unhideWhenUsed/>
    <w:qFormat/>
    <w:rsid w:val="006C24AA"/>
    <w:pPr>
      <w:outlineLvl w:val="9"/>
    </w:p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semiHidden/>
    <w:unhideWhenUsed/>
    <w:qFormat/>
    <w:rsid w:val="00865951"/>
    <w:pPr>
      <w:spacing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semiHidden/>
    <w:rsid w:val="00865951"/>
    <w:rPr>
      <w:rFonts w:cs="Mangal"/>
    </w:rPr>
  </w:style>
  <w:style w:type="character" w:styleId="FootnoteReference">
    <w:name w:val="footnote reference"/>
    <w:basedOn w:val="DefaultParagraphFont"/>
    <w:uiPriority w:val="99"/>
    <w:semiHidden/>
    <w:unhideWhenUsed/>
    <w:rsid w:val="00865951"/>
    <w:rPr>
      <w:vertAlign w:val="superscript"/>
    </w:rPr>
  </w:style>
  <w:style w:type="paragraph" w:styleId="Header">
    <w:name w:val="header"/>
    <w:basedOn w:val="Normal"/>
    <w:link w:val="HeaderChar"/>
    <w:uiPriority w:val="99"/>
    <w:semiHidden/>
    <w:unhideWhenUsed/>
    <w:rsid w:val="00E45CE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45CEB"/>
    <w:rPr>
      <w:rFonts w:cs="Mangal"/>
      <w:sz w:val="26"/>
      <w:szCs w:val="26"/>
    </w:rPr>
  </w:style>
  <w:style w:type="paragraph" w:styleId="Footer">
    <w:name w:val="footer"/>
    <w:basedOn w:val="Normal"/>
    <w:link w:val="FooterChar"/>
    <w:uiPriority w:val="99"/>
    <w:unhideWhenUsed/>
    <w:rsid w:val="00E45CEB"/>
    <w:pPr>
      <w:tabs>
        <w:tab w:val="center" w:pos="4680"/>
        <w:tab w:val="right" w:pos="9360"/>
      </w:tabs>
      <w:spacing w:line="240" w:lineRule="auto"/>
    </w:pPr>
  </w:style>
  <w:style w:type="character" w:customStyle="1" w:styleId="FooterChar">
    <w:name w:val="Footer Char"/>
    <w:basedOn w:val="DefaultParagraphFont"/>
    <w:link w:val="Footer"/>
    <w:uiPriority w:val="99"/>
    <w:rsid w:val="00E45CEB"/>
    <w:rPr>
      <w:rFonts w:cs="Mangal"/>
      <w:sz w:val="26"/>
      <w:szCs w:val="26"/>
    </w:rPr>
  </w:style>
  <w:style w:type="table" w:styleId="TableGrid">
    <w:name w:val="Table Grid"/>
    <w:basedOn w:val="TableNormal"/>
    <w:uiPriority w:val="59"/>
    <w:rsid w:val="008461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2F3A94"/>
    <w:rPr>
      <w:rFonts w:cs="Times New Roman"/>
      <w:szCs w:val="20"/>
    </w:rPr>
  </w:style>
  <w:style w:type="character" w:customStyle="1" w:styleId="PlainTextChar">
    <w:name w:val="Plain Text Char"/>
    <w:basedOn w:val="DefaultParagraphFont"/>
    <w:link w:val="PlainText"/>
    <w:uiPriority w:val="99"/>
    <w:rsid w:val="002F3A94"/>
    <w:rPr>
      <w:sz w:val="26"/>
    </w:rPr>
  </w:style>
  <w:style w:type="paragraph" w:styleId="BodyText">
    <w:name w:val="Body Text"/>
    <w:basedOn w:val="Normal"/>
    <w:link w:val="BodyTextChar"/>
    <w:rsid w:val="00F65BA8"/>
    <w:pPr>
      <w:ind w:firstLine="0"/>
    </w:pPr>
    <w:rPr>
      <w:rFonts w:cs="Times New Roman"/>
      <w:szCs w:val="20"/>
    </w:rPr>
  </w:style>
  <w:style w:type="character" w:customStyle="1" w:styleId="BodyTextChar">
    <w:name w:val="Body Text Char"/>
    <w:basedOn w:val="DefaultParagraphFont"/>
    <w:link w:val="BodyText"/>
    <w:rsid w:val="00F65BA8"/>
    <w:rPr>
      <w:sz w:val="26"/>
    </w:rPr>
  </w:style>
  <w:style w:type="paragraph" w:styleId="BodyText2">
    <w:name w:val="Body Text 2"/>
    <w:basedOn w:val="Normal"/>
    <w:link w:val="BodyText2Char"/>
    <w:rsid w:val="00E019A1"/>
    <w:pPr>
      <w:spacing w:after="120" w:line="480" w:lineRule="auto"/>
      <w:ind w:firstLine="0"/>
    </w:pPr>
    <w:rPr>
      <w:rFonts w:cs="Times New Roman"/>
      <w:sz w:val="24"/>
      <w:szCs w:val="24"/>
    </w:rPr>
  </w:style>
  <w:style w:type="character" w:customStyle="1" w:styleId="BodyText2Char">
    <w:name w:val="Body Text 2 Char"/>
    <w:basedOn w:val="DefaultParagraphFont"/>
    <w:link w:val="BodyText2"/>
    <w:rsid w:val="00E019A1"/>
    <w:rPr>
      <w:sz w:val="24"/>
      <w:szCs w:val="24"/>
    </w:rPr>
  </w:style>
  <w:style w:type="paragraph" w:styleId="BodyText3">
    <w:name w:val="Body Text 3"/>
    <w:basedOn w:val="Normal"/>
    <w:link w:val="BodyText3Char"/>
    <w:rsid w:val="00E019A1"/>
    <w:pPr>
      <w:spacing w:after="120" w:line="240" w:lineRule="auto"/>
      <w:ind w:firstLine="0"/>
    </w:pPr>
    <w:rPr>
      <w:rFonts w:cs="Times New Roman"/>
      <w:sz w:val="16"/>
      <w:szCs w:val="16"/>
    </w:rPr>
  </w:style>
  <w:style w:type="character" w:customStyle="1" w:styleId="BodyText3Char">
    <w:name w:val="Body Text 3 Char"/>
    <w:basedOn w:val="DefaultParagraphFont"/>
    <w:link w:val="BodyText3"/>
    <w:rsid w:val="00E019A1"/>
    <w:rPr>
      <w:sz w:val="16"/>
      <w:szCs w:val="16"/>
    </w:rPr>
  </w:style>
  <w:style w:type="paragraph" w:customStyle="1" w:styleId="p3">
    <w:name w:val="p3"/>
    <w:basedOn w:val="Normal"/>
    <w:rsid w:val="002E63AF"/>
    <w:pPr>
      <w:widowControl w:val="0"/>
      <w:tabs>
        <w:tab w:val="left" w:pos="204"/>
      </w:tabs>
      <w:autoSpaceDE w:val="0"/>
      <w:autoSpaceDN w:val="0"/>
      <w:adjustRightInd w:val="0"/>
      <w:spacing w:line="240" w:lineRule="auto"/>
      <w:ind w:firstLine="0"/>
    </w:pPr>
    <w:rPr>
      <w:rFonts w:cs="Times New Roman"/>
      <w:sz w:val="24"/>
      <w:szCs w:val="24"/>
    </w:rPr>
  </w:style>
  <w:style w:type="paragraph" w:styleId="BalloonText">
    <w:name w:val="Balloon Text"/>
    <w:basedOn w:val="Normal"/>
    <w:link w:val="BalloonTextChar"/>
    <w:uiPriority w:val="99"/>
    <w:semiHidden/>
    <w:unhideWhenUsed/>
    <w:rsid w:val="003B18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8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361BAA4-4785-4EE3-B4D9-FA7E83C8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2362</TotalTime>
  <Pages>24</Pages>
  <Words>6286</Words>
  <Characters>35835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Administrator</cp:lastModifiedBy>
  <cp:revision>39</cp:revision>
  <cp:lastPrinted>2011-04-15T12:07:00Z</cp:lastPrinted>
  <dcterms:created xsi:type="dcterms:W3CDTF">2011-03-14T14:34:00Z</dcterms:created>
  <dcterms:modified xsi:type="dcterms:W3CDTF">2011-04-15T12:07:00Z</dcterms:modified>
</cp:coreProperties>
</file>