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3C4812" w:rsidRPr="005A0A6B" w:rsidTr="00167F7B">
        <w:tc>
          <w:tcPr>
            <w:tcW w:w="5000" w:type="pct"/>
            <w:gridSpan w:val="2"/>
          </w:tcPr>
          <w:p w:rsidR="003C4812" w:rsidRPr="005A0A6B" w:rsidRDefault="003C4812" w:rsidP="00167F7B">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3C4812" w:rsidRPr="005A0A6B" w:rsidRDefault="003C4812" w:rsidP="00167F7B">
            <w:pPr>
              <w:jc w:val="center"/>
              <w:rPr>
                <w:rFonts w:ascii="Times New (W1)" w:hAnsi="Times New (W1)"/>
                <w:b/>
                <w:sz w:val="26"/>
              </w:rPr>
            </w:pPr>
            <w:r w:rsidRPr="005A0A6B">
              <w:rPr>
                <w:rFonts w:ascii="Times New (W1)" w:hAnsi="Times New (W1)"/>
                <w:b/>
                <w:sz w:val="26"/>
              </w:rPr>
              <w:t>PUBLIC UTILITY COMMISSION</w:t>
            </w:r>
          </w:p>
          <w:p w:rsidR="003C4812" w:rsidRPr="005A0A6B" w:rsidRDefault="003C4812" w:rsidP="00167F7B">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3C4812" w:rsidRDefault="003C4812" w:rsidP="00167F7B">
            <w:pPr>
              <w:rPr>
                <w:rFonts w:ascii="Times New (W1)" w:hAnsi="Times New (W1)"/>
                <w:sz w:val="26"/>
              </w:rPr>
            </w:pPr>
          </w:p>
          <w:p w:rsidR="003C4812" w:rsidRPr="005A0A6B" w:rsidRDefault="003C4812" w:rsidP="00167F7B">
            <w:pPr>
              <w:rPr>
                <w:rFonts w:ascii="Times New (W1)" w:hAnsi="Times New (W1)"/>
                <w:sz w:val="26"/>
              </w:rPr>
            </w:pPr>
          </w:p>
        </w:tc>
      </w:tr>
      <w:tr w:rsidR="003C4812" w:rsidRPr="005A0A6B" w:rsidTr="00167F7B">
        <w:tc>
          <w:tcPr>
            <w:tcW w:w="2500" w:type="pct"/>
          </w:tcPr>
          <w:p w:rsidR="003C4812" w:rsidRPr="005A0A6B" w:rsidRDefault="003C4812" w:rsidP="00167F7B">
            <w:pPr>
              <w:rPr>
                <w:rFonts w:ascii="Times New (W1)" w:hAnsi="Times New (W1)"/>
                <w:sz w:val="26"/>
              </w:rPr>
            </w:pPr>
          </w:p>
        </w:tc>
        <w:tc>
          <w:tcPr>
            <w:tcW w:w="2500" w:type="pct"/>
          </w:tcPr>
          <w:p w:rsidR="003C4812" w:rsidRPr="005A0A6B" w:rsidRDefault="003C4812" w:rsidP="00167F7B">
            <w:pPr>
              <w:jc w:val="right"/>
              <w:rPr>
                <w:rFonts w:ascii="Times New (W1)" w:hAnsi="Times New (W1)"/>
                <w:sz w:val="26"/>
              </w:rPr>
            </w:pPr>
            <w:r>
              <w:rPr>
                <w:rFonts w:ascii="Times New (W1)" w:hAnsi="Times New (W1)"/>
                <w:sz w:val="26"/>
              </w:rPr>
              <w:t xml:space="preserve">Public Meeting held </w:t>
            </w:r>
            <w:r w:rsidR="001832CB">
              <w:rPr>
                <w:rFonts w:ascii="Times New (W1)" w:hAnsi="Times New (W1)"/>
                <w:sz w:val="26"/>
              </w:rPr>
              <w:t>March 31</w:t>
            </w:r>
            <w:r>
              <w:rPr>
                <w:rFonts w:ascii="Times New (W1)" w:hAnsi="Times New (W1)"/>
                <w:sz w:val="26"/>
              </w:rPr>
              <w:t>, 2011</w:t>
            </w:r>
          </w:p>
          <w:p w:rsidR="003C4812" w:rsidRPr="005A0A6B" w:rsidRDefault="003C4812" w:rsidP="00167F7B">
            <w:pPr>
              <w:jc w:val="right"/>
              <w:rPr>
                <w:rFonts w:ascii="Times New (W1)" w:hAnsi="Times New (W1)"/>
                <w:sz w:val="26"/>
              </w:rPr>
            </w:pPr>
          </w:p>
        </w:tc>
      </w:tr>
      <w:tr w:rsidR="00D44A2E" w:rsidRPr="005A0A6B" w:rsidTr="00D44A2E">
        <w:tc>
          <w:tcPr>
            <w:tcW w:w="5000" w:type="pct"/>
            <w:gridSpan w:val="2"/>
          </w:tcPr>
          <w:p w:rsidR="00D44A2E" w:rsidRPr="005A0A6B" w:rsidRDefault="00D44A2E" w:rsidP="00167F7B">
            <w:pPr>
              <w:rPr>
                <w:rFonts w:ascii="Times New (W1)" w:hAnsi="Times New (W1)"/>
                <w:sz w:val="26"/>
              </w:rPr>
            </w:pPr>
            <w:r w:rsidRPr="005A0A6B">
              <w:rPr>
                <w:rFonts w:ascii="Times New (W1)" w:hAnsi="Times New (W1)"/>
                <w:sz w:val="26"/>
              </w:rPr>
              <w:t>Commissioners Present:</w:t>
            </w:r>
          </w:p>
          <w:p w:rsidR="00D44A2E" w:rsidRPr="005A0A6B" w:rsidRDefault="00D44A2E" w:rsidP="00167F7B">
            <w:pPr>
              <w:rPr>
                <w:rFonts w:ascii="Times New (W1)" w:hAnsi="Times New (W1)"/>
                <w:sz w:val="26"/>
              </w:rPr>
            </w:pPr>
          </w:p>
          <w:p w:rsidR="00D44A2E" w:rsidRPr="005A0A6B" w:rsidRDefault="00D44A2E" w:rsidP="00CD0395">
            <w:pPr>
              <w:ind w:firstLine="540"/>
              <w:rPr>
                <w:rFonts w:ascii="Times New (W1)" w:hAnsi="Times New (W1)"/>
                <w:sz w:val="26"/>
              </w:rPr>
            </w:pPr>
            <w:r w:rsidRPr="005A0A6B">
              <w:rPr>
                <w:rFonts w:ascii="Times New (W1)" w:hAnsi="Times New (W1)"/>
                <w:sz w:val="26"/>
              </w:rPr>
              <w:t>Robert F. Powelson</w:t>
            </w:r>
            <w:r>
              <w:rPr>
                <w:rFonts w:ascii="Times New (W1)" w:hAnsi="Times New (W1)"/>
                <w:sz w:val="26"/>
              </w:rPr>
              <w:t xml:space="preserve">, </w:t>
            </w:r>
            <w:r w:rsidRPr="005A0A6B">
              <w:rPr>
                <w:rFonts w:ascii="Times New (W1)" w:hAnsi="Times New (W1)"/>
                <w:sz w:val="26"/>
              </w:rPr>
              <w:t>Chairman</w:t>
            </w:r>
          </w:p>
          <w:p w:rsidR="00D44A2E" w:rsidRPr="005A0A6B" w:rsidRDefault="00D44A2E" w:rsidP="00CD0395">
            <w:pPr>
              <w:ind w:firstLine="540"/>
              <w:rPr>
                <w:rFonts w:ascii="Times New (W1)" w:hAnsi="Times New (W1)"/>
                <w:sz w:val="26"/>
              </w:rPr>
            </w:pPr>
            <w:r>
              <w:rPr>
                <w:rFonts w:ascii="Times New (W1)" w:hAnsi="Times New (W1)"/>
                <w:sz w:val="26"/>
              </w:rPr>
              <w:t xml:space="preserve">John F. Coleman, Jr., </w:t>
            </w:r>
            <w:r w:rsidRPr="005A0A6B">
              <w:rPr>
                <w:rFonts w:ascii="Times New (W1)" w:hAnsi="Times New (W1)"/>
                <w:sz w:val="26"/>
              </w:rPr>
              <w:t>Vice Chairman</w:t>
            </w:r>
            <w:r>
              <w:rPr>
                <w:rFonts w:ascii="Times New (W1)" w:hAnsi="Times New (W1)"/>
                <w:sz w:val="26"/>
              </w:rPr>
              <w:t>, Dissenting</w:t>
            </w:r>
          </w:p>
          <w:p w:rsidR="00D44A2E" w:rsidRPr="005A0A6B" w:rsidRDefault="00D44A2E" w:rsidP="00167F7B">
            <w:pPr>
              <w:ind w:firstLine="540"/>
              <w:rPr>
                <w:rFonts w:ascii="Times New (W1)" w:hAnsi="Times New (W1)"/>
                <w:sz w:val="26"/>
              </w:rPr>
            </w:pPr>
            <w:r>
              <w:rPr>
                <w:rFonts w:ascii="Times New (W1)" w:hAnsi="Times New (W1)"/>
                <w:sz w:val="26"/>
              </w:rPr>
              <w:t>Tyrone J. Christy</w:t>
            </w:r>
          </w:p>
          <w:p w:rsidR="00D44A2E" w:rsidRDefault="00D44A2E" w:rsidP="00167F7B">
            <w:pPr>
              <w:ind w:firstLine="540"/>
              <w:rPr>
                <w:rFonts w:ascii="Times New (W1)" w:hAnsi="Times New (W1)"/>
                <w:sz w:val="26"/>
              </w:rPr>
            </w:pPr>
            <w:r w:rsidRPr="005A0A6B">
              <w:rPr>
                <w:rFonts w:ascii="Times New (W1)" w:hAnsi="Times New (W1)"/>
                <w:sz w:val="26"/>
              </w:rPr>
              <w:t>Wayne E. Gardner</w:t>
            </w:r>
          </w:p>
          <w:p w:rsidR="00D44A2E" w:rsidRPr="005A0A6B" w:rsidRDefault="00D44A2E" w:rsidP="00167F7B">
            <w:pPr>
              <w:ind w:firstLine="540"/>
              <w:rPr>
                <w:rFonts w:ascii="Times New (W1)" w:hAnsi="Times New (W1)"/>
                <w:sz w:val="26"/>
              </w:rPr>
            </w:pPr>
            <w:r>
              <w:rPr>
                <w:rFonts w:ascii="Times New (W1)" w:hAnsi="Times New (W1)"/>
                <w:sz w:val="26"/>
              </w:rPr>
              <w:t>James H. Cawley</w:t>
            </w:r>
          </w:p>
          <w:p w:rsidR="00D44A2E" w:rsidRPr="005A0A6B" w:rsidRDefault="00D44A2E" w:rsidP="00167F7B">
            <w:pPr>
              <w:rPr>
                <w:rFonts w:ascii="Times New (W1)" w:hAnsi="Times New (W1)"/>
                <w:sz w:val="26"/>
              </w:rPr>
            </w:pPr>
          </w:p>
        </w:tc>
      </w:tr>
      <w:tr w:rsidR="003C4812" w:rsidTr="00167F7B">
        <w:tblPrEx>
          <w:tblLook w:val="04A0"/>
        </w:tblPrEx>
        <w:trPr>
          <w:trHeight w:val="315"/>
        </w:trPr>
        <w:tc>
          <w:tcPr>
            <w:tcW w:w="2500" w:type="pct"/>
          </w:tcPr>
          <w:p w:rsidR="003C4812" w:rsidRPr="00937B72" w:rsidRDefault="003C4812" w:rsidP="00167F7B">
            <w:pPr>
              <w:rPr>
                <w:sz w:val="26"/>
                <w:szCs w:val="26"/>
              </w:rPr>
            </w:pPr>
            <w:r w:rsidRPr="00937B72">
              <w:rPr>
                <w:sz w:val="26"/>
                <w:szCs w:val="26"/>
              </w:rPr>
              <w:t>Pennsylvania Public Utility Commission</w:t>
            </w:r>
          </w:p>
        </w:tc>
        <w:tc>
          <w:tcPr>
            <w:tcW w:w="2500" w:type="pct"/>
          </w:tcPr>
          <w:p w:rsidR="003C4812" w:rsidRPr="00937B72" w:rsidRDefault="003C4812" w:rsidP="00167F7B">
            <w:pPr>
              <w:jc w:val="right"/>
              <w:rPr>
                <w:sz w:val="26"/>
                <w:szCs w:val="26"/>
              </w:rPr>
            </w:pPr>
            <w:r w:rsidRPr="00937B72">
              <w:rPr>
                <w:sz w:val="26"/>
                <w:szCs w:val="26"/>
              </w:rPr>
              <w:t>R-2010-2161694</w:t>
            </w:r>
          </w:p>
        </w:tc>
      </w:tr>
      <w:tr w:rsidR="003C4812" w:rsidTr="00167F7B">
        <w:tblPrEx>
          <w:tblLook w:val="04A0"/>
        </w:tblPrEx>
        <w:trPr>
          <w:trHeight w:val="360"/>
        </w:trPr>
        <w:tc>
          <w:tcPr>
            <w:tcW w:w="2500" w:type="pct"/>
          </w:tcPr>
          <w:p w:rsidR="003C4812" w:rsidRPr="00937B72" w:rsidRDefault="003C4812" w:rsidP="00167F7B">
            <w:pPr>
              <w:rPr>
                <w:sz w:val="26"/>
                <w:szCs w:val="26"/>
              </w:rPr>
            </w:pPr>
            <w:r w:rsidRPr="00937B72">
              <w:rPr>
                <w:sz w:val="26"/>
                <w:szCs w:val="26"/>
              </w:rPr>
              <w:t>Office of Consumer Advocate</w:t>
            </w:r>
          </w:p>
        </w:tc>
        <w:tc>
          <w:tcPr>
            <w:tcW w:w="2500" w:type="pct"/>
          </w:tcPr>
          <w:p w:rsidR="003C4812" w:rsidRPr="00937B72" w:rsidRDefault="003C4812" w:rsidP="00167F7B">
            <w:pPr>
              <w:jc w:val="right"/>
              <w:rPr>
                <w:sz w:val="26"/>
                <w:szCs w:val="26"/>
              </w:rPr>
            </w:pPr>
            <w:r w:rsidRPr="00937B72">
              <w:rPr>
                <w:sz w:val="26"/>
                <w:szCs w:val="26"/>
              </w:rPr>
              <w:t>C-2010-2171967</w:t>
            </w:r>
          </w:p>
        </w:tc>
      </w:tr>
      <w:tr w:rsidR="003C4812" w:rsidTr="00167F7B">
        <w:tblPrEx>
          <w:tblLook w:val="04A0"/>
        </w:tblPrEx>
        <w:trPr>
          <w:trHeight w:val="180"/>
        </w:trPr>
        <w:tc>
          <w:tcPr>
            <w:tcW w:w="2500" w:type="pct"/>
          </w:tcPr>
          <w:p w:rsidR="003C4812" w:rsidRPr="00937B72" w:rsidRDefault="003C4812" w:rsidP="00167F7B">
            <w:pPr>
              <w:rPr>
                <w:sz w:val="26"/>
                <w:szCs w:val="26"/>
              </w:rPr>
            </w:pPr>
            <w:r w:rsidRPr="00937B72">
              <w:rPr>
                <w:sz w:val="26"/>
                <w:szCs w:val="26"/>
              </w:rPr>
              <w:t>Office of Small Business Advocate</w:t>
            </w:r>
          </w:p>
        </w:tc>
        <w:tc>
          <w:tcPr>
            <w:tcW w:w="2500" w:type="pct"/>
          </w:tcPr>
          <w:p w:rsidR="003C4812" w:rsidRPr="00937B72" w:rsidRDefault="003C4812" w:rsidP="00167F7B">
            <w:pPr>
              <w:jc w:val="right"/>
              <w:rPr>
                <w:sz w:val="26"/>
                <w:szCs w:val="26"/>
              </w:rPr>
            </w:pPr>
            <w:r w:rsidRPr="00937B72">
              <w:rPr>
                <w:sz w:val="26"/>
                <w:szCs w:val="26"/>
              </w:rPr>
              <w:t>C-2010-2174138</w:t>
            </w:r>
          </w:p>
        </w:tc>
      </w:tr>
      <w:tr w:rsidR="003C4812" w:rsidTr="00167F7B">
        <w:tblPrEx>
          <w:tblLook w:val="04A0"/>
        </w:tblPrEx>
        <w:trPr>
          <w:trHeight w:val="270"/>
        </w:trPr>
        <w:tc>
          <w:tcPr>
            <w:tcW w:w="2500" w:type="pct"/>
          </w:tcPr>
          <w:p w:rsidR="003C4812" w:rsidRPr="00937B72" w:rsidRDefault="003C4812" w:rsidP="00167F7B">
            <w:pPr>
              <w:rPr>
                <w:sz w:val="26"/>
                <w:szCs w:val="26"/>
              </w:rPr>
            </w:pPr>
            <w:r w:rsidRPr="00937B72">
              <w:rPr>
                <w:sz w:val="26"/>
                <w:szCs w:val="26"/>
              </w:rPr>
              <w:t>PP&amp;L Industrial Customer Alliance</w:t>
            </w:r>
          </w:p>
        </w:tc>
        <w:tc>
          <w:tcPr>
            <w:tcW w:w="2500" w:type="pct"/>
          </w:tcPr>
          <w:p w:rsidR="003C4812" w:rsidRPr="00937B72" w:rsidRDefault="003C4812" w:rsidP="00167F7B">
            <w:pPr>
              <w:jc w:val="right"/>
              <w:rPr>
                <w:sz w:val="26"/>
                <w:szCs w:val="26"/>
              </w:rPr>
            </w:pPr>
            <w:r w:rsidRPr="00937B72">
              <w:rPr>
                <w:sz w:val="26"/>
                <w:szCs w:val="26"/>
              </w:rPr>
              <w:t>C-2010-2176959</w:t>
            </w:r>
          </w:p>
        </w:tc>
      </w:tr>
      <w:tr w:rsidR="003C4812" w:rsidTr="00167F7B">
        <w:tblPrEx>
          <w:tblLook w:val="04A0"/>
        </w:tblPrEx>
        <w:trPr>
          <w:trHeight w:val="360"/>
        </w:trPr>
        <w:tc>
          <w:tcPr>
            <w:tcW w:w="2500" w:type="pct"/>
          </w:tcPr>
          <w:p w:rsidR="003C4812" w:rsidRPr="00937B72" w:rsidRDefault="003C4812" w:rsidP="00167F7B">
            <w:pPr>
              <w:rPr>
                <w:sz w:val="26"/>
                <w:szCs w:val="26"/>
              </w:rPr>
            </w:pPr>
            <w:r w:rsidRPr="00937B72">
              <w:rPr>
                <w:sz w:val="26"/>
                <w:szCs w:val="26"/>
              </w:rPr>
              <w:t>Elaine &amp; Clayton Andrews, Jr.</w:t>
            </w:r>
          </w:p>
        </w:tc>
        <w:tc>
          <w:tcPr>
            <w:tcW w:w="2500" w:type="pct"/>
          </w:tcPr>
          <w:p w:rsidR="003C4812" w:rsidRPr="00937B72" w:rsidRDefault="003C4812" w:rsidP="00167F7B">
            <w:pPr>
              <w:jc w:val="right"/>
              <w:rPr>
                <w:sz w:val="26"/>
                <w:szCs w:val="26"/>
              </w:rPr>
            </w:pPr>
            <w:r w:rsidRPr="00937B72">
              <w:rPr>
                <w:sz w:val="26"/>
                <w:szCs w:val="26"/>
              </w:rPr>
              <w:t>C-2010-2174117</w:t>
            </w:r>
          </w:p>
        </w:tc>
      </w:tr>
      <w:tr w:rsidR="003C4812" w:rsidTr="00167F7B">
        <w:tblPrEx>
          <w:tblLook w:val="04A0"/>
        </w:tblPrEx>
        <w:trPr>
          <w:trHeight w:val="360"/>
        </w:trPr>
        <w:tc>
          <w:tcPr>
            <w:tcW w:w="2500" w:type="pct"/>
          </w:tcPr>
          <w:p w:rsidR="003C4812" w:rsidRPr="00937B72" w:rsidRDefault="003C4812" w:rsidP="00167F7B">
            <w:pPr>
              <w:rPr>
                <w:sz w:val="26"/>
                <w:szCs w:val="26"/>
              </w:rPr>
            </w:pPr>
            <w:r w:rsidRPr="00937B72">
              <w:rPr>
                <w:sz w:val="26"/>
                <w:szCs w:val="26"/>
              </w:rPr>
              <w:t>Ashley A. Buck</w:t>
            </w:r>
          </w:p>
        </w:tc>
        <w:tc>
          <w:tcPr>
            <w:tcW w:w="2500" w:type="pct"/>
          </w:tcPr>
          <w:p w:rsidR="003C4812" w:rsidRPr="00937B72" w:rsidRDefault="003C4812" w:rsidP="00167F7B">
            <w:pPr>
              <w:jc w:val="right"/>
              <w:rPr>
                <w:sz w:val="26"/>
                <w:szCs w:val="26"/>
              </w:rPr>
            </w:pPr>
            <w:r w:rsidRPr="00937B72">
              <w:rPr>
                <w:sz w:val="26"/>
                <w:szCs w:val="26"/>
              </w:rPr>
              <w:t>C-2010-2172723</w:t>
            </w:r>
          </w:p>
        </w:tc>
      </w:tr>
      <w:tr w:rsidR="003C4812" w:rsidTr="00167F7B">
        <w:tblPrEx>
          <w:tblLook w:val="04A0"/>
        </w:tblPrEx>
        <w:trPr>
          <w:trHeight w:val="270"/>
        </w:trPr>
        <w:tc>
          <w:tcPr>
            <w:tcW w:w="2500" w:type="pct"/>
          </w:tcPr>
          <w:p w:rsidR="003C4812" w:rsidRPr="00937B72" w:rsidRDefault="003C4812" w:rsidP="00167F7B">
            <w:pPr>
              <w:rPr>
                <w:sz w:val="26"/>
                <w:szCs w:val="26"/>
              </w:rPr>
            </w:pPr>
            <w:r w:rsidRPr="00937B72">
              <w:rPr>
                <w:sz w:val="26"/>
                <w:szCs w:val="26"/>
              </w:rPr>
              <w:t>Eric Joseph Epstein</w:t>
            </w:r>
          </w:p>
        </w:tc>
        <w:tc>
          <w:tcPr>
            <w:tcW w:w="2500" w:type="pct"/>
          </w:tcPr>
          <w:p w:rsidR="003C4812" w:rsidRPr="00937B72" w:rsidRDefault="003C4812" w:rsidP="00167F7B">
            <w:pPr>
              <w:jc w:val="right"/>
              <w:rPr>
                <w:sz w:val="26"/>
                <w:szCs w:val="26"/>
              </w:rPr>
            </w:pPr>
            <w:r w:rsidRPr="00937B72">
              <w:rPr>
                <w:sz w:val="26"/>
                <w:szCs w:val="26"/>
              </w:rPr>
              <w:t>C-2010-2171487</w:t>
            </w:r>
          </w:p>
        </w:tc>
      </w:tr>
      <w:tr w:rsidR="003C4812" w:rsidTr="00167F7B">
        <w:tblPrEx>
          <w:tblLook w:val="04A0"/>
        </w:tblPrEx>
        <w:trPr>
          <w:trHeight w:val="270"/>
        </w:trPr>
        <w:tc>
          <w:tcPr>
            <w:tcW w:w="2500" w:type="pct"/>
          </w:tcPr>
          <w:p w:rsidR="003C4812" w:rsidRPr="00937B72" w:rsidRDefault="003C4812" w:rsidP="00167F7B">
            <w:pPr>
              <w:rPr>
                <w:sz w:val="26"/>
                <w:szCs w:val="26"/>
              </w:rPr>
            </w:pPr>
            <w:r w:rsidRPr="00937B72">
              <w:rPr>
                <w:sz w:val="26"/>
                <w:szCs w:val="26"/>
              </w:rPr>
              <w:t>Vincent C. Giglio</w:t>
            </w:r>
          </w:p>
        </w:tc>
        <w:tc>
          <w:tcPr>
            <w:tcW w:w="2500" w:type="pct"/>
          </w:tcPr>
          <w:p w:rsidR="003C4812" w:rsidRPr="00937B72" w:rsidRDefault="003C4812" w:rsidP="00167F7B">
            <w:pPr>
              <w:jc w:val="right"/>
              <w:rPr>
                <w:sz w:val="26"/>
                <w:szCs w:val="26"/>
              </w:rPr>
            </w:pPr>
            <w:r w:rsidRPr="00937B72">
              <w:rPr>
                <w:sz w:val="26"/>
                <w:szCs w:val="26"/>
              </w:rPr>
              <w:t>C-2010-2204823</w:t>
            </w:r>
          </w:p>
        </w:tc>
      </w:tr>
      <w:tr w:rsidR="003C4812" w:rsidTr="00167F7B">
        <w:tblPrEx>
          <w:tblLook w:val="04A0"/>
        </w:tblPrEx>
        <w:trPr>
          <w:trHeight w:val="360"/>
        </w:trPr>
        <w:tc>
          <w:tcPr>
            <w:tcW w:w="2500" w:type="pct"/>
          </w:tcPr>
          <w:p w:rsidR="003C4812" w:rsidRPr="00937B72" w:rsidRDefault="003C4812" w:rsidP="00167F7B">
            <w:pPr>
              <w:rPr>
                <w:sz w:val="26"/>
                <w:szCs w:val="26"/>
              </w:rPr>
            </w:pPr>
            <w:r w:rsidRPr="00937B72">
              <w:rPr>
                <w:sz w:val="26"/>
                <w:szCs w:val="26"/>
              </w:rPr>
              <w:t>Stephen Goldstein</w:t>
            </w:r>
          </w:p>
        </w:tc>
        <w:tc>
          <w:tcPr>
            <w:tcW w:w="2500" w:type="pct"/>
          </w:tcPr>
          <w:p w:rsidR="003C4812" w:rsidRPr="00937B72" w:rsidRDefault="003C4812" w:rsidP="00167F7B">
            <w:pPr>
              <w:jc w:val="right"/>
              <w:rPr>
                <w:sz w:val="26"/>
                <w:szCs w:val="26"/>
              </w:rPr>
            </w:pPr>
            <w:r w:rsidRPr="00937B72">
              <w:rPr>
                <w:sz w:val="26"/>
                <w:szCs w:val="26"/>
              </w:rPr>
              <w:t>C-2010-2179405</w:t>
            </w:r>
          </w:p>
        </w:tc>
      </w:tr>
      <w:tr w:rsidR="003C4812" w:rsidTr="00167F7B">
        <w:tblPrEx>
          <w:tblLook w:val="04A0"/>
        </w:tblPrEx>
        <w:trPr>
          <w:trHeight w:val="360"/>
        </w:trPr>
        <w:tc>
          <w:tcPr>
            <w:tcW w:w="2500" w:type="pct"/>
          </w:tcPr>
          <w:p w:rsidR="003C4812" w:rsidRPr="00937B72" w:rsidRDefault="003C4812" w:rsidP="00167F7B">
            <w:pPr>
              <w:rPr>
                <w:sz w:val="26"/>
                <w:szCs w:val="26"/>
              </w:rPr>
            </w:pPr>
            <w:r w:rsidRPr="00937B72">
              <w:rPr>
                <w:sz w:val="26"/>
                <w:szCs w:val="26"/>
              </w:rPr>
              <w:t>Peter Grieger</w:t>
            </w:r>
          </w:p>
        </w:tc>
        <w:tc>
          <w:tcPr>
            <w:tcW w:w="2500" w:type="pct"/>
          </w:tcPr>
          <w:p w:rsidR="003C4812" w:rsidRPr="00937B72" w:rsidRDefault="003C4812" w:rsidP="00167F7B">
            <w:pPr>
              <w:jc w:val="right"/>
              <w:rPr>
                <w:sz w:val="26"/>
                <w:szCs w:val="26"/>
              </w:rPr>
            </w:pPr>
            <w:r w:rsidRPr="00937B72">
              <w:rPr>
                <w:sz w:val="26"/>
                <w:szCs w:val="26"/>
              </w:rPr>
              <w:t>C-2010-2177233</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William P. Hart</w:t>
            </w:r>
          </w:p>
        </w:tc>
        <w:tc>
          <w:tcPr>
            <w:tcW w:w="2500" w:type="pct"/>
          </w:tcPr>
          <w:p w:rsidR="003C4812" w:rsidRPr="00937B72" w:rsidRDefault="003C4812" w:rsidP="00167F7B">
            <w:pPr>
              <w:jc w:val="right"/>
              <w:rPr>
                <w:sz w:val="26"/>
                <w:szCs w:val="26"/>
              </w:rPr>
            </w:pPr>
            <w:r w:rsidRPr="00937B72">
              <w:rPr>
                <w:sz w:val="26"/>
                <w:szCs w:val="26"/>
              </w:rPr>
              <w:t>C-2010-2187127</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Linda M. Johnson</w:t>
            </w:r>
          </w:p>
        </w:tc>
        <w:tc>
          <w:tcPr>
            <w:tcW w:w="2500" w:type="pct"/>
          </w:tcPr>
          <w:p w:rsidR="003C4812" w:rsidRPr="00937B72" w:rsidRDefault="003C4812" w:rsidP="00167F7B">
            <w:pPr>
              <w:jc w:val="right"/>
              <w:rPr>
                <w:sz w:val="26"/>
                <w:szCs w:val="26"/>
              </w:rPr>
            </w:pPr>
            <w:r w:rsidRPr="00937B72">
              <w:rPr>
                <w:sz w:val="26"/>
                <w:szCs w:val="26"/>
              </w:rPr>
              <w:t>C-2010-2177258</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Gerard Martin</w:t>
            </w:r>
          </w:p>
        </w:tc>
        <w:tc>
          <w:tcPr>
            <w:tcW w:w="2500" w:type="pct"/>
          </w:tcPr>
          <w:p w:rsidR="003C4812" w:rsidRPr="00937B72" w:rsidRDefault="003C4812" w:rsidP="00167F7B">
            <w:pPr>
              <w:jc w:val="right"/>
              <w:rPr>
                <w:sz w:val="26"/>
                <w:szCs w:val="26"/>
              </w:rPr>
            </w:pPr>
            <w:r w:rsidRPr="00937B72">
              <w:rPr>
                <w:sz w:val="26"/>
                <w:szCs w:val="26"/>
              </w:rPr>
              <w:t>C-2010-2177205</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Eugene R. Ruoff</w:t>
            </w:r>
          </w:p>
        </w:tc>
        <w:tc>
          <w:tcPr>
            <w:tcW w:w="2500" w:type="pct"/>
          </w:tcPr>
          <w:p w:rsidR="003C4812" w:rsidRPr="00937B72" w:rsidRDefault="003C4812" w:rsidP="00167F7B">
            <w:pPr>
              <w:jc w:val="right"/>
              <w:rPr>
                <w:sz w:val="26"/>
                <w:szCs w:val="26"/>
              </w:rPr>
            </w:pPr>
            <w:r w:rsidRPr="00937B72">
              <w:rPr>
                <w:sz w:val="26"/>
                <w:szCs w:val="26"/>
              </w:rPr>
              <w:t>C-2010-2179392</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George R. Snyder</w:t>
            </w:r>
          </w:p>
        </w:tc>
        <w:tc>
          <w:tcPr>
            <w:tcW w:w="2500" w:type="pct"/>
          </w:tcPr>
          <w:p w:rsidR="003C4812" w:rsidRPr="00937B72" w:rsidRDefault="003C4812" w:rsidP="00167F7B">
            <w:pPr>
              <w:jc w:val="right"/>
              <w:rPr>
                <w:sz w:val="26"/>
                <w:szCs w:val="26"/>
              </w:rPr>
            </w:pPr>
            <w:r w:rsidRPr="00937B72">
              <w:rPr>
                <w:sz w:val="26"/>
                <w:szCs w:val="26"/>
              </w:rPr>
              <w:t>C-2010-2177318</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Shannon Stiffler</w:t>
            </w:r>
          </w:p>
        </w:tc>
        <w:tc>
          <w:tcPr>
            <w:tcW w:w="2500" w:type="pct"/>
          </w:tcPr>
          <w:p w:rsidR="003C4812" w:rsidRPr="00937B72" w:rsidRDefault="003C4812" w:rsidP="00167F7B">
            <w:pPr>
              <w:jc w:val="right"/>
              <w:rPr>
                <w:sz w:val="26"/>
                <w:szCs w:val="26"/>
              </w:rPr>
            </w:pPr>
            <w:r w:rsidRPr="00937B72">
              <w:rPr>
                <w:sz w:val="26"/>
                <w:szCs w:val="26"/>
              </w:rPr>
              <w:t>C-2010-2179404</w:t>
            </w:r>
          </w:p>
        </w:tc>
      </w:tr>
      <w:tr w:rsidR="003C4812" w:rsidTr="00167F7B">
        <w:tblPrEx>
          <w:tblLook w:val="04A0"/>
        </w:tblPrEx>
        <w:tc>
          <w:tcPr>
            <w:tcW w:w="2500" w:type="pct"/>
          </w:tcPr>
          <w:p w:rsidR="003C4812" w:rsidRPr="00937B72" w:rsidRDefault="003C4812" w:rsidP="00167F7B">
            <w:pPr>
              <w:rPr>
                <w:sz w:val="26"/>
                <w:szCs w:val="26"/>
              </w:rPr>
            </w:pPr>
            <w:r w:rsidRPr="00937B72">
              <w:rPr>
                <w:sz w:val="26"/>
                <w:szCs w:val="26"/>
              </w:rPr>
              <w:t>Township of Whitehall</w:t>
            </w:r>
          </w:p>
        </w:tc>
        <w:tc>
          <w:tcPr>
            <w:tcW w:w="2500" w:type="pct"/>
          </w:tcPr>
          <w:p w:rsidR="003C4812" w:rsidRPr="00937B72" w:rsidRDefault="003C4812" w:rsidP="00167F7B">
            <w:pPr>
              <w:jc w:val="right"/>
              <w:rPr>
                <w:sz w:val="26"/>
                <w:szCs w:val="26"/>
              </w:rPr>
            </w:pPr>
            <w:r w:rsidRPr="00937B72">
              <w:rPr>
                <w:sz w:val="26"/>
                <w:szCs w:val="26"/>
              </w:rPr>
              <w:t>C-2010-2179394</w:t>
            </w:r>
          </w:p>
        </w:tc>
      </w:tr>
      <w:tr w:rsidR="003C4812" w:rsidTr="00167F7B">
        <w:tblPrEx>
          <w:tblLook w:val="04A0"/>
        </w:tblPrEx>
        <w:tc>
          <w:tcPr>
            <w:tcW w:w="2500" w:type="pct"/>
          </w:tcPr>
          <w:p w:rsidR="009E553C" w:rsidRDefault="009E553C" w:rsidP="00167F7B">
            <w:pPr>
              <w:rPr>
                <w:sz w:val="26"/>
                <w:szCs w:val="26"/>
              </w:rPr>
            </w:pPr>
          </w:p>
          <w:p w:rsidR="003C4812" w:rsidRPr="00937B72" w:rsidRDefault="003C4812" w:rsidP="00167F7B">
            <w:pPr>
              <w:rPr>
                <w:sz w:val="26"/>
                <w:szCs w:val="26"/>
              </w:rPr>
            </w:pPr>
            <w:r w:rsidRPr="00937B72">
              <w:rPr>
                <w:sz w:val="26"/>
                <w:szCs w:val="26"/>
              </w:rPr>
              <w:tab/>
            </w:r>
            <w:r w:rsidRPr="00937B72">
              <w:rPr>
                <w:sz w:val="26"/>
                <w:szCs w:val="26"/>
              </w:rPr>
              <w:tab/>
            </w:r>
            <w:r>
              <w:rPr>
                <w:sz w:val="26"/>
                <w:szCs w:val="26"/>
              </w:rPr>
              <w:t>v.</w:t>
            </w:r>
          </w:p>
        </w:tc>
        <w:tc>
          <w:tcPr>
            <w:tcW w:w="2500" w:type="pct"/>
          </w:tcPr>
          <w:p w:rsidR="003C4812" w:rsidRPr="00937B72" w:rsidRDefault="003C4812" w:rsidP="00167F7B">
            <w:pPr>
              <w:jc w:val="right"/>
              <w:rPr>
                <w:sz w:val="26"/>
                <w:szCs w:val="26"/>
              </w:rPr>
            </w:pPr>
          </w:p>
        </w:tc>
      </w:tr>
      <w:tr w:rsidR="003C4812" w:rsidTr="00167F7B">
        <w:tblPrEx>
          <w:tblLook w:val="04A0"/>
        </w:tblPrEx>
        <w:tc>
          <w:tcPr>
            <w:tcW w:w="2500" w:type="pct"/>
          </w:tcPr>
          <w:p w:rsidR="009E553C" w:rsidRDefault="009E553C" w:rsidP="00167F7B">
            <w:pPr>
              <w:rPr>
                <w:sz w:val="26"/>
                <w:szCs w:val="26"/>
              </w:rPr>
            </w:pPr>
          </w:p>
          <w:p w:rsidR="003C4812" w:rsidRPr="00937B72" w:rsidRDefault="003C4812" w:rsidP="00167F7B">
            <w:pPr>
              <w:rPr>
                <w:sz w:val="26"/>
                <w:szCs w:val="26"/>
              </w:rPr>
            </w:pPr>
            <w:r w:rsidRPr="00937B72">
              <w:rPr>
                <w:sz w:val="26"/>
                <w:szCs w:val="26"/>
              </w:rPr>
              <w:t>PPL Electric Utilities Corporation</w:t>
            </w:r>
          </w:p>
        </w:tc>
        <w:tc>
          <w:tcPr>
            <w:tcW w:w="2500" w:type="pct"/>
          </w:tcPr>
          <w:p w:rsidR="003C4812" w:rsidRPr="00937B72" w:rsidRDefault="003C4812" w:rsidP="00167F7B">
            <w:pPr>
              <w:jc w:val="right"/>
              <w:rPr>
                <w:sz w:val="26"/>
                <w:szCs w:val="26"/>
              </w:rPr>
            </w:pPr>
          </w:p>
        </w:tc>
      </w:tr>
    </w:tbl>
    <w:p w:rsidR="003C4812" w:rsidRDefault="003C4812" w:rsidP="003C4812">
      <w:pPr>
        <w:rPr>
          <w:sz w:val="26"/>
        </w:rPr>
      </w:pPr>
    </w:p>
    <w:p w:rsidR="003C4812" w:rsidRPr="00863342" w:rsidRDefault="003C4812" w:rsidP="003C4812">
      <w:pPr>
        <w:rPr>
          <w:sz w:val="26"/>
        </w:rPr>
      </w:pPr>
      <w:r>
        <w:rPr>
          <w:sz w:val="26"/>
        </w:rPr>
        <w:br w:type="page"/>
      </w:r>
    </w:p>
    <w:p w:rsidR="003C4812" w:rsidRDefault="003C4812" w:rsidP="00AC5318">
      <w:pPr>
        <w:spacing w:line="360" w:lineRule="auto"/>
        <w:jc w:val="center"/>
        <w:rPr>
          <w:b/>
          <w:sz w:val="26"/>
        </w:rPr>
      </w:pPr>
      <w:r>
        <w:rPr>
          <w:b/>
          <w:sz w:val="26"/>
        </w:rPr>
        <w:lastRenderedPageBreak/>
        <w:t>OPINION AND ORDER</w:t>
      </w:r>
    </w:p>
    <w:p w:rsidR="003C4812" w:rsidRDefault="003C4812" w:rsidP="00AC5318">
      <w:pPr>
        <w:spacing w:line="360" w:lineRule="auto"/>
        <w:rPr>
          <w:b/>
          <w:sz w:val="26"/>
        </w:rPr>
      </w:pPr>
    </w:p>
    <w:p w:rsidR="003C4812" w:rsidRDefault="003C4812" w:rsidP="00FD555A">
      <w:pPr>
        <w:spacing w:line="360" w:lineRule="auto"/>
        <w:rPr>
          <w:b/>
          <w:sz w:val="26"/>
        </w:rPr>
      </w:pPr>
      <w:r>
        <w:rPr>
          <w:b/>
          <w:sz w:val="26"/>
        </w:rPr>
        <w:t>BY THE COMMISSION:</w:t>
      </w:r>
    </w:p>
    <w:p w:rsidR="005C729A" w:rsidRDefault="005C729A" w:rsidP="005C729A">
      <w:pPr>
        <w:widowControl/>
        <w:tabs>
          <w:tab w:val="left" w:pos="-720"/>
        </w:tabs>
        <w:suppressAutoHyphens/>
        <w:spacing w:line="360" w:lineRule="auto"/>
        <w:rPr>
          <w:b/>
          <w:sz w:val="26"/>
        </w:rPr>
      </w:pPr>
    </w:p>
    <w:p w:rsidR="005C729A" w:rsidRDefault="003C4812" w:rsidP="005C729A">
      <w:pPr>
        <w:widowControl/>
        <w:tabs>
          <w:tab w:val="left" w:pos="-720"/>
        </w:tabs>
        <w:suppressAutoHyphens/>
        <w:spacing w:line="360" w:lineRule="auto"/>
        <w:ind w:firstLine="1440"/>
        <w:rPr>
          <w:b/>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for Reconsideration (Petition), filed by</w:t>
      </w:r>
      <w:r>
        <w:rPr>
          <w:sz w:val="26"/>
        </w:rPr>
        <w:t xml:space="preserve"> PP&amp;L Industrial Customer Alliance (PPLICA)</w:t>
      </w:r>
      <w:r w:rsidRPr="00027664">
        <w:rPr>
          <w:sz w:val="26"/>
          <w:szCs w:val="26"/>
        </w:rPr>
        <w:t>,</w:t>
      </w:r>
      <w:r w:rsidRPr="00027664">
        <w:rPr>
          <w:sz w:val="26"/>
        </w:rPr>
        <w:t xml:space="preserve"> on</w:t>
      </w:r>
      <w:r>
        <w:rPr>
          <w:sz w:val="26"/>
        </w:rPr>
        <w:t xml:space="preserve"> January 5, 2011</w:t>
      </w:r>
      <w:r w:rsidR="00F8687B">
        <w:rPr>
          <w:sz w:val="26"/>
        </w:rPr>
        <w:t>,</w:t>
      </w:r>
      <w:r>
        <w:rPr>
          <w:sz w:val="26"/>
        </w:rPr>
        <w:t xml:space="preserve"> seeking reconsideration or, in the alternative, rehearing or reargument</w:t>
      </w:r>
      <w:r w:rsidR="00F8687B">
        <w:rPr>
          <w:sz w:val="26"/>
        </w:rPr>
        <w:t>,</w:t>
      </w:r>
      <w:r>
        <w:rPr>
          <w:sz w:val="26"/>
        </w:rPr>
        <w:t xml:space="preserve"> of the </w:t>
      </w:r>
      <w:r w:rsidRPr="00027664">
        <w:rPr>
          <w:sz w:val="26"/>
        </w:rPr>
        <w:t xml:space="preserve">Opinion and Order entered </w:t>
      </w:r>
      <w:r>
        <w:rPr>
          <w:sz w:val="26"/>
        </w:rPr>
        <w:t>December 21, 2010</w:t>
      </w:r>
      <w:r w:rsidR="005F2820">
        <w:rPr>
          <w:sz w:val="26"/>
        </w:rPr>
        <w:t xml:space="preserve"> (</w:t>
      </w:r>
      <w:r w:rsidR="005F2820">
        <w:rPr>
          <w:i/>
          <w:sz w:val="26"/>
        </w:rPr>
        <w:t>December 21 Order)</w:t>
      </w:r>
      <w:r>
        <w:rPr>
          <w:sz w:val="26"/>
        </w:rPr>
        <w:t>,</w:t>
      </w:r>
      <w:r w:rsidRPr="00027664">
        <w:rPr>
          <w:sz w:val="26"/>
        </w:rPr>
        <w:t xml:space="preserve"> relative to the above-captioned proceeding.</w:t>
      </w:r>
    </w:p>
    <w:p w:rsidR="003C4812" w:rsidRDefault="003C4812" w:rsidP="00FD555A">
      <w:pPr>
        <w:spacing w:line="360" w:lineRule="auto"/>
        <w:ind w:firstLine="1440"/>
        <w:rPr>
          <w:sz w:val="26"/>
          <w:szCs w:val="26"/>
        </w:rPr>
      </w:pPr>
    </w:p>
    <w:p w:rsidR="005C729A" w:rsidRDefault="003C4812">
      <w:pPr>
        <w:spacing w:line="360" w:lineRule="auto"/>
        <w:jc w:val="center"/>
        <w:rPr>
          <w:b/>
          <w:sz w:val="26"/>
          <w:szCs w:val="26"/>
        </w:rPr>
      </w:pPr>
      <w:r>
        <w:rPr>
          <w:b/>
          <w:sz w:val="26"/>
          <w:szCs w:val="26"/>
        </w:rPr>
        <w:t>Procedural History</w:t>
      </w:r>
    </w:p>
    <w:p w:rsidR="005C729A" w:rsidRDefault="005C729A" w:rsidP="005C729A">
      <w:pPr>
        <w:spacing w:line="360" w:lineRule="auto"/>
        <w:rPr>
          <w:sz w:val="26"/>
          <w:szCs w:val="26"/>
        </w:rPr>
      </w:pPr>
    </w:p>
    <w:p w:rsidR="005C729A" w:rsidRDefault="003C4812" w:rsidP="005C729A">
      <w:pPr>
        <w:spacing w:line="360" w:lineRule="auto"/>
        <w:ind w:firstLine="720"/>
        <w:rPr>
          <w:sz w:val="26"/>
          <w:szCs w:val="26"/>
        </w:rPr>
      </w:pPr>
      <w:r>
        <w:rPr>
          <w:sz w:val="26"/>
          <w:szCs w:val="26"/>
        </w:rPr>
        <w:tab/>
        <w:t>O</w:t>
      </w:r>
      <w:r w:rsidRPr="00D17A61">
        <w:rPr>
          <w:sz w:val="26"/>
          <w:szCs w:val="26"/>
        </w:rPr>
        <w:t xml:space="preserve">n March 31, 2010, PPL </w:t>
      </w:r>
      <w:r w:rsidR="00D2268A">
        <w:rPr>
          <w:sz w:val="26"/>
          <w:szCs w:val="26"/>
        </w:rPr>
        <w:t xml:space="preserve">Electric Utilities, Inc. (PPL) </w:t>
      </w:r>
      <w:r w:rsidRPr="00D17A61">
        <w:rPr>
          <w:sz w:val="26"/>
          <w:szCs w:val="26"/>
        </w:rPr>
        <w:t>filed Supplement No. 83 to Tariff</w:t>
      </w:r>
      <w:r>
        <w:rPr>
          <w:sz w:val="26"/>
          <w:szCs w:val="26"/>
        </w:rPr>
        <w:t>—</w:t>
      </w:r>
      <w:r w:rsidRPr="00D17A61">
        <w:rPr>
          <w:sz w:val="26"/>
          <w:szCs w:val="26"/>
        </w:rPr>
        <w:t xml:space="preserve"> Electric Pa. P.U.C. No. 201 (Supplement No. </w:t>
      </w:r>
      <w:r>
        <w:rPr>
          <w:sz w:val="26"/>
          <w:szCs w:val="26"/>
        </w:rPr>
        <w:t>83</w:t>
      </w:r>
      <w:r w:rsidRPr="00D17A61">
        <w:rPr>
          <w:sz w:val="26"/>
          <w:szCs w:val="26"/>
        </w:rPr>
        <w:t>)</w:t>
      </w:r>
      <w:r>
        <w:rPr>
          <w:sz w:val="26"/>
          <w:szCs w:val="26"/>
        </w:rPr>
        <w:t>,</w:t>
      </w:r>
      <w:r w:rsidRPr="00D17A61">
        <w:rPr>
          <w:sz w:val="26"/>
          <w:szCs w:val="26"/>
        </w:rPr>
        <w:t xml:space="preserve"> to become effective June 1, 2010, </w:t>
      </w:r>
      <w:r>
        <w:rPr>
          <w:sz w:val="26"/>
          <w:szCs w:val="26"/>
        </w:rPr>
        <w:t xml:space="preserve">subsequently suspended until January 1, 2011, </w:t>
      </w:r>
      <w:r w:rsidRPr="00D17A61">
        <w:rPr>
          <w:sz w:val="26"/>
          <w:szCs w:val="26"/>
        </w:rPr>
        <w:t>along with its direct testimony, exhibits and supporting information seeking Commission approval</w:t>
      </w:r>
      <w:r>
        <w:rPr>
          <w:sz w:val="26"/>
          <w:szCs w:val="26"/>
        </w:rPr>
        <w:t xml:space="preserve"> of</w:t>
      </w:r>
      <w:r w:rsidRPr="00D17A61">
        <w:rPr>
          <w:sz w:val="26"/>
          <w:szCs w:val="26"/>
        </w:rPr>
        <w:t xml:space="preserve"> changes in rates, rules, and regulations </w:t>
      </w:r>
      <w:r>
        <w:rPr>
          <w:sz w:val="26"/>
          <w:szCs w:val="26"/>
        </w:rPr>
        <w:t xml:space="preserve">proposed </w:t>
      </w:r>
      <w:r w:rsidRPr="00D17A61">
        <w:rPr>
          <w:sz w:val="26"/>
          <w:szCs w:val="26"/>
        </w:rPr>
        <w:t xml:space="preserve">to produce </w:t>
      </w:r>
      <w:r>
        <w:rPr>
          <w:sz w:val="26"/>
          <w:szCs w:val="26"/>
        </w:rPr>
        <w:t xml:space="preserve">an increase of </w:t>
      </w:r>
      <w:r w:rsidRPr="00D17A61">
        <w:rPr>
          <w:sz w:val="26"/>
          <w:szCs w:val="26"/>
        </w:rPr>
        <w:t>approximately $114.7 million in annual distribution service</w:t>
      </w:r>
      <w:r w:rsidRPr="00D17A61">
        <w:rPr>
          <w:i/>
          <w:sz w:val="26"/>
          <w:szCs w:val="26"/>
        </w:rPr>
        <w:t xml:space="preserve"> </w:t>
      </w:r>
      <w:r w:rsidRPr="00D17A61">
        <w:rPr>
          <w:sz w:val="26"/>
          <w:szCs w:val="26"/>
        </w:rPr>
        <w:t>revenues.  As proposed, the rate change</w:t>
      </w:r>
      <w:r>
        <w:rPr>
          <w:sz w:val="26"/>
          <w:szCs w:val="26"/>
        </w:rPr>
        <w:t>s</w:t>
      </w:r>
      <w:r w:rsidRPr="00D17A61">
        <w:rPr>
          <w:sz w:val="26"/>
          <w:szCs w:val="26"/>
        </w:rPr>
        <w:t xml:space="preserve"> represented an average increase in distribution rates of approximately 16.5%, which equates to an average increase in total </w:t>
      </w:r>
      <w:r>
        <w:rPr>
          <w:sz w:val="26"/>
          <w:szCs w:val="26"/>
        </w:rPr>
        <w:t xml:space="preserve">billed </w:t>
      </w:r>
      <w:r w:rsidRPr="00D17A61">
        <w:rPr>
          <w:sz w:val="26"/>
          <w:szCs w:val="26"/>
        </w:rPr>
        <w:t>rates</w:t>
      </w:r>
      <w:r>
        <w:rPr>
          <w:sz w:val="26"/>
          <w:szCs w:val="26"/>
        </w:rPr>
        <w:t xml:space="preserve"> </w:t>
      </w:r>
      <w:r w:rsidRPr="00D17A61">
        <w:rPr>
          <w:sz w:val="26"/>
          <w:szCs w:val="26"/>
        </w:rPr>
        <w:t>(distribution, transmission, generation, and transition charges) of approximately 2.4%.  PPL</w:t>
      </w:r>
      <w:r w:rsidR="00D2268A">
        <w:rPr>
          <w:sz w:val="26"/>
          <w:szCs w:val="26"/>
        </w:rPr>
        <w:t>’s</w:t>
      </w:r>
      <w:r w:rsidRPr="00D17A61">
        <w:rPr>
          <w:sz w:val="26"/>
          <w:szCs w:val="26"/>
        </w:rPr>
        <w:t xml:space="preserve"> proposed general rate increase was based on a future test year ending December 31, 2010.</w:t>
      </w:r>
    </w:p>
    <w:p w:rsidR="005C729A" w:rsidRDefault="005C729A" w:rsidP="005C729A">
      <w:pPr>
        <w:spacing w:line="360" w:lineRule="auto"/>
        <w:ind w:firstLine="720"/>
        <w:rPr>
          <w:sz w:val="26"/>
          <w:szCs w:val="26"/>
        </w:rPr>
      </w:pPr>
    </w:p>
    <w:p w:rsidR="005C729A" w:rsidRDefault="003C4812" w:rsidP="005C729A">
      <w:pPr>
        <w:spacing w:line="360" w:lineRule="auto"/>
        <w:ind w:firstLine="1440"/>
        <w:rPr>
          <w:sz w:val="26"/>
          <w:szCs w:val="26"/>
        </w:rPr>
      </w:pPr>
      <w:r>
        <w:rPr>
          <w:sz w:val="26"/>
          <w:szCs w:val="26"/>
        </w:rPr>
        <w:t>The base rate filing was suspended for investigation and assigned to the Office of Administrative Law Judge for hearings and the issuance of a Recommended Decision (R.D.).  Administrative Law Judge (ALJ) Susan D. Colwell presided over the matter and o</w:t>
      </w:r>
      <w:r w:rsidRPr="00D17A61">
        <w:rPr>
          <w:sz w:val="26"/>
          <w:szCs w:val="26"/>
        </w:rPr>
        <w:t xml:space="preserve">n August 26, 2010, the following </w:t>
      </w:r>
      <w:r>
        <w:rPr>
          <w:sz w:val="26"/>
          <w:szCs w:val="26"/>
        </w:rPr>
        <w:t>P</w:t>
      </w:r>
      <w:r w:rsidRPr="00D17A61">
        <w:rPr>
          <w:sz w:val="26"/>
          <w:szCs w:val="26"/>
        </w:rPr>
        <w:t xml:space="preserve">arties filed a Joint Petition for Partial Settlement </w:t>
      </w:r>
      <w:r>
        <w:rPr>
          <w:sz w:val="26"/>
          <w:szCs w:val="26"/>
        </w:rPr>
        <w:t xml:space="preserve">(Joint Petition or Partial Settlement) </w:t>
      </w:r>
      <w:r w:rsidRPr="00D17A61">
        <w:rPr>
          <w:sz w:val="26"/>
          <w:szCs w:val="26"/>
        </w:rPr>
        <w:t xml:space="preserve">and various statements in support:  PPL, </w:t>
      </w:r>
      <w:r>
        <w:rPr>
          <w:sz w:val="26"/>
          <w:szCs w:val="26"/>
        </w:rPr>
        <w:t xml:space="preserve">the </w:t>
      </w:r>
      <w:r w:rsidR="00F8687B">
        <w:rPr>
          <w:sz w:val="26"/>
          <w:szCs w:val="26"/>
        </w:rPr>
        <w:t>Office of Consumer Advocate (</w:t>
      </w:r>
      <w:r w:rsidRPr="00D17A61">
        <w:rPr>
          <w:sz w:val="26"/>
          <w:szCs w:val="26"/>
        </w:rPr>
        <w:t>OCA</w:t>
      </w:r>
      <w:r w:rsidR="00F8687B">
        <w:rPr>
          <w:sz w:val="26"/>
          <w:szCs w:val="26"/>
        </w:rPr>
        <w:t>)</w:t>
      </w:r>
      <w:r w:rsidRPr="00D17A61">
        <w:rPr>
          <w:sz w:val="26"/>
          <w:szCs w:val="26"/>
        </w:rPr>
        <w:t xml:space="preserve">, </w:t>
      </w:r>
      <w:r>
        <w:rPr>
          <w:sz w:val="26"/>
          <w:szCs w:val="26"/>
        </w:rPr>
        <w:t xml:space="preserve">the </w:t>
      </w:r>
      <w:r w:rsidR="00F8687B">
        <w:rPr>
          <w:sz w:val="26"/>
          <w:szCs w:val="26"/>
        </w:rPr>
        <w:t>Office of Trial Staff (</w:t>
      </w:r>
      <w:r>
        <w:rPr>
          <w:sz w:val="26"/>
          <w:szCs w:val="26"/>
        </w:rPr>
        <w:t>OTS</w:t>
      </w:r>
      <w:r w:rsidR="00F8687B">
        <w:rPr>
          <w:sz w:val="26"/>
          <w:szCs w:val="26"/>
        </w:rPr>
        <w:t>)</w:t>
      </w:r>
      <w:r>
        <w:rPr>
          <w:sz w:val="26"/>
          <w:szCs w:val="26"/>
        </w:rPr>
        <w:t xml:space="preserve"> and </w:t>
      </w:r>
      <w:r w:rsidRPr="00D17A61">
        <w:rPr>
          <w:sz w:val="26"/>
          <w:szCs w:val="26"/>
        </w:rPr>
        <w:t xml:space="preserve">Richards </w:t>
      </w:r>
      <w:r w:rsidRPr="00D17A61">
        <w:rPr>
          <w:sz w:val="26"/>
          <w:szCs w:val="26"/>
        </w:rPr>
        <w:lastRenderedPageBreak/>
        <w:t xml:space="preserve">Energy Group, Inc. (collectively, Joint Petitioners).  </w:t>
      </w:r>
      <w:r w:rsidR="002C7290">
        <w:rPr>
          <w:sz w:val="26"/>
          <w:szCs w:val="26"/>
        </w:rPr>
        <w:t>The Commission on Economic Opportunity (</w:t>
      </w:r>
      <w:r w:rsidRPr="00D17A61">
        <w:rPr>
          <w:sz w:val="26"/>
          <w:szCs w:val="26"/>
        </w:rPr>
        <w:t>CEO</w:t>
      </w:r>
      <w:r w:rsidR="002C7290">
        <w:rPr>
          <w:sz w:val="26"/>
          <w:szCs w:val="26"/>
        </w:rPr>
        <w:t>)</w:t>
      </w:r>
      <w:r w:rsidRPr="00D17A61">
        <w:rPr>
          <w:sz w:val="26"/>
          <w:szCs w:val="26"/>
        </w:rPr>
        <w:t>,</w:t>
      </w:r>
      <w:r>
        <w:rPr>
          <w:sz w:val="26"/>
          <w:szCs w:val="26"/>
        </w:rPr>
        <w:t xml:space="preserve"> </w:t>
      </w:r>
      <w:r w:rsidRPr="00D17A61">
        <w:rPr>
          <w:sz w:val="26"/>
          <w:szCs w:val="26"/>
        </w:rPr>
        <w:t xml:space="preserve">Dominion Retail, Inc., </w:t>
      </w:r>
      <w:r w:rsidR="00183F9D">
        <w:rPr>
          <w:sz w:val="26"/>
          <w:szCs w:val="26"/>
        </w:rPr>
        <w:t>Eric J.</w:t>
      </w:r>
      <w:r w:rsidRPr="00D17A61">
        <w:rPr>
          <w:sz w:val="26"/>
          <w:szCs w:val="26"/>
        </w:rPr>
        <w:t xml:space="preserve"> Epstein, </w:t>
      </w:r>
      <w:r>
        <w:rPr>
          <w:sz w:val="26"/>
          <w:szCs w:val="26"/>
        </w:rPr>
        <w:t xml:space="preserve">the </w:t>
      </w:r>
      <w:r w:rsidR="001154C2">
        <w:rPr>
          <w:sz w:val="26"/>
          <w:szCs w:val="26"/>
        </w:rPr>
        <w:t>Office of Small Business Advocate (</w:t>
      </w:r>
      <w:r w:rsidRPr="00D17A61">
        <w:rPr>
          <w:sz w:val="26"/>
          <w:szCs w:val="26"/>
        </w:rPr>
        <w:t>OSBA</w:t>
      </w:r>
      <w:r w:rsidR="001154C2">
        <w:rPr>
          <w:sz w:val="26"/>
          <w:szCs w:val="26"/>
        </w:rPr>
        <w:t>)</w:t>
      </w:r>
      <w:r w:rsidRPr="00D17A61">
        <w:rPr>
          <w:sz w:val="26"/>
          <w:szCs w:val="26"/>
        </w:rPr>
        <w:t>,</w:t>
      </w:r>
      <w:r>
        <w:rPr>
          <w:sz w:val="26"/>
          <w:szCs w:val="26"/>
        </w:rPr>
        <w:t xml:space="preserve"> </w:t>
      </w:r>
      <w:r w:rsidR="002C7290">
        <w:rPr>
          <w:sz w:val="26"/>
          <w:szCs w:val="26"/>
        </w:rPr>
        <w:t>Citizens for Pennsylvania’s Future (</w:t>
      </w:r>
      <w:r w:rsidRPr="00D17A61">
        <w:rPr>
          <w:sz w:val="26"/>
          <w:szCs w:val="26"/>
        </w:rPr>
        <w:t>PennFuture</w:t>
      </w:r>
      <w:r w:rsidR="002C7290">
        <w:rPr>
          <w:sz w:val="26"/>
          <w:szCs w:val="26"/>
        </w:rPr>
        <w:t>)</w:t>
      </w:r>
      <w:r>
        <w:rPr>
          <w:sz w:val="26"/>
          <w:szCs w:val="26"/>
        </w:rPr>
        <w:t>,</w:t>
      </w:r>
      <w:r w:rsidRPr="00D17A61">
        <w:rPr>
          <w:sz w:val="26"/>
          <w:szCs w:val="26"/>
        </w:rPr>
        <w:t xml:space="preserve"> PPLICA, </w:t>
      </w:r>
      <w:r w:rsidR="002C7290">
        <w:rPr>
          <w:sz w:val="26"/>
          <w:szCs w:val="26"/>
        </w:rPr>
        <w:t>the Retail Energy Supply Association (</w:t>
      </w:r>
      <w:r w:rsidRPr="00D17A61">
        <w:rPr>
          <w:sz w:val="26"/>
          <w:szCs w:val="26"/>
        </w:rPr>
        <w:t>RESA</w:t>
      </w:r>
      <w:r w:rsidR="002C7290">
        <w:rPr>
          <w:sz w:val="26"/>
          <w:szCs w:val="26"/>
        </w:rPr>
        <w:t>)</w:t>
      </w:r>
      <w:r>
        <w:rPr>
          <w:sz w:val="26"/>
          <w:szCs w:val="26"/>
        </w:rPr>
        <w:t xml:space="preserve"> and</w:t>
      </w:r>
      <w:r w:rsidRPr="00D17A61">
        <w:rPr>
          <w:sz w:val="26"/>
          <w:szCs w:val="26"/>
        </w:rPr>
        <w:t xml:space="preserve"> </w:t>
      </w:r>
      <w:r w:rsidR="002C7290">
        <w:rPr>
          <w:sz w:val="26"/>
          <w:szCs w:val="26"/>
        </w:rPr>
        <w:t>the Sustainable Energy Fund of Central Eastern Pennsylvania (</w:t>
      </w:r>
      <w:r>
        <w:rPr>
          <w:sz w:val="26"/>
          <w:szCs w:val="26"/>
        </w:rPr>
        <w:t>SEF</w:t>
      </w:r>
      <w:r w:rsidR="002C7290">
        <w:rPr>
          <w:sz w:val="26"/>
          <w:szCs w:val="26"/>
        </w:rPr>
        <w:t>)</w:t>
      </w:r>
      <w:r w:rsidRPr="00D17A61">
        <w:rPr>
          <w:sz w:val="26"/>
          <w:szCs w:val="26"/>
        </w:rPr>
        <w:t xml:space="preserve"> did not oppose the Settlement.</w:t>
      </w:r>
    </w:p>
    <w:p w:rsidR="005C729A" w:rsidRDefault="005C729A" w:rsidP="005C729A">
      <w:pPr>
        <w:spacing w:line="360" w:lineRule="auto"/>
        <w:ind w:firstLine="1440"/>
        <w:rPr>
          <w:sz w:val="26"/>
          <w:szCs w:val="26"/>
        </w:rPr>
      </w:pPr>
    </w:p>
    <w:p w:rsidR="005C729A" w:rsidRDefault="003C4812" w:rsidP="00F2209C">
      <w:pPr>
        <w:spacing w:line="360" w:lineRule="auto"/>
        <w:ind w:firstLine="720"/>
        <w:rPr>
          <w:sz w:val="26"/>
          <w:szCs w:val="26"/>
        </w:rPr>
      </w:pPr>
      <w:r>
        <w:rPr>
          <w:sz w:val="26"/>
          <w:szCs w:val="26"/>
        </w:rPr>
        <w:tab/>
        <w:t>O</w:t>
      </w:r>
      <w:r w:rsidRPr="00D17A61">
        <w:rPr>
          <w:sz w:val="26"/>
          <w:szCs w:val="26"/>
        </w:rPr>
        <w:t xml:space="preserve">n October 15, 2010, ALJ </w:t>
      </w:r>
      <w:r>
        <w:rPr>
          <w:sz w:val="26"/>
          <w:szCs w:val="26"/>
        </w:rPr>
        <w:t xml:space="preserve">Colwell’s </w:t>
      </w:r>
      <w:r w:rsidRPr="00D17A61">
        <w:rPr>
          <w:sz w:val="26"/>
          <w:szCs w:val="26"/>
        </w:rPr>
        <w:t xml:space="preserve">R.D. </w:t>
      </w:r>
      <w:r>
        <w:rPr>
          <w:sz w:val="26"/>
          <w:szCs w:val="26"/>
        </w:rPr>
        <w:t xml:space="preserve">was issued, wherein she made forty-eight </w:t>
      </w:r>
      <w:r w:rsidRPr="00D17A61">
        <w:rPr>
          <w:sz w:val="26"/>
          <w:szCs w:val="26"/>
        </w:rPr>
        <w:t xml:space="preserve">Findings of Fact and </w:t>
      </w:r>
      <w:r>
        <w:rPr>
          <w:sz w:val="26"/>
          <w:szCs w:val="26"/>
        </w:rPr>
        <w:t xml:space="preserve">reached twenty-two </w:t>
      </w:r>
      <w:r w:rsidRPr="00D17A61">
        <w:rPr>
          <w:sz w:val="26"/>
          <w:szCs w:val="26"/>
        </w:rPr>
        <w:t>Conclusions</w:t>
      </w:r>
      <w:r>
        <w:rPr>
          <w:sz w:val="26"/>
          <w:szCs w:val="26"/>
        </w:rPr>
        <w:t xml:space="preserve"> of Law.</w:t>
      </w:r>
      <w:r w:rsidRPr="00D17A61" w:rsidDel="00AE7F6E">
        <w:rPr>
          <w:sz w:val="26"/>
          <w:szCs w:val="26"/>
        </w:rPr>
        <w:t xml:space="preserve"> </w:t>
      </w:r>
      <w:r>
        <w:rPr>
          <w:sz w:val="26"/>
          <w:szCs w:val="26"/>
        </w:rPr>
        <w:t xml:space="preserve"> The ALJ, </w:t>
      </w:r>
      <w:r>
        <w:rPr>
          <w:i/>
          <w:sz w:val="26"/>
          <w:szCs w:val="26"/>
        </w:rPr>
        <w:t>inter alia</w:t>
      </w:r>
      <w:r>
        <w:rPr>
          <w:sz w:val="26"/>
          <w:szCs w:val="26"/>
        </w:rPr>
        <w:t xml:space="preserve">, </w:t>
      </w:r>
      <w:r w:rsidRPr="00D17A61">
        <w:rPr>
          <w:sz w:val="26"/>
          <w:szCs w:val="26"/>
        </w:rPr>
        <w:t>recommend</w:t>
      </w:r>
      <w:r>
        <w:rPr>
          <w:sz w:val="26"/>
          <w:szCs w:val="26"/>
        </w:rPr>
        <w:t>ed:</w:t>
      </w:r>
      <w:r w:rsidRPr="00D17A61">
        <w:rPr>
          <w:sz w:val="26"/>
          <w:szCs w:val="26"/>
        </w:rPr>
        <w:t xml:space="preserve"> </w:t>
      </w:r>
      <w:r>
        <w:rPr>
          <w:sz w:val="26"/>
          <w:szCs w:val="26"/>
        </w:rPr>
        <w:t xml:space="preserve">(1) </w:t>
      </w:r>
      <w:r w:rsidRPr="00D17A61">
        <w:rPr>
          <w:sz w:val="26"/>
          <w:szCs w:val="26"/>
        </w:rPr>
        <w:t xml:space="preserve">that the </w:t>
      </w:r>
      <w:r>
        <w:rPr>
          <w:sz w:val="26"/>
          <w:szCs w:val="26"/>
        </w:rPr>
        <w:t xml:space="preserve">Partial </w:t>
      </w:r>
      <w:r w:rsidRPr="00D17A61">
        <w:rPr>
          <w:sz w:val="26"/>
          <w:szCs w:val="26"/>
        </w:rPr>
        <w:t>Settlement</w:t>
      </w:r>
      <w:r>
        <w:rPr>
          <w:sz w:val="26"/>
          <w:szCs w:val="26"/>
        </w:rPr>
        <w:t xml:space="preserve">, which was </w:t>
      </w:r>
      <w:r w:rsidRPr="003375ED">
        <w:rPr>
          <w:sz w:val="26"/>
          <w:szCs w:val="26"/>
        </w:rPr>
        <w:t>designed to produce an annual distribution rate revenue increase of approximately $77.5 million</w:t>
      </w:r>
      <w:r>
        <w:rPr>
          <w:sz w:val="26"/>
          <w:szCs w:val="26"/>
        </w:rPr>
        <w:t xml:space="preserve"> in lieu of the originally requested $114.7 million,</w:t>
      </w:r>
      <w:r w:rsidRPr="003375ED">
        <w:rPr>
          <w:sz w:val="26"/>
          <w:szCs w:val="26"/>
        </w:rPr>
        <w:t xml:space="preserve"> </w:t>
      </w:r>
      <w:r w:rsidRPr="00D17A61">
        <w:rPr>
          <w:sz w:val="26"/>
          <w:szCs w:val="26"/>
        </w:rPr>
        <w:t xml:space="preserve">be approved </w:t>
      </w:r>
      <w:r>
        <w:rPr>
          <w:sz w:val="26"/>
          <w:szCs w:val="26"/>
        </w:rPr>
        <w:t>without modification; (2) that the remainder of the issues as presented by the Parties be addressed by the Commission; (3) </w:t>
      </w:r>
      <w:r w:rsidRPr="00175217">
        <w:rPr>
          <w:sz w:val="26"/>
          <w:szCs w:val="26"/>
        </w:rPr>
        <w:t xml:space="preserve">that the Complaints filed by </w:t>
      </w:r>
      <w:r>
        <w:rPr>
          <w:sz w:val="26"/>
          <w:szCs w:val="26"/>
        </w:rPr>
        <w:t>the OCA,</w:t>
      </w:r>
      <w:r w:rsidRPr="00175217">
        <w:rPr>
          <w:sz w:val="26"/>
          <w:szCs w:val="26"/>
        </w:rPr>
        <w:t xml:space="preserve"> </w:t>
      </w:r>
      <w:r>
        <w:rPr>
          <w:sz w:val="26"/>
          <w:szCs w:val="26"/>
        </w:rPr>
        <w:t xml:space="preserve">the </w:t>
      </w:r>
      <w:r w:rsidRPr="00175217">
        <w:rPr>
          <w:sz w:val="26"/>
          <w:szCs w:val="26"/>
        </w:rPr>
        <w:t xml:space="preserve">OSBA and PPLICA be sustained, in part, and dismissed, in part, consistent with her R.D.; </w:t>
      </w:r>
      <w:r>
        <w:rPr>
          <w:sz w:val="26"/>
          <w:szCs w:val="26"/>
        </w:rPr>
        <w:t xml:space="preserve">and </w:t>
      </w:r>
      <w:r w:rsidRPr="00175217">
        <w:rPr>
          <w:sz w:val="26"/>
          <w:szCs w:val="26"/>
        </w:rPr>
        <w:t>(</w:t>
      </w:r>
      <w:r>
        <w:rPr>
          <w:sz w:val="26"/>
          <w:szCs w:val="26"/>
        </w:rPr>
        <w:t>4</w:t>
      </w:r>
      <w:r w:rsidRPr="00175217">
        <w:rPr>
          <w:sz w:val="26"/>
          <w:szCs w:val="26"/>
        </w:rPr>
        <w:t>) that the Complaints filed by Elaine &amp; Clayton Andrews, Jr.; Ashley A. Buck; Eric J. Epstein; Stephen F. Goldstein; Peter Grieger; William P. Hart; Linda M. Johnson; Gerard Martin; Eugene R. Ruoff; George</w:t>
      </w:r>
      <w:r>
        <w:rPr>
          <w:sz w:val="26"/>
          <w:szCs w:val="26"/>
        </w:rPr>
        <w:t> </w:t>
      </w:r>
      <w:r w:rsidRPr="00175217">
        <w:rPr>
          <w:sz w:val="26"/>
          <w:szCs w:val="26"/>
        </w:rPr>
        <w:t>R.</w:t>
      </w:r>
      <w:r>
        <w:rPr>
          <w:sz w:val="26"/>
          <w:szCs w:val="26"/>
        </w:rPr>
        <w:t> </w:t>
      </w:r>
      <w:r w:rsidRPr="00175217">
        <w:rPr>
          <w:sz w:val="26"/>
          <w:szCs w:val="26"/>
        </w:rPr>
        <w:t>Snyder; Shannon Stiffler; and Whitehall Township, and any other complaint</w:t>
      </w:r>
      <w:r>
        <w:rPr>
          <w:sz w:val="26"/>
          <w:szCs w:val="26"/>
        </w:rPr>
        <w:t>s</w:t>
      </w:r>
      <w:r w:rsidRPr="00175217">
        <w:rPr>
          <w:sz w:val="26"/>
          <w:szCs w:val="26"/>
        </w:rPr>
        <w:t xml:space="preserve"> not specifically noted but filed prior to issuance of th</w:t>
      </w:r>
      <w:r w:rsidR="00493B4B">
        <w:rPr>
          <w:sz w:val="26"/>
          <w:szCs w:val="26"/>
        </w:rPr>
        <w:t>e</w:t>
      </w:r>
      <w:r w:rsidRPr="00175217">
        <w:rPr>
          <w:sz w:val="26"/>
          <w:szCs w:val="26"/>
        </w:rPr>
        <w:t xml:space="preserve"> </w:t>
      </w:r>
      <w:r w:rsidR="0050541C">
        <w:rPr>
          <w:sz w:val="26"/>
          <w:szCs w:val="26"/>
        </w:rPr>
        <w:t>R</w:t>
      </w:r>
      <w:r w:rsidR="00AA5FEA">
        <w:rPr>
          <w:sz w:val="26"/>
          <w:szCs w:val="26"/>
        </w:rPr>
        <w:t>.</w:t>
      </w:r>
      <w:r w:rsidR="0050541C">
        <w:rPr>
          <w:sz w:val="26"/>
          <w:szCs w:val="26"/>
        </w:rPr>
        <w:t>D</w:t>
      </w:r>
      <w:r w:rsidR="00AA5FEA">
        <w:rPr>
          <w:sz w:val="26"/>
          <w:szCs w:val="26"/>
        </w:rPr>
        <w:t>.</w:t>
      </w:r>
      <w:r w:rsidR="00493B4B">
        <w:rPr>
          <w:sz w:val="26"/>
          <w:szCs w:val="26"/>
        </w:rPr>
        <w:t>,</w:t>
      </w:r>
      <w:r w:rsidRPr="00175217">
        <w:rPr>
          <w:sz w:val="26"/>
          <w:szCs w:val="26"/>
        </w:rPr>
        <w:t xml:space="preserve"> be dismissed.</w:t>
      </w:r>
    </w:p>
    <w:p w:rsidR="005C729A" w:rsidRPr="00F2209C" w:rsidRDefault="005C729A" w:rsidP="005C729A">
      <w:pPr>
        <w:spacing w:line="360" w:lineRule="auto"/>
        <w:rPr>
          <w:sz w:val="24"/>
          <w:szCs w:val="24"/>
        </w:rPr>
      </w:pPr>
    </w:p>
    <w:p w:rsidR="005C729A" w:rsidRDefault="003C4812" w:rsidP="005C729A">
      <w:pPr>
        <w:spacing w:line="360" w:lineRule="auto"/>
        <w:ind w:firstLine="720"/>
        <w:rPr>
          <w:sz w:val="26"/>
          <w:szCs w:val="26"/>
        </w:rPr>
      </w:pPr>
      <w:r>
        <w:rPr>
          <w:sz w:val="26"/>
          <w:szCs w:val="26"/>
        </w:rPr>
        <w:tab/>
        <w:t>E</w:t>
      </w:r>
      <w:r w:rsidRPr="00D17A61">
        <w:rPr>
          <w:sz w:val="26"/>
          <w:szCs w:val="26"/>
        </w:rPr>
        <w:t>xceptions were filed on November 4, 2010</w:t>
      </w:r>
      <w:r>
        <w:rPr>
          <w:sz w:val="26"/>
          <w:szCs w:val="26"/>
        </w:rPr>
        <w:t>,</w:t>
      </w:r>
      <w:r w:rsidRPr="00D17A61">
        <w:rPr>
          <w:sz w:val="26"/>
          <w:szCs w:val="26"/>
        </w:rPr>
        <w:t xml:space="preserve"> by CEO</w:t>
      </w:r>
      <w:r>
        <w:rPr>
          <w:sz w:val="26"/>
          <w:szCs w:val="26"/>
        </w:rPr>
        <w:t xml:space="preserve">, the </w:t>
      </w:r>
      <w:r w:rsidRPr="00D17A61">
        <w:rPr>
          <w:sz w:val="26"/>
          <w:szCs w:val="26"/>
        </w:rPr>
        <w:t>OCA, the OSBA, PPLICA, RESA</w:t>
      </w:r>
      <w:r>
        <w:rPr>
          <w:sz w:val="26"/>
          <w:szCs w:val="26"/>
        </w:rPr>
        <w:t>, and SEF</w:t>
      </w:r>
      <w:r w:rsidRPr="00D17A61">
        <w:rPr>
          <w:sz w:val="26"/>
          <w:szCs w:val="26"/>
        </w:rPr>
        <w:t>.  Repl</w:t>
      </w:r>
      <w:r>
        <w:rPr>
          <w:sz w:val="26"/>
          <w:szCs w:val="26"/>
        </w:rPr>
        <w:t>y</w:t>
      </w:r>
      <w:r w:rsidRPr="00D17A61">
        <w:rPr>
          <w:sz w:val="26"/>
          <w:szCs w:val="26"/>
        </w:rPr>
        <w:t xml:space="preserve"> Exceptions were filed on November 15, 2010</w:t>
      </w:r>
      <w:r>
        <w:rPr>
          <w:sz w:val="26"/>
          <w:szCs w:val="26"/>
        </w:rPr>
        <w:t>,</w:t>
      </w:r>
      <w:r w:rsidRPr="00D17A61">
        <w:rPr>
          <w:sz w:val="26"/>
          <w:szCs w:val="26"/>
        </w:rPr>
        <w:t xml:space="preserve"> by </w:t>
      </w:r>
      <w:r>
        <w:rPr>
          <w:sz w:val="26"/>
          <w:szCs w:val="26"/>
        </w:rPr>
        <w:t xml:space="preserve">the </w:t>
      </w:r>
      <w:r w:rsidRPr="00D17A61">
        <w:rPr>
          <w:sz w:val="26"/>
          <w:szCs w:val="26"/>
        </w:rPr>
        <w:t xml:space="preserve">OCA, </w:t>
      </w:r>
      <w:r>
        <w:rPr>
          <w:sz w:val="26"/>
          <w:szCs w:val="26"/>
        </w:rPr>
        <w:t xml:space="preserve">the OSBA, </w:t>
      </w:r>
      <w:r w:rsidRPr="00D17A61">
        <w:rPr>
          <w:sz w:val="26"/>
          <w:szCs w:val="26"/>
        </w:rPr>
        <w:t>PPL</w:t>
      </w:r>
      <w:r>
        <w:rPr>
          <w:sz w:val="26"/>
          <w:szCs w:val="26"/>
        </w:rPr>
        <w:t>,</w:t>
      </w:r>
      <w:r w:rsidRPr="00D17A61">
        <w:rPr>
          <w:sz w:val="26"/>
          <w:szCs w:val="26"/>
        </w:rPr>
        <w:t xml:space="preserve"> </w:t>
      </w:r>
      <w:r>
        <w:rPr>
          <w:sz w:val="26"/>
          <w:szCs w:val="26"/>
        </w:rPr>
        <w:t>PPLICA,</w:t>
      </w:r>
      <w:r w:rsidRPr="00D17A61">
        <w:rPr>
          <w:sz w:val="26"/>
          <w:szCs w:val="26"/>
        </w:rPr>
        <w:t xml:space="preserve"> and the OTS</w:t>
      </w:r>
      <w:r>
        <w:rPr>
          <w:sz w:val="26"/>
          <w:szCs w:val="26"/>
        </w:rPr>
        <w:t>.</w:t>
      </w:r>
    </w:p>
    <w:p w:rsidR="005C729A" w:rsidRDefault="005C729A" w:rsidP="005C729A">
      <w:pPr>
        <w:spacing w:line="360" w:lineRule="auto"/>
        <w:rPr>
          <w:b/>
          <w:sz w:val="26"/>
          <w:szCs w:val="26"/>
        </w:rPr>
      </w:pPr>
    </w:p>
    <w:p w:rsidR="005C729A" w:rsidRDefault="003C4812" w:rsidP="00F2209C">
      <w:pPr>
        <w:spacing w:line="360" w:lineRule="auto"/>
        <w:ind w:firstLine="1440"/>
        <w:rPr>
          <w:sz w:val="26"/>
          <w:szCs w:val="26"/>
        </w:rPr>
      </w:pPr>
      <w:r>
        <w:rPr>
          <w:sz w:val="26"/>
          <w:szCs w:val="26"/>
        </w:rPr>
        <w:t>On December 3, 2010, the Commission conducted a Non-Binding Poll of the Issues presented in the Parties’ Exceptions.  On December 21, 2010, the Commission entered its Opinion and Order adopting the R.D. with certain modifications and disposing of the issues raised in the Parties’ various Exceptions.</w:t>
      </w:r>
    </w:p>
    <w:p w:rsidR="005C729A" w:rsidRDefault="005C729A" w:rsidP="005C729A">
      <w:pPr>
        <w:spacing w:line="360" w:lineRule="auto"/>
        <w:ind w:firstLine="1440"/>
        <w:rPr>
          <w:sz w:val="26"/>
          <w:szCs w:val="26"/>
        </w:rPr>
      </w:pPr>
    </w:p>
    <w:p w:rsidR="00F2209C" w:rsidRDefault="00F2209C">
      <w:pPr>
        <w:widowControl/>
        <w:spacing w:after="200" w:line="276" w:lineRule="auto"/>
        <w:rPr>
          <w:sz w:val="26"/>
          <w:szCs w:val="26"/>
        </w:rPr>
      </w:pPr>
      <w:r>
        <w:rPr>
          <w:sz w:val="26"/>
          <w:szCs w:val="26"/>
        </w:rPr>
        <w:br w:type="page"/>
      </w:r>
    </w:p>
    <w:p w:rsidR="005C729A" w:rsidRDefault="003C4812" w:rsidP="005C729A">
      <w:pPr>
        <w:spacing w:line="360" w:lineRule="auto"/>
        <w:ind w:firstLine="1440"/>
        <w:rPr>
          <w:sz w:val="26"/>
          <w:szCs w:val="26"/>
        </w:rPr>
      </w:pPr>
      <w:r>
        <w:rPr>
          <w:sz w:val="26"/>
          <w:szCs w:val="26"/>
        </w:rPr>
        <w:lastRenderedPageBreak/>
        <w:t xml:space="preserve">On January 5, 2011, PPLICA filed </w:t>
      </w:r>
      <w:r w:rsidR="00414FC5">
        <w:rPr>
          <w:sz w:val="26"/>
          <w:szCs w:val="26"/>
        </w:rPr>
        <w:t xml:space="preserve">the </w:t>
      </w:r>
      <w:r>
        <w:rPr>
          <w:sz w:val="26"/>
          <w:szCs w:val="26"/>
        </w:rPr>
        <w:t xml:space="preserve">Petition </w:t>
      </w:r>
      <w:r w:rsidR="00414FC5">
        <w:rPr>
          <w:sz w:val="26"/>
          <w:szCs w:val="26"/>
        </w:rPr>
        <w:t>relating to</w:t>
      </w:r>
      <w:r>
        <w:rPr>
          <w:sz w:val="26"/>
          <w:szCs w:val="26"/>
        </w:rPr>
        <w:t xml:space="preserve"> a single issue regarding the establishment of a special rate for one of PPL’s industrial customers: Donsco, Inc. (Donsco).  PPL filed a timely Answer to PPLICA’s Petition </w:t>
      </w:r>
      <w:r w:rsidR="00775A78">
        <w:rPr>
          <w:sz w:val="26"/>
          <w:szCs w:val="26"/>
        </w:rPr>
        <w:t xml:space="preserve">(PPL Answer) </w:t>
      </w:r>
      <w:r>
        <w:rPr>
          <w:sz w:val="26"/>
          <w:szCs w:val="26"/>
        </w:rPr>
        <w:t>on January 18, 2011.</w:t>
      </w:r>
      <w:r w:rsidR="00414FC5">
        <w:rPr>
          <w:sz w:val="26"/>
          <w:szCs w:val="26"/>
        </w:rPr>
        <w:t xml:space="preserve">  By Opinion and Order entered on January 13, 2011, we granted reconsideration pending review of</w:t>
      </w:r>
      <w:r w:rsidR="00494C23">
        <w:rPr>
          <w:sz w:val="26"/>
          <w:szCs w:val="26"/>
        </w:rPr>
        <w:t>,</w:t>
      </w:r>
      <w:r w:rsidR="00414FC5">
        <w:rPr>
          <w:sz w:val="26"/>
          <w:szCs w:val="26"/>
        </w:rPr>
        <w:t xml:space="preserve"> and consideration</w:t>
      </w:r>
      <w:r w:rsidR="00494C23">
        <w:rPr>
          <w:sz w:val="26"/>
          <w:szCs w:val="26"/>
        </w:rPr>
        <w:t xml:space="preserve"> on, the merits.</w:t>
      </w:r>
    </w:p>
    <w:p w:rsidR="003C4812" w:rsidRDefault="003C4812" w:rsidP="00FD555A">
      <w:pPr>
        <w:spacing w:line="360" w:lineRule="auto"/>
        <w:ind w:firstLine="1440"/>
        <w:rPr>
          <w:sz w:val="26"/>
          <w:szCs w:val="26"/>
        </w:rPr>
      </w:pPr>
    </w:p>
    <w:p w:rsidR="003C4812" w:rsidRDefault="003C4812" w:rsidP="00FD555A">
      <w:pPr>
        <w:spacing w:line="360" w:lineRule="auto"/>
        <w:jc w:val="center"/>
        <w:rPr>
          <w:b/>
          <w:sz w:val="26"/>
          <w:szCs w:val="26"/>
        </w:rPr>
      </w:pPr>
      <w:r w:rsidRPr="00882750">
        <w:rPr>
          <w:b/>
          <w:sz w:val="26"/>
          <w:szCs w:val="26"/>
        </w:rPr>
        <w:t>Discussion</w:t>
      </w:r>
    </w:p>
    <w:p w:rsidR="005C729A" w:rsidRDefault="005C729A">
      <w:pPr>
        <w:spacing w:line="360" w:lineRule="auto"/>
        <w:jc w:val="center"/>
        <w:rPr>
          <w:b/>
          <w:sz w:val="26"/>
          <w:szCs w:val="26"/>
        </w:rPr>
      </w:pPr>
    </w:p>
    <w:p w:rsidR="005C729A" w:rsidRDefault="003C4812" w:rsidP="005C729A">
      <w:pPr>
        <w:spacing w:line="360" w:lineRule="auto"/>
        <w:ind w:left="720"/>
        <w:rPr>
          <w:b/>
          <w:sz w:val="26"/>
          <w:szCs w:val="26"/>
        </w:rPr>
      </w:pPr>
      <w:r w:rsidRPr="00715F82">
        <w:rPr>
          <w:b/>
          <w:sz w:val="26"/>
          <w:szCs w:val="26"/>
        </w:rPr>
        <w:t xml:space="preserve">Legal Standard Applicable to </w:t>
      </w:r>
      <w:r w:rsidR="00D2268A">
        <w:rPr>
          <w:b/>
          <w:sz w:val="26"/>
          <w:szCs w:val="26"/>
        </w:rPr>
        <w:t xml:space="preserve">Section </w:t>
      </w:r>
      <w:r w:rsidRPr="00715F82">
        <w:rPr>
          <w:b/>
          <w:sz w:val="26"/>
          <w:szCs w:val="26"/>
        </w:rPr>
        <w:t>703 Petitions</w:t>
      </w:r>
    </w:p>
    <w:p w:rsidR="003C4812" w:rsidRPr="00715F82" w:rsidRDefault="003C4812" w:rsidP="00FD555A">
      <w:pPr>
        <w:spacing w:line="360" w:lineRule="auto"/>
        <w:ind w:left="1800"/>
        <w:rPr>
          <w:b/>
          <w:sz w:val="26"/>
          <w:szCs w:val="26"/>
        </w:rPr>
      </w:pPr>
    </w:p>
    <w:p w:rsidR="005C729A" w:rsidRDefault="003C4812">
      <w:pPr>
        <w:widowControl/>
        <w:spacing w:line="360" w:lineRule="auto"/>
        <w:ind w:firstLine="1440"/>
        <w:rPr>
          <w:sz w:val="26"/>
        </w:rPr>
      </w:pPr>
      <w:r>
        <w:rPr>
          <w:sz w:val="26"/>
        </w:rPr>
        <w:t xml:space="preserve">The Public Utility Code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5C729A" w:rsidRDefault="005C729A">
      <w:pPr>
        <w:widowControl/>
        <w:spacing w:line="360" w:lineRule="auto"/>
        <w:ind w:firstLine="1440"/>
        <w:rPr>
          <w:sz w:val="26"/>
        </w:rPr>
      </w:pPr>
    </w:p>
    <w:p w:rsidR="005C729A" w:rsidRDefault="003C4812">
      <w:pPr>
        <w:widowControl/>
        <w:spacing w:line="360" w:lineRule="auto"/>
        <w:ind w:firstLine="1440"/>
        <w:rPr>
          <w:sz w:val="26"/>
        </w:rPr>
      </w:pPr>
      <w:r>
        <w:rPr>
          <w:sz w:val="26"/>
        </w:rPr>
        <w:t xml:space="preserve">The standards for granting a </w:t>
      </w:r>
      <w:r w:rsidR="0091715C">
        <w:rPr>
          <w:sz w:val="26"/>
        </w:rPr>
        <w:t>p</w:t>
      </w:r>
      <w:r>
        <w:rPr>
          <w:sz w:val="26"/>
        </w:rPr>
        <w:t xml:space="preserve">etition for </w:t>
      </w:r>
      <w:r w:rsidR="0091715C">
        <w:rPr>
          <w:sz w:val="26"/>
        </w:rPr>
        <w:t>r</w:t>
      </w:r>
      <w:r>
        <w:rPr>
          <w:sz w:val="26"/>
        </w:rPr>
        <w:t xml:space="preserve">econsideration were set forth in </w:t>
      </w:r>
      <w:r>
        <w:rPr>
          <w:i/>
          <w:sz w:val="26"/>
        </w:rPr>
        <w:t>Duick v. Pennsylvania Gas and Water Company</w:t>
      </w:r>
      <w:r>
        <w:rPr>
          <w:sz w:val="26"/>
        </w:rPr>
        <w:t xml:space="preserve">, 56 Pa. P.U.C. 553 (1982):  </w:t>
      </w:r>
    </w:p>
    <w:p w:rsidR="003C4812" w:rsidRDefault="003C4812" w:rsidP="003C4812">
      <w:pPr>
        <w:widowControl/>
        <w:rPr>
          <w:sz w:val="26"/>
        </w:rPr>
      </w:pPr>
    </w:p>
    <w:p w:rsidR="003C4812" w:rsidRDefault="003C4812" w:rsidP="003C4812">
      <w:pPr>
        <w:widowControl/>
        <w:ind w:left="1440" w:right="1440"/>
        <w:rPr>
          <w:sz w:val="26"/>
        </w:rPr>
      </w:pPr>
      <w:r>
        <w:rPr>
          <w:sz w:val="26"/>
        </w:rPr>
        <w:t>A Petition for Reconsideration, under the provisions of 66 </w:t>
      </w:r>
      <w:smartTag w:uri="urn:schemas-microsoft-com:office:smarttags" w:element="State">
        <w:smartTag w:uri="urn:schemas-microsoft-com:office:smarttags" w:element="place">
          <w:r>
            <w:rPr>
              <w:sz w:val="26"/>
            </w:rPr>
            <w:t>Pa.</w:t>
          </w:r>
        </w:smartTag>
      </w:smartTag>
      <w:r>
        <w:rPr>
          <w:sz w:val="26"/>
        </w:rPr>
        <w:t xml:space="preserve"> C.S. § 703(g), may properly raise any matters designed to convince the Commission that it should exercise its discretion under this code to rescind or amend a prior order in whole or in part.  </w:t>
      </w:r>
    </w:p>
    <w:p w:rsidR="003C4812" w:rsidRDefault="003C4812" w:rsidP="003C4812">
      <w:pPr>
        <w:widowControl/>
        <w:ind w:left="1440" w:right="1440"/>
        <w:rPr>
          <w:sz w:val="26"/>
        </w:rPr>
      </w:pPr>
    </w:p>
    <w:p w:rsidR="003C4812" w:rsidRDefault="003C4812" w:rsidP="003C4812">
      <w:pPr>
        <w:widowControl/>
        <w:ind w:left="1440" w:right="1440"/>
        <w:rPr>
          <w:sz w:val="26"/>
        </w:rPr>
      </w:pPr>
      <w:r>
        <w:rPr>
          <w:sz w:val="26"/>
        </w:rPr>
        <w:tab/>
        <w:t xml:space="preserve">In this regard we agree with the court in the </w:t>
      </w:r>
      <w:r w:rsidRPr="002809EC">
        <w:rPr>
          <w:i/>
          <w:sz w:val="26"/>
        </w:rPr>
        <w:t>Pennsyl</w:t>
      </w:r>
      <w:r w:rsidRPr="002809EC">
        <w:rPr>
          <w:i/>
          <w:sz w:val="26"/>
        </w:rPr>
        <w:softHyphen/>
        <w:t>vania Railroad Company</w:t>
      </w:r>
      <w:r>
        <w:rPr>
          <w:sz w:val="26"/>
        </w:rPr>
        <w:t xml:space="preserve"> case, wherein it was stated that:  </w:t>
      </w:r>
    </w:p>
    <w:p w:rsidR="003C4812" w:rsidRDefault="003C4812" w:rsidP="003C4812">
      <w:pPr>
        <w:widowControl/>
        <w:ind w:left="2160" w:right="2160"/>
        <w:rPr>
          <w:sz w:val="26"/>
        </w:rPr>
      </w:pPr>
    </w:p>
    <w:p w:rsidR="003C4812" w:rsidRDefault="003C4812" w:rsidP="003C4812">
      <w:pPr>
        <w:pStyle w:val="BlockText"/>
        <w:widowControl/>
        <w:spacing w:line="240" w:lineRule="auto"/>
        <w:ind w:left="2160"/>
      </w:pPr>
      <w:r>
        <w:tab/>
        <w:t xml:space="preserve">Parties . . . cannot be permitted by a second motion to review and reconsider, to raise the same questions which were specifically decided against them . . . what we expect to see </w:t>
      </w:r>
      <w:r>
        <w:lastRenderedPageBreak/>
        <w:t xml:space="preserve">raised in petitions for reconsideration are new and novel arguments, not previously heard or considerations which appear to have been overlooked by the Commission.  </w:t>
      </w:r>
    </w:p>
    <w:p w:rsidR="003C4812" w:rsidRDefault="003C4812" w:rsidP="003C4812">
      <w:pPr>
        <w:widowControl/>
        <w:ind w:left="2160" w:right="2160"/>
        <w:rPr>
          <w:sz w:val="26"/>
        </w:rPr>
      </w:pPr>
    </w:p>
    <w:p w:rsidR="003C4812" w:rsidRDefault="003C4812" w:rsidP="003C4812">
      <w:pPr>
        <w:widowControl/>
        <w:ind w:left="1440" w:right="1440"/>
        <w:rPr>
          <w:sz w:val="26"/>
        </w:rPr>
      </w:pPr>
      <w:r>
        <w:rPr>
          <w:sz w:val="26"/>
        </w:rPr>
        <w:t xml:space="preserve">Additionally, a Petition for Reconsideration is properly before the Commission where it pleads newly discovered evidence, alleges errors of law, or a change in circumstances.  </w:t>
      </w:r>
    </w:p>
    <w:p w:rsidR="003C4812" w:rsidRDefault="003C4812" w:rsidP="0064062C">
      <w:pPr>
        <w:widowControl/>
        <w:spacing w:line="360" w:lineRule="auto"/>
        <w:ind w:left="1440" w:right="1440"/>
        <w:rPr>
          <w:sz w:val="26"/>
        </w:rPr>
      </w:pPr>
    </w:p>
    <w:p w:rsidR="003C4812" w:rsidRDefault="003C4812" w:rsidP="0064062C">
      <w:pPr>
        <w:widowControl/>
        <w:suppressAutoHyphens/>
        <w:spacing w:line="360" w:lineRule="auto"/>
        <w:ind w:firstLine="1440"/>
        <w:rPr>
          <w:color w:val="000000"/>
          <w:spacing w:val="-3"/>
          <w:sz w:val="26"/>
          <w:u w:color="000000"/>
        </w:rPr>
      </w:pPr>
      <w:r>
        <w:rPr>
          <w:color w:val="000000"/>
          <w:spacing w:val="-3"/>
          <w:sz w:val="26"/>
          <w:u w:color="000000"/>
        </w:rPr>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Pr>
          <w:i/>
          <w:color w:val="000000"/>
          <w:spacing w:val="-3"/>
          <w:sz w:val="26"/>
          <w:u w:color="000000"/>
        </w:rPr>
        <w:t>Duick</w:t>
      </w:r>
      <w:r>
        <w:rPr>
          <w:color w:val="000000"/>
          <w:spacing w:val="-3"/>
          <w:sz w:val="26"/>
          <w:u w:color="000000"/>
        </w:rPr>
        <w:t xml:space="preserve"> at 559. </w:t>
      </w:r>
    </w:p>
    <w:p w:rsidR="005246A8" w:rsidRDefault="005246A8" w:rsidP="005246A8">
      <w:pPr>
        <w:pStyle w:val="ListNumber"/>
        <w:numPr>
          <w:ilvl w:val="0"/>
          <w:numId w:val="0"/>
        </w:numPr>
        <w:spacing w:line="360" w:lineRule="auto"/>
        <w:ind w:firstLine="1440"/>
        <w:rPr>
          <w:sz w:val="26"/>
          <w:szCs w:val="26"/>
        </w:rPr>
      </w:pPr>
    </w:p>
    <w:p w:rsidR="009159A8" w:rsidRDefault="005246A8">
      <w:pPr>
        <w:pStyle w:val="ListNumber"/>
        <w:numPr>
          <w:ilvl w:val="0"/>
          <w:numId w:val="0"/>
        </w:numPr>
        <w:spacing w:line="360" w:lineRule="auto"/>
        <w:ind w:firstLine="1440"/>
        <w:rPr>
          <w:sz w:val="26"/>
          <w:szCs w:val="26"/>
        </w:rPr>
      </w:pPr>
      <w:r>
        <w:rPr>
          <w:sz w:val="26"/>
          <w:szCs w:val="26"/>
        </w:rPr>
        <w:t xml:space="preserve">A party must allege newly discovered evidence to meet the legal standard for a grant of rehearing.  </w:t>
      </w:r>
      <w:r>
        <w:rPr>
          <w:i/>
          <w:sz w:val="26"/>
          <w:szCs w:val="26"/>
        </w:rPr>
        <w:t>See</w:t>
      </w:r>
      <w:r w:rsidR="0029489F">
        <w:rPr>
          <w:i/>
          <w:sz w:val="26"/>
          <w:szCs w:val="26"/>
        </w:rPr>
        <w:t>,</w:t>
      </w:r>
      <w:r>
        <w:rPr>
          <w:i/>
          <w:sz w:val="26"/>
          <w:szCs w:val="26"/>
        </w:rPr>
        <w:t xml:space="preserve"> AT&amp;T v. Pa. PUC</w:t>
      </w:r>
      <w:r>
        <w:rPr>
          <w:sz w:val="26"/>
          <w:szCs w:val="26"/>
        </w:rPr>
        <w:t>, 568 A.2d 1362 (Pa. Cmwlth. 1990).  However, t</w:t>
      </w:r>
      <w:r w:rsidRPr="00167F7B">
        <w:rPr>
          <w:sz w:val="26"/>
          <w:szCs w:val="26"/>
        </w:rPr>
        <w:t xml:space="preserve">o support </w:t>
      </w:r>
      <w:r>
        <w:rPr>
          <w:sz w:val="26"/>
          <w:szCs w:val="26"/>
        </w:rPr>
        <w:t xml:space="preserve">a </w:t>
      </w:r>
      <w:r w:rsidRPr="00167F7B">
        <w:rPr>
          <w:sz w:val="26"/>
          <w:szCs w:val="26"/>
        </w:rPr>
        <w:t>request for rehearing</w:t>
      </w:r>
      <w:r>
        <w:rPr>
          <w:sz w:val="26"/>
          <w:szCs w:val="26"/>
        </w:rPr>
        <w:t>,</w:t>
      </w:r>
      <w:r w:rsidRPr="00167F7B">
        <w:rPr>
          <w:sz w:val="26"/>
          <w:szCs w:val="26"/>
        </w:rPr>
        <w:t xml:space="preserve"> the newly</w:t>
      </w:r>
      <w:r>
        <w:rPr>
          <w:sz w:val="26"/>
          <w:szCs w:val="26"/>
        </w:rPr>
        <w:t>-</w:t>
      </w:r>
      <w:r w:rsidRPr="00167F7B">
        <w:rPr>
          <w:sz w:val="26"/>
          <w:szCs w:val="26"/>
        </w:rPr>
        <w:t xml:space="preserve">discovered evidence must not have been reasonably available when hearings were held.  </w:t>
      </w:r>
      <w:r w:rsidRPr="00167F7B">
        <w:rPr>
          <w:rStyle w:val="Emphasis"/>
          <w:sz w:val="26"/>
          <w:szCs w:val="26"/>
        </w:rPr>
        <w:t>Philadelphia v. Pa. PUC</w:t>
      </w:r>
      <w:r w:rsidRPr="00167F7B">
        <w:rPr>
          <w:sz w:val="26"/>
          <w:szCs w:val="26"/>
        </w:rPr>
        <w:t>, 185 Pa. Super. 598, 138 A.2d 698 (1958)</w:t>
      </w:r>
      <w:r>
        <w:rPr>
          <w:sz w:val="26"/>
          <w:szCs w:val="26"/>
        </w:rPr>
        <w:t xml:space="preserve">; </w:t>
      </w:r>
      <w:r w:rsidRPr="00167F7B">
        <w:rPr>
          <w:rStyle w:val="Emphasis"/>
          <w:sz w:val="26"/>
          <w:szCs w:val="26"/>
        </w:rPr>
        <w:t>Byers v. Pa</w:t>
      </w:r>
      <w:r w:rsidR="0029489F">
        <w:rPr>
          <w:rStyle w:val="Emphasis"/>
          <w:sz w:val="26"/>
          <w:szCs w:val="26"/>
        </w:rPr>
        <w:t>.</w:t>
      </w:r>
      <w:r w:rsidRPr="00167F7B">
        <w:rPr>
          <w:rStyle w:val="Emphasis"/>
          <w:sz w:val="26"/>
          <w:szCs w:val="26"/>
        </w:rPr>
        <w:t xml:space="preserve"> PUC</w:t>
      </w:r>
      <w:r w:rsidRPr="00167F7B">
        <w:rPr>
          <w:sz w:val="26"/>
          <w:szCs w:val="26"/>
        </w:rPr>
        <w:t>, 176 Pa. Super. 620, 109 A.2d 232 (1954).</w:t>
      </w:r>
      <w:r>
        <w:rPr>
          <w:sz w:val="26"/>
          <w:szCs w:val="26"/>
        </w:rPr>
        <w:t xml:space="preserve">  Because we find that the record is deficient with regard to other necessary evidence, we need not address PPLICA’s request for rehearing with regard </w:t>
      </w:r>
      <w:r w:rsidR="0029489F">
        <w:rPr>
          <w:sz w:val="26"/>
          <w:szCs w:val="26"/>
        </w:rPr>
        <w:t xml:space="preserve">to </w:t>
      </w:r>
      <w:r>
        <w:rPr>
          <w:sz w:val="26"/>
          <w:szCs w:val="26"/>
        </w:rPr>
        <w:t xml:space="preserve">the alleged new evidence of </w:t>
      </w:r>
      <w:r w:rsidR="0029489F">
        <w:rPr>
          <w:sz w:val="26"/>
          <w:szCs w:val="26"/>
        </w:rPr>
        <w:t>the</w:t>
      </w:r>
      <w:r>
        <w:rPr>
          <w:sz w:val="26"/>
          <w:szCs w:val="26"/>
        </w:rPr>
        <w:t xml:space="preserve"> potential willingness </w:t>
      </w:r>
      <w:r w:rsidR="0029489F">
        <w:rPr>
          <w:sz w:val="26"/>
          <w:szCs w:val="26"/>
        </w:rPr>
        <w:t xml:space="preserve">of the Pennsylvania Department of Transportation (PennDOT) </w:t>
      </w:r>
      <w:r>
        <w:rPr>
          <w:sz w:val="26"/>
          <w:szCs w:val="26"/>
        </w:rPr>
        <w:t>to work with Donsco with regard to authorized utilization of highway and/or bridge rights-of-way to accomplish alternate distribution service from PPL.</w:t>
      </w:r>
      <w:r w:rsidR="004A2977">
        <w:rPr>
          <w:rStyle w:val="FootnoteReference"/>
          <w:sz w:val="26"/>
          <w:szCs w:val="26"/>
        </w:rPr>
        <w:footnoteReference w:id="1"/>
      </w:r>
      <w:r>
        <w:rPr>
          <w:sz w:val="26"/>
          <w:szCs w:val="26"/>
        </w:rPr>
        <w:t xml:space="preserve">  </w:t>
      </w:r>
    </w:p>
    <w:p w:rsidR="00D2268A" w:rsidRDefault="00D2268A" w:rsidP="003C4812">
      <w:pPr>
        <w:widowControl/>
        <w:suppressAutoHyphens/>
        <w:spacing w:line="360" w:lineRule="auto"/>
        <w:ind w:firstLine="1440"/>
        <w:rPr>
          <w:color w:val="000000"/>
          <w:spacing w:val="-3"/>
          <w:sz w:val="26"/>
          <w:u w:color="000000"/>
        </w:rPr>
      </w:pPr>
    </w:p>
    <w:p w:rsidR="00D2268A" w:rsidRDefault="00D2268A" w:rsidP="00D2268A">
      <w:pPr>
        <w:widowControl/>
        <w:spacing w:line="360" w:lineRule="auto"/>
        <w:ind w:firstLine="1440"/>
        <w:rPr>
          <w:sz w:val="26"/>
          <w:szCs w:val="26"/>
        </w:rPr>
      </w:pPr>
      <w:r>
        <w:rPr>
          <w:sz w:val="26"/>
          <w:szCs w:val="26"/>
        </w:rPr>
        <w:lastRenderedPageBreak/>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00A3B">
          <w:rPr>
            <w:rStyle w:val="Emphasis"/>
            <w:color w:val="000000"/>
            <w:sz w:val="26"/>
            <w:szCs w:val="26"/>
          </w:rPr>
          <w:t xml:space="preserve">Consolidated Rail Corporation v. Pa. PUC, </w:t>
        </w:r>
        <w:r w:rsidR="005C729A" w:rsidRPr="005C729A">
          <w:rPr>
            <w:rStyle w:val="Hyperlink"/>
            <w:color w:val="000000"/>
            <w:sz w:val="26"/>
            <w:szCs w:val="26"/>
            <w:u w:val="none"/>
          </w:rPr>
          <w:t>625 A.2d 741 (Pa. Cmwlth. 1993);</w:t>
        </w:r>
      </w:hyperlink>
      <w:r w:rsidR="005C729A" w:rsidRPr="005C729A">
        <w:rPr>
          <w:color w:val="000000"/>
          <w:sz w:val="26"/>
          <w:szCs w:val="26"/>
        </w:rPr>
        <w:t xml:space="preserve"> </w:t>
      </w:r>
      <w:r w:rsidR="005C729A" w:rsidRPr="005C729A">
        <w:rPr>
          <w:i/>
          <w:color w:val="000000"/>
          <w:sz w:val="26"/>
          <w:szCs w:val="26"/>
        </w:rPr>
        <w:t xml:space="preserve">also </w:t>
      </w:r>
      <w:r w:rsidR="00900A3B">
        <w:rPr>
          <w:rStyle w:val="Emphasis"/>
          <w:color w:val="000000"/>
          <w:sz w:val="26"/>
          <w:szCs w:val="26"/>
        </w:rPr>
        <w:t xml:space="preserve">see, generally, </w:t>
      </w:r>
      <w:hyperlink r:id="rId9" w:history="1">
        <w:r w:rsidR="00900A3B">
          <w:rPr>
            <w:rStyle w:val="Emphasis"/>
            <w:color w:val="000000"/>
            <w:sz w:val="26"/>
            <w:szCs w:val="26"/>
          </w:rPr>
          <w:t>University of Pennsylvania v. Pa. PUC</w:t>
        </w:r>
        <w:r w:rsidR="005C729A" w:rsidRPr="005C729A">
          <w:rPr>
            <w:rStyle w:val="Hyperlink"/>
            <w:color w:val="000000"/>
            <w:sz w:val="26"/>
            <w:szCs w:val="26"/>
            <w:u w:val="none"/>
          </w:rPr>
          <w:t>, 485 A.2d 1217 (Pa. Cmwlth. 1984).</w:t>
        </w:r>
      </w:hyperlink>
      <w:r w:rsidRPr="008606DC">
        <w:rPr>
          <w:sz w:val="26"/>
          <w:szCs w:val="26"/>
        </w:rPr>
        <w:t xml:space="preserve">  </w:t>
      </w:r>
    </w:p>
    <w:p w:rsidR="005C729A" w:rsidRDefault="005C729A" w:rsidP="005C729A">
      <w:pPr>
        <w:widowControl/>
        <w:suppressAutoHyphens/>
        <w:spacing w:line="360" w:lineRule="auto"/>
        <w:ind w:firstLine="720"/>
        <w:rPr>
          <w:color w:val="000000"/>
          <w:spacing w:val="-3"/>
          <w:sz w:val="26"/>
          <w:u w:color="000000"/>
        </w:rPr>
      </w:pPr>
    </w:p>
    <w:p w:rsidR="005C729A" w:rsidRDefault="00E02F59" w:rsidP="005C729A">
      <w:pPr>
        <w:widowControl/>
        <w:suppressAutoHyphens/>
        <w:spacing w:line="360" w:lineRule="auto"/>
        <w:ind w:left="1800" w:hanging="1080"/>
        <w:rPr>
          <w:b/>
          <w:color w:val="000000"/>
          <w:spacing w:val="-3"/>
          <w:sz w:val="26"/>
          <w:u w:color="000000"/>
        </w:rPr>
      </w:pPr>
      <w:r>
        <w:rPr>
          <w:b/>
          <w:color w:val="000000"/>
          <w:spacing w:val="-3"/>
          <w:sz w:val="26"/>
          <w:u w:color="000000"/>
        </w:rPr>
        <w:t>PPLICA’</w:t>
      </w:r>
      <w:r w:rsidR="00297D8A">
        <w:rPr>
          <w:b/>
          <w:color w:val="000000"/>
          <w:spacing w:val="-3"/>
          <w:sz w:val="26"/>
          <w:u w:color="000000"/>
        </w:rPr>
        <w:t>s Request for Reconsideration</w:t>
      </w:r>
      <w:r w:rsidR="00E943CB">
        <w:rPr>
          <w:b/>
          <w:color w:val="000000"/>
          <w:spacing w:val="-3"/>
          <w:sz w:val="26"/>
          <w:u w:color="000000"/>
        </w:rPr>
        <w:t>/Rehearing</w:t>
      </w:r>
    </w:p>
    <w:p w:rsidR="003C4812" w:rsidRPr="00E777F7" w:rsidRDefault="003C4812" w:rsidP="003C4812">
      <w:pPr>
        <w:widowControl/>
        <w:suppressAutoHyphens/>
        <w:spacing w:line="360" w:lineRule="auto"/>
        <w:ind w:left="1800"/>
        <w:rPr>
          <w:color w:val="000000"/>
          <w:spacing w:val="-3"/>
          <w:sz w:val="26"/>
          <w:u w:color="000000"/>
        </w:rPr>
      </w:pPr>
    </w:p>
    <w:p w:rsidR="00665422" w:rsidRDefault="00E777F7" w:rsidP="00E777F7">
      <w:pPr>
        <w:widowControl/>
        <w:suppressAutoHyphens/>
        <w:spacing w:line="360" w:lineRule="auto"/>
        <w:ind w:firstLine="1440"/>
        <w:rPr>
          <w:sz w:val="26"/>
          <w:szCs w:val="26"/>
        </w:rPr>
      </w:pPr>
      <w:r>
        <w:rPr>
          <w:sz w:val="26"/>
          <w:szCs w:val="26"/>
        </w:rPr>
        <w:t xml:space="preserve">PPLICA submits that it has met the </w:t>
      </w:r>
      <w:r>
        <w:rPr>
          <w:i/>
          <w:sz w:val="26"/>
          <w:szCs w:val="26"/>
        </w:rPr>
        <w:t xml:space="preserve">Duick </w:t>
      </w:r>
      <w:r>
        <w:rPr>
          <w:sz w:val="26"/>
          <w:szCs w:val="26"/>
        </w:rPr>
        <w:t xml:space="preserve">standard because each of the arguments or considerations set forth in its Petition is either new or novel, or was overlooked or not addressed by the Commission in rendering its </w:t>
      </w:r>
      <w:r w:rsidRPr="005C729A">
        <w:rPr>
          <w:i/>
          <w:sz w:val="26"/>
          <w:szCs w:val="26"/>
        </w:rPr>
        <w:t>December 21 Order</w:t>
      </w:r>
      <w:r>
        <w:rPr>
          <w:sz w:val="26"/>
          <w:szCs w:val="26"/>
        </w:rPr>
        <w:t xml:space="preserve">.  </w:t>
      </w:r>
      <w:r w:rsidR="00665422">
        <w:rPr>
          <w:sz w:val="26"/>
          <w:szCs w:val="26"/>
        </w:rPr>
        <w:t>In the alternative, PPLICA claims that it and Donsco have recently uncovered evidence that could have a direct impact on the viability of PPL providing 69 kV service to Donsco and that evidence should be allowed to be more fully developed before the Commission makes a final decision in this matter.  PPLICA requests that the Commission grant rehearing in order to consider this evidence.</w:t>
      </w:r>
    </w:p>
    <w:p w:rsidR="00665422" w:rsidRDefault="00665422" w:rsidP="00E777F7">
      <w:pPr>
        <w:widowControl/>
        <w:suppressAutoHyphens/>
        <w:spacing w:line="360" w:lineRule="auto"/>
        <w:ind w:firstLine="1440"/>
        <w:rPr>
          <w:sz w:val="26"/>
          <w:szCs w:val="26"/>
        </w:rPr>
      </w:pPr>
    </w:p>
    <w:p w:rsidR="00E943CB" w:rsidRDefault="00E777F7" w:rsidP="00E943CB">
      <w:pPr>
        <w:spacing w:line="360" w:lineRule="auto"/>
        <w:ind w:firstLine="1440"/>
        <w:rPr>
          <w:sz w:val="26"/>
          <w:szCs w:val="26"/>
        </w:rPr>
      </w:pPr>
      <w:r>
        <w:rPr>
          <w:sz w:val="26"/>
          <w:szCs w:val="26"/>
        </w:rPr>
        <w:t xml:space="preserve">For the reasons that follow, we </w:t>
      </w:r>
      <w:r w:rsidR="001832CB">
        <w:rPr>
          <w:sz w:val="26"/>
          <w:szCs w:val="26"/>
        </w:rPr>
        <w:t xml:space="preserve">exercise our discretion to grant reconsideration </w:t>
      </w:r>
      <w:r w:rsidR="00AB2033">
        <w:rPr>
          <w:sz w:val="26"/>
          <w:szCs w:val="26"/>
        </w:rPr>
        <w:t xml:space="preserve">and remand this matter to the Office of Administrative Law Judge (OALJ) for the development of a more complete record to allow consideration of additional pricing options </w:t>
      </w:r>
      <w:r w:rsidR="00C513C0">
        <w:rPr>
          <w:sz w:val="26"/>
          <w:szCs w:val="26"/>
        </w:rPr>
        <w:t>permitted</w:t>
      </w:r>
      <w:r w:rsidR="00AB2033">
        <w:rPr>
          <w:sz w:val="26"/>
          <w:szCs w:val="26"/>
        </w:rPr>
        <w:t xml:space="preserve"> by Section 2806(h) of the Code</w:t>
      </w:r>
      <w:r w:rsidR="001368E7">
        <w:rPr>
          <w:sz w:val="26"/>
          <w:szCs w:val="26"/>
        </w:rPr>
        <w:t>.</w:t>
      </w:r>
      <w:r w:rsidR="00AB2033">
        <w:rPr>
          <w:rStyle w:val="FootnoteReference"/>
          <w:sz w:val="26"/>
          <w:szCs w:val="26"/>
        </w:rPr>
        <w:footnoteReference w:id="2"/>
      </w:r>
    </w:p>
    <w:p w:rsidR="009159A8" w:rsidRDefault="00E943CB">
      <w:pPr>
        <w:spacing w:line="360" w:lineRule="auto"/>
        <w:ind w:firstLine="1440"/>
        <w:rPr>
          <w:sz w:val="26"/>
          <w:szCs w:val="26"/>
        </w:rPr>
      </w:pPr>
      <w:r w:rsidRPr="00CF6FA1">
        <w:rPr>
          <w:sz w:val="26"/>
          <w:szCs w:val="26"/>
        </w:rPr>
        <w:t xml:space="preserve"> </w:t>
      </w:r>
    </w:p>
    <w:p w:rsidR="009159A8" w:rsidRDefault="00E943CB">
      <w:pPr>
        <w:widowControl/>
        <w:spacing w:after="200" w:line="276" w:lineRule="auto"/>
        <w:rPr>
          <w:b/>
          <w:sz w:val="26"/>
          <w:szCs w:val="26"/>
        </w:rPr>
      </w:pPr>
      <w:r>
        <w:rPr>
          <w:color w:val="000000"/>
          <w:spacing w:val="-3"/>
          <w:sz w:val="26"/>
          <w:u w:color="000000"/>
        </w:rPr>
        <w:tab/>
      </w:r>
      <w:r>
        <w:rPr>
          <w:color w:val="000000"/>
          <w:spacing w:val="-3"/>
          <w:sz w:val="26"/>
          <w:u w:color="000000"/>
        </w:rPr>
        <w:tab/>
      </w:r>
      <w:r w:rsidR="005F3008" w:rsidRPr="005F3008">
        <w:rPr>
          <w:b/>
          <w:sz w:val="26"/>
          <w:szCs w:val="26"/>
        </w:rPr>
        <w:t>Positions of the Parties</w:t>
      </w:r>
    </w:p>
    <w:p w:rsidR="005F3008" w:rsidRPr="005F3008" w:rsidRDefault="005F3008" w:rsidP="005F3008">
      <w:pPr>
        <w:pStyle w:val="ListParagraph"/>
        <w:spacing w:line="360" w:lineRule="auto"/>
        <w:ind w:left="2160"/>
        <w:rPr>
          <w:sz w:val="26"/>
          <w:szCs w:val="26"/>
        </w:rPr>
      </w:pPr>
    </w:p>
    <w:p w:rsidR="009159A8" w:rsidRDefault="002534FD">
      <w:pPr>
        <w:autoSpaceDE w:val="0"/>
        <w:autoSpaceDN w:val="0"/>
        <w:adjustRightInd w:val="0"/>
        <w:spacing w:line="360" w:lineRule="auto"/>
        <w:ind w:firstLine="720"/>
        <w:rPr>
          <w:sz w:val="26"/>
          <w:szCs w:val="26"/>
        </w:rPr>
      </w:pPr>
      <w:r>
        <w:rPr>
          <w:sz w:val="26"/>
          <w:szCs w:val="26"/>
        </w:rPr>
        <w:tab/>
      </w:r>
      <w:r w:rsidR="000676ED" w:rsidRPr="000676ED">
        <w:rPr>
          <w:sz w:val="26"/>
          <w:szCs w:val="26"/>
        </w:rPr>
        <w:t xml:space="preserve">PPLICA seeks the establishment of a special rate schedule (LP-4 SI) enabling PPL to establish negotiated distribution rates, and specifically to grant a </w:t>
      </w:r>
      <w:r w:rsidR="000676ED" w:rsidRPr="000676ED">
        <w:rPr>
          <w:sz w:val="26"/>
          <w:szCs w:val="26"/>
        </w:rPr>
        <w:lastRenderedPageBreak/>
        <w:t>negotiated rate for Donsco</w:t>
      </w:r>
      <w:r w:rsidR="00775A78">
        <w:rPr>
          <w:sz w:val="26"/>
          <w:szCs w:val="26"/>
        </w:rPr>
        <w:t xml:space="preserve"> </w:t>
      </w:r>
      <w:r w:rsidR="000676ED" w:rsidRPr="000676ED">
        <w:rPr>
          <w:sz w:val="26"/>
          <w:szCs w:val="26"/>
        </w:rPr>
        <w:t>at its Wrightsville Foundry Facility</w:t>
      </w:r>
      <w:r w:rsidR="00775A78">
        <w:rPr>
          <w:sz w:val="26"/>
          <w:szCs w:val="26"/>
        </w:rPr>
        <w:t>.</w:t>
      </w:r>
      <w:r w:rsidR="000676ED" w:rsidRPr="000676ED">
        <w:rPr>
          <w:sz w:val="26"/>
          <w:szCs w:val="26"/>
        </w:rPr>
        <w:t xml:space="preserve">  </w:t>
      </w:r>
    </w:p>
    <w:p w:rsidR="009159A8" w:rsidRDefault="009159A8">
      <w:pPr>
        <w:autoSpaceDE w:val="0"/>
        <w:autoSpaceDN w:val="0"/>
        <w:adjustRightInd w:val="0"/>
        <w:spacing w:line="360" w:lineRule="auto"/>
        <w:ind w:firstLine="720"/>
        <w:rPr>
          <w:sz w:val="26"/>
          <w:szCs w:val="26"/>
        </w:rPr>
      </w:pPr>
    </w:p>
    <w:p w:rsidR="009159A8" w:rsidRDefault="002534FD">
      <w:pPr>
        <w:autoSpaceDE w:val="0"/>
        <w:autoSpaceDN w:val="0"/>
        <w:adjustRightInd w:val="0"/>
        <w:spacing w:line="360" w:lineRule="auto"/>
        <w:ind w:firstLine="720"/>
        <w:rPr>
          <w:sz w:val="26"/>
          <w:szCs w:val="26"/>
        </w:rPr>
      </w:pPr>
      <w:r>
        <w:rPr>
          <w:sz w:val="26"/>
          <w:szCs w:val="26"/>
        </w:rPr>
        <w:tab/>
      </w:r>
      <w:r w:rsidR="00B044F2">
        <w:rPr>
          <w:sz w:val="26"/>
          <w:szCs w:val="26"/>
        </w:rPr>
        <w:t xml:space="preserve">PPLICA </w:t>
      </w:r>
      <w:r w:rsidR="000676ED" w:rsidRPr="000676ED">
        <w:rPr>
          <w:sz w:val="26"/>
          <w:szCs w:val="26"/>
        </w:rPr>
        <w:t xml:space="preserve">cites a 1,100% increase in </w:t>
      </w:r>
      <w:r w:rsidR="00B044F2">
        <w:rPr>
          <w:sz w:val="26"/>
          <w:szCs w:val="26"/>
        </w:rPr>
        <w:t xml:space="preserve">Donsco’s </w:t>
      </w:r>
      <w:r w:rsidR="000676ED" w:rsidRPr="000676ED">
        <w:rPr>
          <w:sz w:val="26"/>
          <w:szCs w:val="26"/>
        </w:rPr>
        <w:t xml:space="preserve">rates starting in 2010 and alleges those rates to be unjust and unreasonable.  Prior to January 1, 2010, Donsco participated in PPL’s Time-of-Use demand measurement provision in Rate Schedule LP-4 and the Economic Development Initiative Rider.  Both of these tariff provisions expired on January 1, 2010.   </w:t>
      </w:r>
      <w:r w:rsidR="00665422">
        <w:rPr>
          <w:sz w:val="26"/>
          <w:szCs w:val="26"/>
        </w:rPr>
        <w:t>PPLICA submits that a</w:t>
      </w:r>
      <w:r w:rsidR="000676ED" w:rsidRPr="000676ED">
        <w:rPr>
          <w:sz w:val="26"/>
          <w:szCs w:val="26"/>
        </w:rPr>
        <w:t xml:space="preserve"> review of the evidence reveals that Donsco’s distribution charges increased from $42,744 in 2009 to proposed and projected charges of $410,496 in 2010 – a 960% increase in distribution charges.</w:t>
      </w:r>
      <w:r w:rsidR="000676ED" w:rsidRPr="000676ED">
        <w:rPr>
          <w:rStyle w:val="FootnoteReference"/>
          <w:sz w:val="26"/>
          <w:szCs w:val="26"/>
        </w:rPr>
        <w:footnoteReference w:id="3"/>
      </w:r>
      <w:r w:rsidR="000676ED" w:rsidRPr="000676ED">
        <w:rPr>
          <w:sz w:val="26"/>
          <w:szCs w:val="26"/>
        </w:rPr>
        <w:t xml:space="preserve">   </w:t>
      </w:r>
      <w:r w:rsidR="00665422">
        <w:rPr>
          <w:sz w:val="26"/>
          <w:szCs w:val="26"/>
        </w:rPr>
        <w:t>PPLICA notes that, i</w:t>
      </w:r>
      <w:r w:rsidR="000676ED" w:rsidRPr="000676ED">
        <w:rPr>
          <w:sz w:val="26"/>
          <w:szCs w:val="26"/>
        </w:rPr>
        <w:t>f the charges are adjusted to account for the application of the Remand Riders prior to January 1, 2010, the distribution charges based on the tariff rates increased from $5,000 to $6,000 per month to $20,000 to $35,000 per month</w:t>
      </w:r>
      <w:r w:rsidR="00665422">
        <w:rPr>
          <w:sz w:val="26"/>
          <w:szCs w:val="26"/>
        </w:rPr>
        <w:t xml:space="preserve"> --</w:t>
      </w:r>
      <w:r w:rsidR="000676ED" w:rsidRPr="000676ED">
        <w:rPr>
          <w:sz w:val="26"/>
          <w:szCs w:val="26"/>
        </w:rPr>
        <w:t xml:space="preserve"> an increase of </w:t>
      </w:r>
      <w:r w:rsidR="00665422">
        <w:rPr>
          <w:sz w:val="26"/>
          <w:szCs w:val="26"/>
        </w:rPr>
        <w:t xml:space="preserve">between </w:t>
      </w:r>
      <w:r w:rsidR="000676ED" w:rsidRPr="000676ED">
        <w:rPr>
          <w:sz w:val="26"/>
          <w:szCs w:val="26"/>
        </w:rPr>
        <w:t>300 to 483 percent.</w:t>
      </w:r>
      <w:r w:rsidR="000676ED" w:rsidRPr="000676ED">
        <w:rPr>
          <w:rStyle w:val="FootnoteReference"/>
          <w:sz w:val="26"/>
          <w:szCs w:val="26"/>
        </w:rPr>
        <w:footnoteReference w:id="4"/>
      </w:r>
      <w:r w:rsidR="000676ED" w:rsidRPr="000676ED">
        <w:rPr>
          <w:sz w:val="26"/>
          <w:szCs w:val="26"/>
        </w:rPr>
        <w:t xml:space="preserve">  </w:t>
      </w:r>
    </w:p>
    <w:p w:rsidR="00F05482" w:rsidRDefault="00F05482" w:rsidP="00F05482">
      <w:pPr>
        <w:spacing w:line="360" w:lineRule="auto"/>
        <w:ind w:firstLine="1440"/>
        <w:rPr>
          <w:sz w:val="26"/>
          <w:szCs w:val="26"/>
        </w:rPr>
      </w:pPr>
    </w:p>
    <w:p w:rsidR="009159A8" w:rsidRDefault="000217D3">
      <w:pPr>
        <w:spacing w:line="360" w:lineRule="auto"/>
        <w:ind w:firstLine="1440"/>
        <w:rPr>
          <w:sz w:val="26"/>
          <w:szCs w:val="26"/>
        </w:rPr>
      </w:pPr>
      <w:r>
        <w:rPr>
          <w:sz w:val="26"/>
          <w:szCs w:val="26"/>
        </w:rPr>
        <w:t xml:space="preserve">PPLICA claims that the Commission’s conclusions that PPLICA did not quantify the impact of its proposal on other LP-4 customers or establish that such impact was minimal “overlook clear record evidence addressing these issues.”  Petition at ¶¶ 15-29.  PPLICA also assigns error to the Commission’s conclusion that PPL has been responsive to Donsco’s concerns.  </w:t>
      </w:r>
    </w:p>
    <w:p w:rsidR="000217D3" w:rsidRDefault="000217D3" w:rsidP="000217D3">
      <w:pPr>
        <w:spacing w:line="360" w:lineRule="auto"/>
        <w:ind w:firstLine="1440"/>
        <w:rPr>
          <w:sz w:val="26"/>
          <w:szCs w:val="26"/>
        </w:rPr>
      </w:pPr>
    </w:p>
    <w:p w:rsidR="000217D3" w:rsidRDefault="000217D3" w:rsidP="000217D3">
      <w:pPr>
        <w:autoSpaceDE w:val="0"/>
        <w:autoSpaceDN w:val="0"/>
        <w:adjustRightInd w:val="0"/>
        <w:spacing w:line="360" w:lineRule="auto"/>
        <w:ind w:firstLine="720"/>
        <w:rPr>
          <w:sz w:val="26"/>
          <w:szCs w:val="26"/>
        </w:rPr>
      </w:pPr>
      <w:r>
        <w:rPr>
          <w:sz w:val="26"/>
          <w:szCs w:val="26"/>
        </w:rPr>
        <w:tab/>
      </w:r>
      <w:r w:rsidR="00B044F2">
        <w:rPr>
          <w:sz w:val="26"/>
          <w:szCs w:val="26"/>
        </w:rPr>
        <w:t xml:space="preserve">PPLICA </w:t>
      </w:r>
      <w:r w:rsidRPr="00460569">
        <w:rPr>
          <w:sz w:val="26"/>
          <w:szCs w:val="26"/>
        </w:rPr>
        <w:t xml:space="preserve">also argues that PPL’s two 12,470 volt lines across the river from the North Columbia 69/12 </w:t>
      </w:r>
      <w:r w:rsidR="0084248F">
        <w:rPr>
          <w:sz w:val="26"/>
          <w:szCs w:val="26"/>
        </w:rPr>
        <w:t>k</w:t>
      </w:r>
      <w:r w:rsidRPr="00460569">
        <w:rPr>
          <w:sz w:val="26"/>
          <w:szCs w:val="26"/>
        </w:rPr>
        <w:t>V substation to Donsco’s facility are solely dedicated to Donsco, along with the transformer equipment in the substation, and “offer little benefit to PPL Electric’s entire distribution system,” and yet Donsco is “asked to pay 1.5% of the revenue requirement for the equipment that is in place to serve the other 1,000 customers in the class.”</w:t>
      </w:r>
      <w:r w:rsidRPr="00460569">
        <w:rPr>
          <w:rStyle w:val="FootnoteReference"/>
          <w:sz w:val="26"/>
          <w:szCs w:val="26"/>
        </w:rPr>
        <w:footnoteReference w:id="5"/>
      </w:r>
      <w:r w:rsidRPr="00460569">
        <w:rPr>
          <w:sz w:val="26"/>
          <w:szCs w:val="26"/>
        </w:rPr>
        <w:t xml:space="preserve">  </w:t>
      </w:r>
    </w:p>
    <w:p w:rsidR="000217D3" w:rsidRDefault="000217D3" w:rsidP="000217D3">
      <w:pPr>
        <w:autoSpaceDE w:val="0"/>
        <w:autoSpaceDN w:val="0"/>
        <w:adjustRightInd w:val="0"/>
        <w:spacing w:line="360" w:lineRule="auto"/>
        <w:ind w:firstLine="720"/>
        <w:rPr>
          <w:sz w:val="26"/>
          <w:szCs w:val="26"/>
        </w:rPr>
      </w:pPr>
    </w:p>
    <w:p w:rsidR="000217D3" w:rsidRDefault="00D67A27" w:rsidP="000217D3">
      <w:pPr>
        <w:spacing w:line="360" w:lineRule="auto"/>
        <w:ind w:firstLine="1440"/>
        <w:rPr>
          <w:sz w:val="26"/>
          <w:szCs w:val="26"/>
        </w:rPr>
      </w:pPr>
      <w:r>
        <w:rPr>
          <w:sz w:val="26"/>
          <w:szCs w:val="26"/>
        </w:rPr>
        <w:t>PPLICA points out that, a</w:t>
      </w:r>
      <w:r w:rsidR="000217D3" w:rsidRPr="00460569">
        <w:rPr>
          <w:sz w:val="26"/>
          <w:szCs w:val="26"/>
        </w:rPr>
        <w:t>s part of the contract entered into between PPL and Donsco setting forth the terms of service, Donsco guaranteed a total payment of $914,000 in return for the promise of electric distribution service during the initial five</w:t>
      </w:r>
      <w:r>
        <w:rPr>
          <w:sz w:val="26"/>
          <w:szCs w:val="26"/>
        </w:rPr>
        <w:t>-</w:t>
      </w:r>
      <w:r w:rsidR="000217D3" w:rsidRPr="00460569">
        <w:rPr>
          <w:sz w:val="26"/>
          <w:szCs w:val="26"/>
        </w:rPr>
        <w:t>year term of the contract.</w:t>
      </w:r>
      <w:r w:rsidR="000217D3" w:rsidRPr="00460569">
        <w:rPr>
          <w:rStyle w:val="FootnoteReference"/>
          <w:sz w:val="26"/>
          <w:szCs w:val="26"/>
        </w:rPr>
        <w:footnoteReference w:id="6"/>
      </w:r>
      <w:r w:rsidR="000217D3" w:rsidRPr="00460569">
        <w:rPr>
          <w:sz w:val="26"/>
          <w:szCs w:val="26"/>
        </w:rPr>
        <w:t xml:space="preserve">  This equated to a guarantee that Donsco would pay $182,800</w:t>
      </w:r>
      <w:r>
        <w:rPr>
          <w:sz w:val="26"/>
          <w:szCs w:val="26"/>
        </w:rPr>
        <w:t xml:space="preserve"> annually</w:t>
      </w:r>
      <w:r w:rsidR="000217D3" w:rsidRPr="00460569">
        <w:rPr>
          <w:sz w:val="26"/>
          <w:szCs w:val="26"/>
        </w:rPr>
        <w:t>.</w:t>
      </w:r>
      <w:r w:rsidR="000217D3" w:rsidRPr="00460569">
        <w:rPr>
          <w:rStyle w:val="FootnoteReference"/>
          <w:sz w:val="26"/>
          <w:szCs w:val="26"/>
        </w:rPr>
        <w:footnoteReference w:id="7"/>
      </w:r>
      <w:r w:rsidR="000217D3" w:rsidRPr="00460569">
        <w:rPr>
          <w:sz w:val="26"/>
          <w:szCs w:val="26"/>
        </w:rPr>
        <w:t xml:space="preserve">  In 2003, Donsco and PPL renegotiated this contract to remove the obligation that Donsco pay the final two years of the annual guarantee.  In exchange, Donsco agreed that PPL could use one of the two dedicated lines when necessary for reliability purposes.</w:t>
      </w:r>
      <w:r w:rsidR="000217D3" w:rsidRPr="00460569">
        <w:rPr>
          <w:rStyle w:val="FootnoteReference"/>
          <w:sz w:val="26"/>
          <w:szCs w:val="26"/>
        </w:rPr>
        <w:footnoteReference w:id="8"/>
      </w:r>
      <w:r w:rsidR="000217D3" w:rsidRPr="00460569">
        <w:rPr>
          <w:sz w:val="26"/>
          <w:szCs w:val="26"/>
        </w:rPr>
        <w:t xml:space="preserve">  Thus, at th</w:t>
      </w:r>
      <w:r w:rsidR="0084248F">
        <w:rPr>
          <w:sz w:val="26"/>
          <w:szCs w:val="26"/>
        </w:rPr>
        <w:t>at</w:t>
      </w:r>
      <w:r w:rsidR="000217D3" w:rsidRPr="00460569">
        <w:rPr>
          <w:sz w:val="26"/>
          <w:szCs w:val="26"/>
        </w:rPr>
        <w:t xml:space="preserve"> point, Donsco ha</w:t>
      </w:r>
      <w:r>
        <w:rPr>
          <w:sz w:val="26"/>
          <w:szCs w:val="26"/>
        </w:rPr>
        <w:t>d</w:t>
      </w:r>
      <w:r w:rsidR="000217D3" w:rsidRPr="00460569">
        <w:rPr>
          <w:sz w:val="26"/>
          <w:szCs w:val="26"/>
        </w:rPr>
        <w:t xml:space="preserve"> already paid substantial funds in reimbursement of its cost of service. </w:t>
      </w:r>
      <w:r w:rsidR="000217D3">
        <w:rPr>
          <w:sz w:val="26"/>
          <w:szCs w:val="26"/>
        </w:rPr>
        <w:t xml:space="preserve"> </w:t>
      </w:r>
      <w:r w:rsidR="000217D3" w:rsidRPr="00460569">
        <w:rPr>
          <w:sz w:val="26"/>
          <w:szCs w:val="26"/>
        </w:rPr>
        <w:t>This amount include</w:t>
      </w:r>
      <w:r>
        <w:rPr>
          <w:sz w:val="26"/>
          <w:szCs w:val="26"/>
        </w:rPr>
        <w:t>d</w:t>
      </w:r>
      <w:r w:rsidR="000217D3" w:rsidRPr="00460569">
        <w:rPr>
          <w:sz w:val="26"/>
          <w:szCs w:val="26"/>
        </w:rPr>
        <w:t xml:space="preserve"> the payment of $548,000 by 2003, plus additional distribution payments </w:t>
      </w:r>
      <w:r>
        <w:rPr>
          <w:sz w:val="26"/>
          <w:szCs w:val="26"/>
        </w:rPr>
        <w:t xml:space="preserve">made </w:t>
      </w:r>
      <w:r w:rsidR="000217D3" w:rsidRPr="00460569">
        <w:rPr>
          <w:sz w:val="26"/>
          <w:szCs w:val="26"/>
        </w:rPr>
        <w:t xml:space="preserve">since 2003, less annual operating costs for the facilities.  </w:t>
      </w:r>
      <w:r>
        <w:rPr>
          <w:sz w:val="26"/>
          <w:szCs w:val="26"/>
        </w:rPr>
        <w:t>PPLICA explains that, w</w:t>
      </w:r>
      <w:r w:rsidR="000217D3" w:rsidRPr="00460569">
        <w:rPr>
          <w:sz w:val="26"/>
          <w:szCs w:val="26"/>
        </w:rPr>
        <w:t xml:space="preserve">ith </w:t>
      </w:r>
      <w:r w:rsidR="00DE6832">
        <w:rPr>
          <w:sz w:val="26"/>
          <w:szCs w:val="26"/>
        </w:rPr>
        <w:t xml:space="preserve">Donsco’s </w:t>
      </w:r>
      <w:r w:rsidR="000217D3" w:rsidRPr="00460569">
        <w:rPr>
          <w:sz w:val="26"/>
          <w:szCs w:val="26"/>
        </w:rPr>
        <w:t>payments under the current rate case estimated to be $410,000 annually, Donsco would likely pay its full obligation for its distribution</w:t>
      </w:r>
      <w:r>
        <w:rPr>
          <w:sz w:val="26"/>
          <w:szCs w:val="26"/>
        </w:rPr>
        <w:t>-</w:t>
      </w:r>
      <w:r w:rsidR="000217D3" w:rsidRPr="00460569">
        <w:rPr>
          <w:sz w:val="26"/>
          <w:szCs w:val="26"/>
        </w:rPr>
        <w:t xml:space="preserve">related facilities required to serve its plant in only one year.  </w:t>
      </w:r>
    </w:p>
    <w:p w:rsidR="00822888" w:rsidRDefault="00822888" w:rsidP="000217D3">
      <w:pPr>
        <w:spacing w:line="360" w:lineRule="auto"/>
        <w:ind w:firstLine="1440"/>
        <w:rPr>
          <w:sz w:val="26"/>
          <w:szCs w:val="26"/>
        </w:rPr>
      </w:pPr>
    </w:p>
    <w:p w:rsidR="000217D3" w:rsidRDefault="003E2FFF" w:rsidP="000217D3">
      <w:pPr>
        <w:spacing w:line="360" w:lineRule="auto"/>
        <w:ind w:firstLine="1440"/>
        <w:rPr>
          <w:sz w:val="26"/>
          <w:szCs w:val="26"/>
        </w:rPr>
      </w:pPr>
      <w:r>
        <w:rPr>
          <w:sz w:val="26"/>
          <w:szCs w:val="26"/>
        </w:rPr>
        <w:t xml:space="preserve">PPLICA observes that </w:t>
      </w:r>
      <w:r w:rsidR="000217D3" w:rsidRPr="00460569">
        <w:rPr>
          <w:sz w:val="26"/>
          <w:szCs w:val="26"/>
        </w:rPr>
        <w:t>Donsco also provided testimony regarding the impact of the current economic situation and the current distribution rates on its employees, and, by extension, the community at large.  As a mitigation strategy for the distribution rate increase that occurred as of January 1, 2010, when the Time-of-Use provision was eliminated, Donsco cut its workforce at Wrightsville and reduced its operations there by 33%.  This reduced the company’s electricity distribution costs by approximately $15,000 per month</w:t>
      </w:r>
      <w:r>
        <w:rPr>
          <w:sz w:val="26"/>
          <w:szCs w:val="26"/>
        </w:rPr>
        <w:t>.</w:t>
      </w:r>
    </w:p>
    <w:p w:rsidR="003E2FFF" w:rsidRDefault="003E2FFF" w:rsidP="000217D3">
      <w:pPr>
        <w:spacing w:line="360" w:lineRule="auto"/>
        <w:ind w:firstLine="1440"/>
        <w:rPr>
          <w:sz w:val="26"/>
          <w:szCs w:val="26"/>
        </w:rPr>
      </w:pPr>
    </w:p>
    <w:p w:rsidR="003E2FFF" w:rsidRDefault="003E2FFF" w:rsidP="003E2FFF">
      <w:pPr>
        <w:spacing w:line="360" w:lineRule="auto"/>
        <w:ind w:firstLine="1440"/>
        <w:rPr>
          <w:i/>
          <w:sz w:val="26"/>
          <w:szCs w:val="26"/>
        </w:rPr>
      </w:pPr>
      <w:r>
        <w:rPr>
          <w:sz w:val="26"/>
          <w:szCs w:val="26"/>
        </w:rPr>
        <w:t>PPLICA also claims that “newly-discovered evidence</w:t>
      </w:r>
      <w:r w:rsidR="00506F64">
        <w:rPr>
          <w:sz w:val="26"/>
          <w:szCs w:val="26"/>
        </w:rPr>
        <w:t>” has</w:t>
      </w:r>
      <w:r>
        <w:rPr>
          <w:sz w:val="26"/>
          <w:szCs w:val="26"/>
        </w:rPr>
        <w:t xml:space="preserve"> </w:t>
      </w:r>
      <w:r w:rsidR="00DE6832">
        <w:rPr>
          <w:sz w:val="26"/>
          <w:szCs w:val="26"/>
        </w:rPr>
        <w:t xml:space="preserve">recently </w:t>
      </w:r>
      <w:r>
        <w:rPr>
          <w:sz w:val="26"/>
          <w:szCs w:val="26"/>
        </w:rPr>
        <w:t xml:space="preserve">come </w:t>
      </w:r>
      <w:r>
        <w:rPr>
          <w:sz w:val="26"/>
          <w:szCs w:val="26"/>
        </w:rPr>
        <w:lastRenderedPageBreak/>
        <w:t>to light that involves the potential authorization by PennDOT for Donsco to occupy certain rights of way (including bridge occupancy)</w:t>
      </w:r>
      <w:r w:rsidR="00DE6832">
        <w:rPr>
          <w:sz w:val="26"/>
          <w:szCs w:val="26"/>
        </w:rPr>
        <w:t>.  Such authorizations c</w:t>
      </w:r>
      <w:r>
        <w:rPr>
          <w:sz w:val="26"/>
          <w:szCs w:val="26"/>
        </w:rPr>
        <w:t xml:space="preserve">ould further Donsco’s desire to be served via a different </w:t>
      </w:r>
      <w:r w:rsidR="00DE6832">
        <w:rPr>
          <w:sz w:val="26"/>
          <w:szCs w:val="26"/>
        </w:rPr>
        <w:t xml:space="preserve">distribution </w:t>
      </w:r>
      <w:r>
        <w:rPr>
          <w:sz w:val="26"/>
          <w:szCs w:val="26"/>
        </w:rPr>
        <w:t>rate schedule.  PPLICA claims that, if Donsco either purchases or leases PPL’s lines across the Susquehanna River, the current troublesome situation could be alleviated.</w:t>
      </w:r>
      <w:r w:rsidR="004E5C0C">
        <w:rPr>
          <w:sz w:val="26"/>
          <w:szCs w:val="26"/>
        </w:rPr>
        <w:t xml:space="preserve"> </w:t>
      </w:r>
      <w:r>
        <w:rPr>
          <w:sz w:val="26"/>
          <w:szCs w:val="26"/>
        </w:rPr>
        <w:t xml:space="preserve"> Petition at ¶¶ 32-35.  PPLICA </w:t>
      </w:r>
      <w:r w:rsidR="00DE6832">
        <w:rPr>
          <w:sz w:val="26"/>
          <w:szCs w:val="26"/>
        </w:rPr>
        <w:t xml:space="preserve">explains </w:t>
      </w:r>
      <w:r>
        <w:rPr>
          <w:sz w:val="26"/>
          <w:szCs w:val="26"/>
        </w:rPr>
        <w:t xml:space="preserve">that Donsco recently inquired of PennDOT regarding this potential solution to its problems and that “review of applicable regulations since the issuance of the Commission’s </w:t>
      </w:r>
      <w:r w:rsidR="000676ED" w:rsidRPr="000676ED">
        <w:rPr>
          <w:i/>
          <w:sz w:val="26"/>
          <w:szCs w:val="26"/>
        </w:rPr>
        <w:t>December 21 Order</w:t>
      </w:r>
      <w:r>
        <w:rPr>
          <w:sz w:val="26"/>
          <w:szCs w:val="26"/>
        </w:rPr>
        <w:t xml:space="preserve"> have confirmed that PennDOT would entertain the possibility of authorizing right of way and bridge occupancy permits for Donsco as a non-utility … applicant.”  </w:t>
      </w:r>
      <w:r w:rsidR="00DF244D">
        <w:rPr>
          <w:i/>
          <w:sz w:val="26"/>
          <w:szCs w:val="26"/>
        </w:rPr>
        <w:t>Id.</w:t>
      </w:r>
      <w:r>
        <w:rPr>
          <w:sz w:val="26"/>
          <w:szCs w:val="26"/>
        </w:rPr>
        <w:t xml:space="preserve"> at ¶ 32. </w:t>
      </w:r>
      <w:r w:rsidR="00DE6832">
        <w:rPr>
          <w:sz w:val="26"/>
          <w:szCs w:val="26"/>
        </w:rPr>
        <w:t xml:space="preserve"> </w:t>
      </w:r>
      <w:r>
        <w:rPr>
          <w:sz w:val="26"/>
          <w:szCs w:val="26"/>
        </w:rPr>
        <w:t xml:space="preserve">Donsco states that PPL refused to consider this option.  </w:t>
      </w:r>
      <w:r w:rsidRPr="000C1487">
        <w:rPr>
          <w:i/>
          <w:sz w:val="26"/>
          <w:szCs w:val="26"/>
        </w:rPr>
        <w:t>Id.</w:t>
      </w:r>
    </w:p>
    <w:p w:rsidR="003E2FFF" w:rsidRDefault="003E2FFF" w:rsidP="003E2FFF">
      <w:pPr>
        <w:spacing w:line="360" w:lineRule="auto"/>
        <w:ind w:firstLine="1440"/>
        <w:rPr>
          <w:sz w:val="26"/>
          <w:szCs w:val="26"/>
        </w:rPr>
      </w:pPr>
    </w:p>
    <w:p w:rsidR="007C65B5" w:rsidRDefault="000217D3" w:rsidP="007C65B5">
      <w:pPr>
        <w:spacing w:line="360" w:lineRule="auto"/>
        <w:ind w:firstLine="1440"/>
        <w:rPr>
          <w:sz w:val="26"/>
          <w:szCs w:val="26"/>
        </w:rPr>
      </w:pPr>
      <w:r>
        <w:rPr>
          <w:sz w:val="26"/>
          <w:szCs w:val="26"/>
        </w:rPr>
        <w:t xml:space="preserve">In response to PPLICA’s claims, </w:t>
      </w:r>
      <w:r w:rsidR="007C65B5">
        <w:rPr>
          <w:sz w:val="26"/>
          <w:szCs w:val="26"/>
        </w:rPr>
        <w:t xml:space="preserve">PPL argues that it has been responsive to Donsco’s concerns and that PPLICA’s evidence was thoroughly examined by the ALJ and the Commission and, thus, not overlooked.  PPL Answer at ¶¶ 15-29.   PPL points out that it has explored service alternatives at length with Donsco, but to no avail.  PPL submits that PPL also argues that both the presiding officer and the Commission painstakingly reviewed the record and discussed the Donsco issue at length in their respective decisions.  </w:t>
      </w:r>
      <w:r w:rsidR="00F0179A" w:rsidRPr="00F0179A">
        <w:rPr>
          <w:i/>
          <w:sz w:val="26"/>
          <w:szCs w:val="26"/>
        </w:rPr>
        <w:t>Id</w:t>
      </w:r>
      <w:r w:rsidR="00DF244D">
        <w:rPr>
          <w:sz w:val="26"/>
          <w:szCs w:val="26"/>
        </w:rPr>
        <w:t>.</w:t>
      </w:r>
      <w:r w:rsidR="007C65B5">
        <w:rPr>
          <w:sz w:val="26"/>
          <w:szCs w:val="26"/>
        </w:rPr>
        <w:t xml:space="preserve"> at ¶¶ 30-32.   PPL also argues that Section 2807(e</w:t>
      </w:r>
      <w:r w:rsidR="00506F64">
        <w:rPr>
          <w:sz w:val="26"/>
          <w:szCs w:val="26"/>
        </w:rPr>
        <w:t>)(</w:t>
      </w:r>
      <w:r w:rsidR="007C65B5">
        <w:rPr>
          <w:sz w:val="26"/>
          <w:szCs w:val="26"/>
        </w:rPr>
        <w:t>5</w:t>
      </w:r>
      <w:r w:rsidR="00506F64">
        <w:rPr>
          <w:sz w:val="26"/>
          <w:szCs w:val="26"/>
        </w:rPr>
        <w:t>)(</w:t>
      </w:r>
      <w:r w:rsidR="007C65B5">
        <w:rPr>
          <w:sz w:val="26"/>
          <w:szCs w:val="26"/>
        </w:rPr>
        <w:t>i) of the Code</w:t>
      </w:r>
      <w:r w:rsidR="007C65B5">
        <w:rPr>
          <w:rStyle w:val="FootnoteReference"/>
          <w:sz w:val="26"/>
          <w:szCs w:val="26"/>
        </w:rPr>
        <w:footnoteReference w:id="9"/>
      </w:r>
      <w:r w:rsidR="007C65B5">
        <w:rPr>
          <w:sz w:val="26"/>
          <w:szCs w:val="26"/>
        </w:rPr>
        <w:t xml:space="preserve"> is controlling on the issue of whether an electric distribution company (EDC) can be compelled to discount its distribution rates.  </w:t>
      </w:r>
    </w:p>
    <w:p w:rsidR="007C65B5" w:rsidRDefault="007C65B5" w:rsidP="007C65B5">
      <w:pPr>
        <w:spacing w:line="360" w:lineRule="auto"/>
        <w:ind w:firstLine="1440"/>
        <w:rPr>
          <w:sz w:val="26"/>
          <w:szCs w:val="26"/>
        </w:rPr>
      </w:pPr>
    </w:p>
    <w:p w:rsidR="00B01197" w:rsidRDefault="007C65B5" w:rsidP="007C65B5">
      <w:pPr>
        <w:spacing w:line="360" w:lineRule="auto"/>
        <w:ind w:firstLine="1440"/>
        <w:rPr>
          <w:sz w:val="26"/>
          <w:szCs w:val="26"/>
        </w:rPr>
      </w:pPr>
      <w:r w:rsidRPr="00460569">
        <w:rPr>
          <w:sz w:val="26"/>
          <w:szCs w:val="26"/>
        </w:rPr>
        <w:t xml:space="preserve">PPL </w:t>
      </w:r>
      <w:r>
        <w:rPr>
          <w:sz w:val="26"/>
          <w:szCs w:val="26"/>
        </w:rPr>
        <w:t xml:space="preserve">further </w:t>
      </w:r>
      <w:r w:rsidRPr="00460569">
        <w:rPr>
          <w:sz w:val="26"/>
          <w:szCs w:val="26"/>
        </w:rPr>
        <w:t xml:space="preserve">argues that it may be discriminatory to offer a discount when other customers have paid capital in order to qualify for the desired LP-5 rates.  PPL cites three such customers.  </w:t>
      </w:r>
      <w:r>
        <w:rPr>
          <w:sz w:val="26"/>
          <w:szCs w:val="26"/>
        </w:rPr>
        <w:t xml:space="preserve"> </w:t>
      </w:r>
      <w:r w:rsidR="00F05482">
        <w:rPr>
          <w:sz w:val="26"/>
          <w:szCs w:val="26"/>
        </w:rPr>
        <w:t>PPL argues that th</w:t>
      </w:r>
      <w:r w:rsidR="00F05482" w:rsidRPr="00CF6FA1">
        <w:rPr>
          <w:sz w:val="26"/>
          <w:szCs w:val="26"/>
        </w:rPr>
        <w:t xml:space="preserve">e </w:t>
      </w:r>
      <w:r w:rsidR="001368E7">
        <w:rPr>
          <w:sz w:val="26"/>
          <w:szCs w:val="26"/>
        </w:rPr>
        <w:t xml:space="preserve">regulations cited by PPLICA as </w:t>
      </w:r>
      <w:r w:rsidR="00F05482" w:rsidRPr="00CF6FA1">
        <w:rPr>
          <w:sz w:val="26"/>
          <w:szCs w:val="26"/>
        </w:rPr>
        <w:t xml:space="preserve">newly discovered evidence were adopted long ago.  Section 459.10a was adopted on </w:t>
      </w:r>
    </w:p>
    <w:p w:rsidR="00F05482" w:rsidRDefault="00F05482" w:rsidP="00B01197">
      <w:pPr>
        <w:spacing w:line="360" w:lineRule="auto"/>
        <w:rPr>
          <w:sz w:val="26"/>
          <w:szCs w:val="26"/>
        </w:rPr>
      </w:pPr>
      <w:r w:rsidRPr="00CF6FA1">
        <w:rPr>
          <w:sz w:val="26"/>
          <w:szCs w:val="26"/>
        </w:rPr>
        <w:lastRenderedPageBreak/>
        <w:t xml:space="preserve">January 20, 1989.  19 </w:t>
      </w:r>
      <w:r w:rsidRPr="0037463C">
        <w:rPr>
          <w:i/>
          <w:sz w:val="26"/>
          <w:szCs w:val="26"/>
        </w:rPr>
        <w:t>Pa. B.</w:t>
      </w:r>
      <w:r w:rsidRPr="00CF6FA1">
        <w:rPr>
          <w:sz w:val="26"/>
          <w:szCs w:val="26"/>
        </w:rPr>
        <w:t xml:space="preserve"> 241.</w:t>
      </w:r>
      <w:r>
        <w:rPr>
          <w:rStyle w:val="FootnoteReference"/>
          <w:sz w:val="26"/>
          <w:szCs w:val="26"/>
        </w:rPr>
        <w:footnoteReference w:id="10"/>
      </w:r>
      <w:r w:rsidRPr="00CF6FA1">
        <w:rPr>
          <w:sz w:val="26"/>
          <w:szCs w:val="26"/>
        </w:rPr>
        <w:t xml:space="preserve">  Section 459.3(b</w:t>
      </w:r>
      <w:r w:rsidR="00506F64" w:rsidRPr="00CF6FA1">
        <w:rPr>
          <w:sz w:val="26"/>
          <w:szCs w:val="26"/>
        </w:rPr>
        <w:t>)(</w:t>
      </w:r>
      <w:r w:rsidRPr="00CF6FA1">
        <w:rPr>
          <w:sz w:val="26"/>
          <w:szCs w:val="26"/>
        </w:rPr>
        <w:t xml:space="preserve">2) was originally adopted on July 13, 1979.  9 </w:t>
      </w:r>
      <w:r w:rsidRPr="0037463C">
        <w:rPr>
          <w:i/>
          <w:sz w:val="26"/>
          <w:szCs w:val="26"/>
        </w:rPr>
        <w:t>Pa. B.</w:t>
      </w:r>
      <w:r w:rsidRPr="00CF6FA1">
        <w:rPr>
          <w:sz w:val="26"/>
          <w:szCs w:val="26"/>
        </w:rPr>
        <w:t xml:space="preserve"> 2338.  It was later amended on January 20, 1989. 19 </w:t>
      </w:r>
      <w:r w:rsidRPr="0037463C">
        <w:rPr>
          <w:i/>
          <w:sz w:val="26"/>
          <w:szCs w:val="26"/>
        </w:rPr>
        <w:t>Pa. B.</w:t>
      </w:r>
      <w:r w:rsidRPr="00CF6FA1">
        <w:rPr>
          <w:sz w:val="26"/>
          <w:szCs w:val="26"/>
        </w:rPr>
        <w:t xml:space="preserve"> 241.</w:t>
      </w:r>
      <w:r>
        <w:rPr>
          <w:rStyle w:val="FootnoteReference"/>
          <w:sz w:val="26"/>
          <w:szCs w:val="26"/>
        </w:rPr>
        <w:footnoteReference w:id="11"/>
      </w:r>
      <w:r w:rsidRPr="00CF6FA1">
        <w:rPr>
          <w:sz w:val="26"/>
          <w:szCs w:val="26"/>
        </w:rPr>
        <w:t xml:space="preserve">  </w:t>
      </w:r>
      <w:r>
        <w:rPr>
          <w:sz w:val="26"/>
          <w:szCs w:val="26"/>
        </w:rPr>
        <w:t>PPL submits that t</w:t>
      </w:r>
      <w:r w:rsidRPr="00CF6FA1">
        <w:rPr>
          <w:sz w:val="26"/>
          <w:szCs w:val="26"/>
        </w:rPr>
        <w:t xml:space="preserve">hese regulations have been in effect and available in their present form for review by PPLICA and Donsco for more than twenty years.  </w:t>
      </w:r>
      <w:r>
        <w:rPr>
          <w:sz w:val="26"/>
          <w:szCs w:val="26"/>
        </w:rPr>
        <w:t xml:space="preserve">PPL thus submits that PPLICA’s new evidence is not new at all, </w:t>
      </w:r>
      <w:r w:rsidRPr="00CF6FA1">
        <w:rPr>
          <w:sz w:val="26"/>
          <w:szCs w:val="26"/>
        </w:rPr>
        <w:t>does not meet the standard for rehearing and, in any event, is irrelevant to this proceeding.</w:t>
      </w:r>
    </w:p>
    <w:p w:rsidR="00F05482" w:rsidRDefault="00F05482" w:rsidP="00F05482">
      <w:pPr>
        <w:spacing w:line="360" w:lineRule="auto"/>
        <w:ind w:firstLine="1440"/>
        <w:rPr>
          <w:sz w:val="26"/>
          <w:szCs w:val="26"/>
        </w:rPr>
      </w:pPr>
    </w:p>
    <w:p w:rsidR="00DF244D" w:rsidRDefault="000217D3">
      <w:pPr>
        <w:autoSpaceDE w:val="0"/>
        <w:autoSpaceDN w:val="0"/>
        <w:adjustRightInd w:val="0"/>
        <w:spacing w:line="360" w:lineRule="auto"/>
        <w:ind w:firstLine="720"/>
        <w:rPr>
          <w:sz w:val="26"/>
          <w:szCs w:val="26"/>
        </w:rPr>
      </w:pPr>
      <w:r>
        <w:rPr>
          <w:sz w:val="26"/>
          <w:szCs w:val="26"/>
        </w:rPr>
        <w:tab/>
      </w:r>
      <w:r w:rsidR="00F05482">
        <w:rPr>
          <w:sz w:val="26"/>
          <w:szCs w:val="26"/>
        </w:rPr>
        <w:t>PPL continues that</w:t>
      </w:r>
      <w:r w:rsidR="00F05482" w:rsidRPr="00CF6FA1">
        <w:rPr>
          <w:sz w:val="26"/>
          <w:szCs w:val="26"/>
        </w:rPr>
        <w:t xml:space="preserve">, although PPLICA does not explain its proposal in any detail, it appears to believe that Donsco may be able to take service at 69 kV and achieve lower distribution rates, by purchasing the above-referenced 12 kV facilities and associated 69/12 kV transformer.  </w:t>
      </w:r>
      <w:r w:rsidR="00F05482">
        <w:rPr>
          <w:sz w:val="26"/>
          <w:szCs w:val="26"/>
        </w:rPr>
        <w:t xml:space="preserve">PPL argues that, as such, </w:t>
      </w:r>
      <w:r w:rsidR="00F05482" w:rsidRPr="00CF6FA1">
        <w:rPr>
          <w:sz w:val="26"/>
          <w:szCs w:val="26"/>
        </w:rPr>
        <w:t xml:space="preserve">PPLICA’s </w:t>
      </w:r>
      <w:r w:rsidR="001368E7">
        <w:rPr>
          <w:sz w:val="26"/>
          <w:szCs w:val="26"/>
        </w:rPr>
        <w:t>newly</w:t>
      </w:r>
      <w:r w:rsidR="00F05482" w:rsidRPr="00CF6FA1">
        <w:rPr>
          <w:sz w:val="26"/>
          <w:szCs w:val="26"/>
        </w:rPr>
        <w:t xml:space="preserve"> discovered evidence is irrelevant to and would effectively moot </w:t>
      </w:r>
      <w:r w:rsidR="00F05482">
        <w:rPr>
          <w:sz w:val="26"/>
          <w:szCs w:val="26"/>
        </w:rPr>
        <w:t>PPLICA’s</w:t>
      </w:r>
      <w:r w:rsidR="00F05482" w:rsidRPr="00CF6FA1">
        <w:rPr>
          <w:sz w:val="26"/>
          <w:szCs w:val="26"/>
        </w:rPr>
        <w:t xml:space="preserve"> proposed negotiated rate for service at 12 kV.  </w:t>
      </w:r>
      <w:r w:rsidR="00F05482">
        <w:rPr>
          <w:sz w:val="26"/>
          <w:szCs w:val="26"/>
        </w:rPr>
        <w:t>PPL states that, i</w:t>
      </w:r>
      <w:r w:rsidR="00F05482" w:rsidRPr="00CF6FA1">
        <w:rPr>
          <w:sz w:val="26"/>
          <w:szCs w:val="26"/>
        </w:rPr>
        <w:t>f Donsco can qualify for service at 69 kV under Rate Schedule LP-5, it will achieve the distribution rate reduction it seeks at tariff</w:t>
      </w:r>
      <w:r w:rsidR="00F05482">
        <w:rPr>
          <w:sz w:val="26"/>
          <w:szCs w:val="26"/>
        </w:rPr>
        <w:t>ed</w:t>
      </w:r>
      <w:r w:rsidR="00F05482" w:rsidRPr="00CF6FA1">
        <w:rPr>
          <w:sz w:val="26"/>
          <w:szCs w:val="26"/>
        </w:rPr>
        <w:t xml:space="preserve"> rates, and there would be no need for PPLICA’s proposed special, negotiated, discounted rate for 12 kV service.  For these reasons</w:t>
      </w:r>
      <w:r w:rsidR="00F05482">
        <w:rPr>
          <w:sz w:val="26"/>
          <w:szCs w:val="26"/>
        </w:rPr>
        <w:t xml:space="preserve"> PPL argues</w:t>
      </w:r>
      <w:r w:rsidR="00F05482" w:rsidRPr="00CF6FA1">
        <w:rPr>
          <w:sz w:val="26"/>
          <w:szCs w:val="26"/>
        </w:rPr>
        <w:t>, PPLICA’s averment of newly discovered circumstances provides no basis for reconsideration or rehearing.</w:t>
      </w:r>
    </w:p>
    <w:p w:rsidR="00DF244D" w:rsidRDefault="00DF244D">
      <w:pPr>
        <w:autoSpaceDE w:val="0"/>
        <w:autoSpaceDN w:val="0"/>
        <w:adjustRightInd w:val="0"/>
        <w:spacing w:line="360" w:lineRule="auto"/>
        <w:ind w:firstLine="720"/>
        <w:rPr>
          <w:sz w:val="26"/>
          <w:szCs w:val="26"/>
        </w:rPr>
      </w:pPr>
    </w:p>
    <w:p w:rsidR="00F0179A" w:rsidRDefault="000676ED" w:rsidP="00F0179A">
      <w:pPr>
        <w:autoSpaceDE w:val="0"/>
        <w:autoSpaceDN w:val="0"/>
        <w:adjustRightInd w:val="0"/>
        <w:spacing w:line="360" w:lineRule="auto"/>
        <w:ind w:firstLine="1440"/>
        <w:rPr>
          <w:sz w:val="26"/>
          <w:szCs w:val="26"/>
        </w:rPr>
      </w:pPr>
      <w:r w:rsidRPr="000676ED">
        <w:rPr>
          <w:sz w:val="26"/>
          <w:szCs w:val="26"/>
        </w:rPr>
        <w:t>PPL asserts that PPLICA is not complaining of any rates proposed by PPL in the instant distribution rate proceeding, but rather that the contested rate increase results from the expiration in January 2010 of the Time-of-Use rate as a consequence of the unbundling of generation costs resulting from deregulation.  PPL acknowledges that distribution rates did increase as a result of restructuring.</w:t>
      </w:r>
      <w:r w:rsidRPr="000676ED">
        <w:rPr>
          <w:rStyle w:val="FootnoteReference"/>
          <w:sz w:val="26"/>
          <w:szCs w:val="26"/>
        </w:rPr>
        <w:footnoteReference w:id="12"/>
      </w:r>
      <w:r w:rsidRPr="000676ED">
        <w:rPr>
          <w:sz w:val="26"/>
          <w:szCs w:val="26"/>
        </w:rPr>
        <w:t xml:space="preserve">  PPL also asserts that Donsco may have benefited from EGS offers for generation supply, implying that the overall rate </w:t>
      </w:r>
      <w:r w:rsidRPr="000676ED">
        <w:rPr>
          <w:sz w:val="26"/>
          <w:szCs w:val="26"/>
        </w:rPr>
        <w:lastRenderedPageBreak/>
        <w:t>increase may not have been as great, and that it has not increased the rates for LP-4 customers.</w:t>
      </w:r>
      <w:r w:rsidR="006661CE">
        <w:t xml:space="preserve">  </w:t>
      </w:r>
      <w:r w:rsidRPr="000676ED">
        <w:rPr>
          <w:sz w:val="26"/>
          <w:szCs w:val="26"/>
        </w:rPr>
        <w:t xml:space="preserve">  </w:t>
      </w:r>
    </w:p>
    <w:p w:rsidR="009159A8" w:rsidRDefault="000676ED">
      <w:pPr>
        <w:autoSpaceDE w:val="0"/>
        <w:autoSpaceDN w:val="0"/>
        <w:adjustRightInd w:val="0"/>
        <w:spacing w:line="360" w:lineRule="auto"/>
        <w:ind w:firstLine="720"/>
        <w:rPr>
          <w:sz w:val="26"/>
          <w:szCs w:val="26"/>
        </w:rPr>
      </w:pPr>
      <w:r w:rsidRPr="000676ED">
        <w:rPr>
          <w:sz w:val="26"/>
          <w:szCs w:val="26"/>
        </w:rPr>
        <w:t xml:space="preserve">  </w:t>
      </w:r>
      <w:r w:rsidR="000217D3">
        <w:rPr>
          <w:sz w:val="26"/>
          <w:szCs w:val="26"/>
        </w:rPr>
        <w:tab/>
      </w:r>
    </w:p>
    <w:p w:rsidR="005C729A" w:rsidRDefault="003A714C" w:rsidP="000279E3">
      <w:pPr>
        <w:pStyle w:val="ListParagraph"/>
        <w:spacing w:line="360" w:lineRule="auto"/>
        <w:ind w:left="2160" w:hanging="720"/>
        <w:rPr>
          <w:b/>
          <w:sz w:val="26"/>
          <w:szCs w:val="26"/>
        </w:rPr>
      </w:pPr>
      <w:r w:rsidRPr="003A714C">
        <w:rPr>
          <w:b/>
          <w:sz w:val="26"/>
          <w:szCs w:val="26"/>
        </w:rPr>
        <w:t>Disposition</w:t>
      </w:r>
    </w:p>
    <w:p w:rsidR="003A714C" w:rsidRPr="003A714C" w:rsidRDefault="003A714C" w:rsidP="003A714C">
      <w:pPr>
        <w:pStyle w:val="ListParagraph"/>
        <w:spacing w:line="360" w:lineRule="auto"/>
        <w:ind w:left="2160"/>
        <w:rPr>
          <w:b/>
          <w:sz w:val="26"/>
          <w:szCs w:val="26"/>
        </w:rPr>
      </w:pPr>
    </w:p>
    <w:p w:rsidR="00F0179A" w:rsidRDefault="003D3780" w:rsidP="00F0179A">
      <w:pPr>
        <w:autoSpaceDE w:val="0"/>
        <w:autoSpaceDN w:val="0"/>
        <w:adjustRightInd w:val="0"/>
        <w:spacing w:line="360" w:lineRule="auto"/>
        <w:ind w:firstLine="1440"/>
        <w:rPr>
          <w:sz w:val="26"/>
          <w:szCs w:val="26"/>
        </w:rPr>
      </w:pPr>
      <w:r>
        <w:rPr>
          <w:sz w:val="26"/>
          <w:szCs w:val="26"/>
        </w:rPr>
        <w:t xml:space="preserve">We find that </w:t>
      </w:r>
      <w:r w:rsidR="001368E7">
        <w:rPr>
          <w:sz w:val="26"/>
          <w:szCs w:val="26"/>
        </w:rPr>
        <w:t>granting reconsideration</w:t>
      </w:r>
      <w:r w:rsidR="000C6ADE">
        <w:rPr>
          <w:sz w:val="26"/>
          <w:szCs w:val="26"/>
        </w:rPr>
        <w:t xml:space="preserve"> is necessary because </w:t>
      </w:r>
      <w:r w:rsidR="004E6068">
        <w:rPr>
          <w:sz w:val="26"/>
          <w:szCs w:val="26"/>
        </w:rPr>
        <w:t xml:space="preserve">the record is devoid of information that the Commission </w:t>
      </w:r>
      <w:r w:rsidR="000C6ADE">
        <w:rPr>
          <w:sz w:val="26"/>
          <w:szCs w:val="26"/>
        </w:rPr>
        <w:t>requires</w:t>
      </w:r>
      <w:r w:rsidR="004E6068">
        <w:rPr>
          <w:sz w:val="26"/>
          <w:szCs w:val="26"/>
        </w:rPr>
        <w:t xml:space="preserve"> to render a meaningful decision on the Donsco special rate issue. </w:t>
      </w:r>
      <w:r w:rsidR="0024695A">
        <w:rPr>
          <w:sz w:val="26"/>
          <w:szCs w:val="26"/>
        </w:rPr>
        <w:t xml:space="preserve"> </w:t>
      </w:r>
      <w:r w:rsidR="004E6068">
        <w:rPr>
          <w:sz w:val="26"/>
          <w:szCs w:val="26"/>
        </w:rPr>
        <w:t>PPLICA has established on the record that Donsco has experienced an extraordinary increase in its distribution rates.  T</w:t>
      </w:r>
      <w:r w:rsidR="000676ED" w:rsidRPr="000676ED">
        <w:rPr>
          <w:sz w:val="26"/>
          <w:szCs w:val="26"/>
        </w:rPr>
        <w:t>his Commission has always been receptive to mitigating excessive increases in overall rates</w:t>
      </w:r>
      <w:r w:rsidR="000C6ADE">
        <w:rPr>
          <w:sz w:val="26"/>
          <w:szCs w:val="26"/>
        </w:rPr>
        <w:t>.  Therefore, w</w:t>
      </w:r>
      <w:r w:rsidR="004E6068">
        <w:rPr>
          <w:sz w:val="26"/>
          <w:szCs w:val="26"/>
        </w:rPr>
        <w:t xml:space="preserve">e find it reasonable to remand this matter for further record development regarding </w:t>
      </w:r>
      <w:r w:rsidR="00310CCE">
        <w:rPr>
          <w:sz w:val="26"/>
          <w:szCs w:val="26"/>
        </w:rPr>
        <w:t xml:space="preserve">specific rate options for Donsco and calculated </w:t>
      </w:r>
      <w:r w:rsidR="000C6ADE">
        <w:rPr>
          <w:sz w:val="26"/>
          <w:szCs w:val="26"/>
        </w:rPr>
        <w:t xml:space="preserve">potential </w:t>
      </w:r>
      <w:r w:rsidR="00310CCE">
        <w:rPr>
          <w:sz w:val="26"/>
          <w:szCs w:val="26"/>
        </w:rPr>
        <w:t>rate impacts of same on other PPL customers</w:t>
      </w:r>
      <w:r w:rsidR="000676ED" w:rsidRPr="000676ED">
        <w:rPr>
          <w:sz w:val="26"/>
          <w:szCs w:val="26"/>
        </w:rPr>
        <w:t>.</w:t>
      </w:r>
      <w:r w:rsidR="00EB7B6E">
        <w:t xml:space="preserve">  </w:t>
      </w:r>
      <w:r w:rsidR="00BB6405">
        <w:rPr>
          <w:sz w:val="26"/>
          <w:szCs w:val="26"/>
        </w:rPr>
        <w:tab/>
      </w:r>
    </w:p>
    <w:p w:rsidR="009159A8" w:rsidRDefault="003C4EB8">
      <w:pPr>
        <w:autoSpaceDE w:val="0"/>
        <w:autoSpaceDN w:val="0"/>
        <w:adjustRightInd w:val="0"/>
        <w:spacing w:line="360" w:lineRule="auto"/>
        <w:ind w:firstLine="720"/>
        <w:rPr>
          <w:sz w:val="26"/>
          <w:szCs w:val="26"/>
        </w:rPr>
      </w:pPr>
      <w:r>
        <w:rPr>
          <w:sz w:val="26"/>
          <w:szCs w:val="26"/>
        </w:rPr>
        <w:tab/>
        <w:t xml:space="preserve">We conclude that a significant aspect of </w:t>
      </w:r>
      <w:r w:rsidR="000676ED" w:rsidRPr="000676ED">
        <w:rPr>
          <w:sz w:val="26"/>
          <w:szCs w:val="26"/>
        </w:rPr>
        <w:t xml:space="preserve">Section 2806(h) </w:t>
      </w:r>
      <w:r>
        <w:rPr>
          <w:sz w:val="26"/>
          <w:szCs w:val="26"/>
        </w:rPr>
        <w:t>of the Code</w:t>
      </w:r>
      <w:r>
        <w:rPr>
          <w:rStyle w:val="FootnoteReference"/>
          <w:sz w:val="26"/>
          <w:szCs w:val="26"/>
        </w:rPr>
        <w:footnoteReference w:id="13"/>
      </w:r>
      <w:r>
        <w:rPr>
          <w:sz w:val="26"/>
          <w:szCs w:val="26"/>
        </w:rPr>
        <w:t xml:space="preserve"> was </w:t>
      </w:r>
      <w:r w:rsidR="001368E7">
        <w:rPr>
          <w:sz w:val="26"/>
          <w:szCs w:val="26"/>
        </w:rPr>
        <w:t>not considered</w:t>
      </w:r>
      <w:r>
        <w:rPr>
          <w:sz w:val="26"/>
          <w:szCs w:val="26"/>
        </w:rPr>
        <w:t xml:space="preserve"> by the Commission in </w:t>
      </w:r>
      <w:r w:rsidR="000C6ADE">
        <w:rPr>
          <w:sz w:val="26"/>
          <w:szCs w:val="26"/>
        </w:rPr>
        <w:t xml:space="preserve">the </w:t>
      </w:r>
      <w:r w:rsidR="000676ED" w:rsidRPr="000676ED">
        <w:rPr>
          <w:i/>
          <w:sz w:val="26"/>
          <w:szCs w:val="26"/>
        </w:rPr>
        <w:t>December 21</w:t>
      </w:r>
      <w:r w:rsidR="00B044F2">
        <w:rPr>
          <w:i/>
          <w:sz w:val="26"/>
          <w:szCs w:val="26"/>
        </w:rPr>
        <w:t xml:space="preserve"> </w:t>
      </w:r>
      <w:r w:rsidR="000676ED" w:rsidRPr="000676ED">
        <w:rPr>
          <w:i/>
          <w:sz w:val="26"/>
          <w:szCs w:val="26"/>
        </w:rPr>
        <w:t>Order</w:t>
      </w:r>
      <w:r>
        <w:rPr>
          <w:sz w:val="26"/>
          <w:szCs w:val="26"/>
        </w:rPr>
        <w:t xml:space="preserve">.  Section 2806(h) </w:t>
      </w:r>
      <w:r w:rsidR="000C6ADE">
        <w:rPr>
          <w:sz w:val="26"/>
          <w:szCs w:val="26"/>
        </w:rPr>
        <w:t xml:space="preserve">of the Code </w:t>
      </w:r>
      <w:r w:rsidR="000676ED" w:rsidRPr="000676ED">
        <w:rPr>
          <w:sz w:val="26"/>
          <w:szCs w:val="26"/>
        </w:rPr>
        <w:t>provides the Commission with authority to “approve flexible pricing” and is an essential tool for exactly the type of situation</w:t>
      </w:r>
      <w:r>
        <w:rPr>
          <w:sz w:val="26"/>
          <w:szCs w:val="26"/>
        </w:rPr>
        <w:t xml:space="preserve"> presented by Donsco</w:t>
      </w:r>
      <w:r w:rsidR="000676ED" w:rsidRPr="000676ED">
        <w:rPr>
          <w:sz w:val="26"/>
          <w:szCs w:val="26"/>
        </w:rPr>
        <w:t>.  It lists permissible examples, but not an exhaustive list of flexible rates:</w:t>
      </w:r>
    </w:p>
    <w:p w:rsidR="009159A8" w:rsidRDefault="009159A8">
      <w:pPr>
        <w:autoSpaceDE w:val="0"/>
        <w:autoSpaceDN w:val="0"/>
        <w:adjustRightInd w:val="0"/>
        <w:spacing w:line="360" w:lineRule="auto"/>
        <w:ind w:firstLine="720"/>
        <w:rPr>
          <w:sz w:val="26"/>
          <w:szCs w:val="26"/>
        </w:rPr>
      </w:pPr>
    </w:p>
    <w:p w:rsidR="009159A8" w:rsidRDefault="000676ED">
      <w:pPr>
        <w:autoSpaceDE w:val="0"/>
        <w:autoSpaceDN w:val="0"/>
        <w:adjustRightInd w:val="0"/>
        <w:ind w:left="2160" w:right="1440"/>
        <w:rPr>
          <w:sz w:val="26"/>
          <w:szCs w:val="26"/>
        </w:rPr>
      </w:pPr>
      <w:r w:rsidRPr="000676ED">
        <w:rPr>
          <w:sz w:val="26"/>
          <w:szCs w:val="26"/>
        </w:rPr>
        <w:t>In addition to the implicit authority of the commission under section 501 (relating to general powers), the commission has the authority to approve flexible pricing and flexible rates, including negotiated, contract-based tariffs designed to meet the specific needs of a utility customer and to address competitive alternatives.</w:t>
      </w:r>
      <w:r w:rsidR="003C4EB8">
        <w:rPr>
          <w:rStyle w:val="FootnoteReference"/>
          <w:sz w:val="26"/>
          <w:szCs w:val="26"/>
        </w:rPr>
        <w:footnoteReference w:id="14"/>
      </w:r>
    </w:p>
    <w:p w:rsidR="009159A8" w:rsidRDefault="009159A8">
      <w:pPr>
        <w:autoSpaceDE w:val="0"/>
        <w:autoSpaceDN w:val="0"/>
        <w:adjustRightInd w:val="0"/>
        <w:spacing w:line="360" w:lineRule="auto"/>
        <w:ind w:firstLine="720"/>
        <w:rPr>
          <w:sz w:val="26"/>
          <w:szCs w:val="26"/>
        </w:rPr>
      </w:pPr>
    </w:p>
    <w:p w:rsidR="009159A8" w:rsidRDefault="00BB6405">
      <w:pPr>
        <w:autoSpaceDE w:val="0"/>
        <w:autoSpaceDN w:val="0"/>
        <w:adjustRightInd w:val="0"/>
        <w:spacing w:line="360" w:lineRule="auto"/>
        <w:ind w:firstLine="720"/>
        <w:rPr>
          <w:sz w:val="26"/>
          <w:szCs w:val="26"/>
        </w:rPr>
      </w:pPr>
      <w:r>
        <w:rPr>
          <w:sz w:val="26"/>
          <w:szCs w:val="26"/>
        </w:rPr>
        <w:tab/>
      </w:r>
      <w:r w:rsidR="000676ED" w:rsidRPr="000676ED">
        <w:rPr>
          <w:sz w:val="26"/>
          <w:szCs w:val="26"/>
        </w:rPr>
        <w:t xml:space="preserve">It may be necessary for EDCs to have the authority to promote new businesses in order to enhance higher system utilization, or maintain load on its system, </w:t>
      </w:r>
      <w:r w:rsidR="000676ED" w:rsidRPr="000676ED">
        <w:rPr>
          <w:sz w:val="26"/>
          <w:szCs w:val="26"/>
        </w:rPr>
        <w:lastRenderedPageBreak/>
        <w:t xml:space="preserve">to the long-term benefit of its distribution customers.  But the section is silent as to who may propose flexible pricing and flexible rates and thus is not limited solely to negotiated rates proposed by the EDC.  The language does not require that a flexible rate be agreed to by the parties but leaves open the possibility that one party may seek approval of the Commission for the establishment of flexible pricing.  Moreover, PPL’s reliance on Section 2807 is misplaced because that section deals with negotiated generation rates, not distribution rates.   </w:t>
      </w:r>
    </w:p>
    <w:p w:rsidR="009159A8" w:rsidRDefault="009159A8">
      <w:pPr>
        <w:autoSpaceDE w:val="0"/>
        <w:autoSpaceDN w:val="0"/>
        <w:adjustRightInd w:val="0"/>
        <w:spacing w:line="360" w:lineRule="auto"/>
        <w:ind w:firstLine="720"/>
        <w:rPr>
          <w:sz w:val="26"/>
          <w:szCs w:val="26"/>
        </w:rPr>
      </w:pPr>
    </w:p>
    <w:p w:rsidR="00B01197" w:rsidRDefault="003C4EB8">
      <w:pPr>
        <w:autoSpaceDE w:val="0"/>
        <w:autoSpaceDN w:val="0"/>
        <w:adjustRightInd w:val="0"/>
        <w:spacing w:line="360" w:lineRule="auto"/>
        <w:ind w:firstLine="720"/>
        <w:rPr>
          <w:sz w:val="26"/>
          <w:szCs w:val="26"/>
        </w:rPr>
      </w:pPr>
      <w:r>
        <w:rPr>
          <w:sz w:val="26"/>
          <w:szCs w:val="26"/>
        </w:rPr>
        <w:tab/>
      </w:r>
      <w:r w:rsidR="000676ED" w:rsidRPr="000676ED">
        <w:rPr>
          <w:sz w:val="26"/>
          <w:szCs w:val="26"/>
        </w:rPr>
        <w:t>PPL make</w:t>
      </w:r>
      <w:r w:rsidR="003138EB">
        <w:rPr>
          <w:sz w:val="26"/>
          <w:szCs w:val="26"/>
        </w:rPr>
        <w:t>s</w:t>
      </w:r>
      <w:r w:rsidR="000676ED" w:rsidRPr="000676ED">
        <w:rPr>
          <w:sz w:val="26"/>
          <w:szCs w:val="26"/>
        </w:rPr>
        <w:t xml:space="preserve"> reasonable arguments that not all of the necessary information is known to decide this case.  Donsco provided an estimate of the impact on other customers if its negotiated rate option were adopted</w:t>
      </w:r>
      <w:r>
        <w:rPr>
          <w:sz w:val="26"/>
          <w:szCs w:val="26"/>
        </w:rPr>
        <w:t>.</w:t>
      </w:r>
      <w:r w:rsidR="000676ED" w:rsidRPr="000676ED">
        <w:rPr>
          <w:rStyle w:val="FootnoteReference"/>
          <w:sz w:val="26"/>
          <w:szCs w:val="26"/>
        </w:rPr>
        <w:footnoteReference w:id="15"/>
      </w:r>
      <w:r w:rsidR="000676ED" w:rsidRPr="000676ED">
        <w:rPr>
          <w:sz w:val="26"/>
          <w:szCs w:val="26"/>
        </w:rPr>
        <w:t xml:space="preserve">  That estimate calculated an LP-4 rate increase from $2.128 per kW to $2.186 per kW, or an average bill impact of $29 per month for a 500 kW LP-4 customer.  But the Commission does not have adequate information to assess precisely the new rates or the impact of those rates on the other </w:t>
      </w:r>
    </w:p>
    <w:p w:rsidR="009159A8" w:rsidRDefault="000676ED" w:rsidP="00B01197">
      <w:pPr>
        <w:autoSpaceDE w:val="0"/>
        <w:autoSpaceDN w:val="0"/>
        <w:adjustRightInd w:val="0"/>
        <w:spacing w:line="360" w:lineRule="auto"/>
        <w:rPr>
          <w:sz w:val="26"/>
          <w:szCs w:val="26"/>
        </w:rPr>
      </w:pPr>
      <w:r w:rsidRPr="000676ED">
        <w:rPr>
          <w:sz w:val="26"/>
          <w:szCs w:val="26"/>
        </w:rPr>
        <w:t xml:space="preserve">LP-4 customers.    </w:t>
      </w:r>
    </w:p>
    <w:p w:rsidR="009159A8" w:rsidRDefault="009159A8">
      <w:pPr>
        <w:autoSpaceDE w:val="0"/>
        <w:autoSpaceDN w:val="0"/>
        <w:adjustRightInd w:val="0"/>
        <w:spacing w:line="360" w:lineRule="auto"/>
        <w:ind w:firstLine="720"/>
        <w:rPr>
          <w:sz w:val="26"/>
          <w:szCs w:val="26"/>
        </w:rPr>
      </w:pPr>
    </w:p>
    <w:p w:rsidR="009159A8" w:rsidRDefault="003C4EB8">
      <w:pPr>
        <w:autoSpaceDE w:val="0"/>
        <w:autoSpaceDN w:val="0"/>
        <w:adjustRightInd w:val="0"/>
        <w:spacing w:line="360" w:lineRule="auto"/>
        <w:ind w:firstLine="720"/>
        <w:rPr>
          <w:sz w:val="26"/>
          <w:szCs w:val="26"/>
        </w:rPr>
      </w:pPr>
      <w:r>
        <w:rPr>
          <w:sz w:val="26"/>
          <w:szCs w:val="26"/>
        </w:rPr>
        <w:tab/>
      </w:r>
      <w:r w:rsidR="000676ED" w:rsidRPr="000676ED">
        <w:rPr>
          <w:sz w:val="26"/>
          <w:szCs w:val="26"/>
        </w:rPr>
        <w:t>Donsco testified that it sought a negotiated charge at the Rate Schedule LP-5 rate plus a fee to recover the operations and maintenance expenses on the 12 kV lines from the North Columbia substation to the Donsco facility, including the dedicated transformation equipment.  Unfortunately, the record does not disclose what these operational and maintenance (O&amp;M) costs would be.  Without this information, we cannot calculate what the actual rate requested would be.  Therefore, a remand is necessary and within our discretion.  PPL should provide information on the annual O&amp;M costs of the dedicated facilities, including the 69-12k</w:t>
      </w:r>
      <w:r w:rsidR="00EC726F">
        <w:rPr>
          <w:sz w:val="26"/>
          <w:szCs w:val="26"/>
        </w:rPr>
        <w:t>V</w:t>
      </w:r>
      <w:r w:rsidR="000676ED" w:rsidRPr="000676ED">
        <w:rPr>
          <w:sz w:val="26"/>
          <w:szCs w:val="26"/>
        </w:rPr>
        <w:t xml:space="preserve"> dedicated transformer, and on any outstanding capital to date not paid by Donsco for these facilities.  The Commission can then render a more informed decision on the rate impact upon Donsco and the other LP-4 customers.  Rate impacts on other customers’ current rates and future rates should Donsco curtail or terminate current service should be considered.   </w:t>
      </w:r>
    </w:p>
    <w:p w:rsidR="009159A8" w:rsidRDefault="009159A8">
      <w:pPr>
        <w:autoSpaceDE w:val="0"/>
        <w:autoSpaceDN w:val="0"/>
        <w:adjustRightInd w:val="0"/>
        <w:spacing w:line="360" w:lineRule="auto"/>
        <w:ind w:firstLine="720"/>
        <w:rPr>
          <w:sz w:val="26"/>
          <w:szCs w:val="26"/>
        </w:rPr>
      </w:pPr>
    </w:p>
    <w:p w:rsidR="005246A8" w:rsidRDefault="000676ED" w:rsidP="005246A8">
      <w:pPr>
        <w:pStyle w:val="BodyText2"/>
        <w:spacing w:line="360" w:lineRule="auto"/>
        <w:ind w:firstLine="1440"/>
        <w:jc w:val="left"/>
        <w:rPr>
          <w:sz w:val="26"/>
          <w:szCs w:val="26"/>
        </w:rPr>
      </w:pPr>
      <w:r w:rsidRPr="000676ED">
        <w:rPr>
          <w:sz w:val="26"/>
          <w:szCs w:val="26"/>
        </w:rPr>
        <w:t>It now appears that PennDOT may entertain the possibility of authorizing right of way and bridge occupancy permits for Donsco as a non-utility "</w:t>
      </w:r>
      <w:r w:rsidR="005246A8">
        <w:rPr>
          <w:sz w:val="26"/>
          <w:szCs w:val="26"/>
        </w:rPr>
        <w:t>b</w:t>
      </w:r>
      <w:r w:rsidR="00506F64" w:rsidRPr="00BB6405">
        <w:rPr>
          <w:sz w:val="26"/>
          <w:szCs w:val="26"/>
        </w:rPr>
        <w:t>(</w:t>
      </w:r>
      <w:r w:rsidRPr="000676ED">
        <w:rPr>
          <w:sz w:val="26"/>
          <w:szCs w:val="26"/>
        </w:rPr>
        <w:t xml:space="preserve">2)" applicant.   </w:t>
      </w:r>
      <w:r w:rsidRPr="000676ED">
        <w:rPr>
          <w:i/>
          <w:sz w:val="26"/>
          <w:szCs w:val="26"/>
        </w:rPr>
        <w:t>See</w:t>
      </w:r>
      <w:r w:rsidR="00EC726F">
        <w:rPr>
          <w:i/>
          <w:sz w:val="26"/>
          <w:szCs w:val="26"/>
        </w:rPr>
        <w:t>,</w:t>
      </w:r>
      <w:r w:rsidRPr="000676ED">
        <w:rPr>
          <w:sz w:val="26"/>
          <w:szCs w:val="26"/>
        </w:rPr>
        <w:t xml:space="preserve"> 67 Pa. Code §§ 459.10(a), 459.3(b</w:t>
      </w:r>
      <w:r w:rsidR="00506F64" w:rsidRPr="00BB6405">
        <w:rPr>
          <w:sz w:val="26"/>
          <w:szCs w:val="26"/>
        </w:rPr>
        <w:t>)(</w:t>
      </w:r>
      <w:r w:rsidRPr="000676ED">
        <w:rPr>
          <w:sz w:val="26"/>
          <w:szCs w:val="26"/>
        </w:rPr>
        <w:t xml:space="preserve">2).  The </w:t>
      </w:r>
      <w:r w:rsidR="004A2F0C">
        <w:rPr>
          <w:sz w:val="26"/>
          <w:szCs w:val="26"/>
        </w:rPr>
        <w:t>P</w:t>
      </w:r>
      <w:r w:rsidRPr="000676ED">
        <w:rPr>
          <w:sz w:val="26"/>
          <w:szCs w:val="26"/>
        </w:rPr>
        <w:t xml:space="preserve">arties should consider whether this development, combined with a Donsco revenue guarantee, would provide a solution to Donsco’s needs.  </w:t>
      </w:r>
      <w:r w:rsidR="005246A8">
        <w:rPr>
          <w:sz w:val="26"/>
          <w:szCs w:val="26"/>
        </w:rPr>
        <w:t xml:space="preserve">We also request that the </w:t>
      </w:r>
      <w:r w:rsidR="004A2F0C">
        <w:rPr>
          <w:sz w:val="26"/>
          <w:szCs w:val="26"/>
        </w:rPr>
        <w:t>P</w:t>
      </w:r>
      <w:r w:rsidR="005246A8">
        <w:rPr>
          <w:sz w:val="26"/>
          <w:szCs w:val="26"/>
        </w:rPr>
        <w:t>arties address</w:t>
      </w:r>
      <w:r w:rsidR="005246A8" w:rsidRPr="008D242B">
        <w:rPr>
          <w:sz w:val="26"/>
          <w:szCs w:val="26"/>
        </w:rPr>
        <w:t xml:space="preserve"> </w:t>
      </w:r>
      <w:r w:rsidR="005246A8">
        <w:rPr>
          <w:sz w:val="26"/>
          <w:szCs w:val="26"/>
        </w:rPr>
        <w:t>before the ALJ the issue of whether</w:t>
      </w:r>
      <w:r w:rsidR="005246A8" w:rsidRPr="008D242B">
        <w:rPr>
          <w:sz w:val="26"/>
          <w:szCs w:val="26"/>
        </w:rPr>
        <w:t xml:space="preserve"> Donsco</w:t>
      </w:r>
      <w:r w:rsidR="005246A8">
        <w:rPr>
          <w:sz w:val="26"/>
          <w:szCs w:val="26"/>
        </w:rPr>
        <w:t>’s</w:t>
      </w:r>
      <w:r w:rsidR="005246A8" w:rsidRPr="008D242B">
        <w:rPr>
          <w:sz w:val="26"/>
          <w:szCs w:val="26"/>
        </w:rPr>
        <w:t xml:space="preserve"> successful implement</w:t>
      </w:r>
      <w:r w:rsidR="005246A8">
        <w:rPr>
          <w:sz w:val="26"/>
          <w:szCs w:val="26"/>
        </w:rPr>
        <w:t>at</w:t>
      </w:r>
      <w:r w:rsidR="005246A8" w:rsidRPr="008D242B">
        <w:rPr>
          <w:sz w:val="26"/>
          <w:szCs w:val="26"/>
        </w:rPr>
        <w:t>i</w:t>
      </w:r>
      <w:r w:rsidR="005246A8">
        <w:rPr>
          <w:sz w:val="26"/>
          <w:szCs w:val="26"/>
        </w:rPr>
        <w:t>o</w:t>
      </w:r>
      <w:r w:rsidR="005246A8" w:rsidRPr="008D242B">
        <w:rPr>
          <w:sz w:val="26"/>
          <w:szCs w:val="26"/>
        </w:rPr>
        <w:t xml:space="preserve">n </w:t>
      </w:r>
      <w:r w:rsidR="005246A8">
        <w:rPr>
          <w:sz w:val="26"/>
          <w:szCs w:val="26"/>
        </w:rPr>
        <w:t xml:space="preserve">of </w:t>
      </w:r>
      <w:r w:rsidR="005246A8" w:rsidRPr="008D242B">
        <w:rPr>
          <w:sz w:val="26"/>
          <w:szCs w:val="26"/>
        </w:rPr>
        <w:t xml:space="preserve">a plan </w:t>
      </w:r>
      <w:r w:rsidR="005246A8">
        <w:rPr>
          <w:sz w:val="26"/>
          <w:szCs w:val="26"/>
        </w:rPr>
        <w:t xml:space="preserve">utilizing PennDOT approvals </w:t>
      </w:r>
      <w:r w:rsidR="005246A8" w:rsidRPr="008D242B">
        <w:rPr>
          <w:sz w:val="26"/>
          <w:szCs w:val="26"/>
        </w:rPr>
        <w:t xml:space="preserve">to </w:t>
      </w:r>
      <w:r w:rsidR="005246A8">
        <w:rPr>
          <w:sz w:val="26"/>
          <w:szCs w:val="26"/>
        </w:rPr>
        <w:t xml:space="preserve">qualify for </w:t>
      </w:r>
      <w:r w:rsidR="005246A8" w:rsidRPr="008D242B">
        <w:rPr>
          <w:sz w:val="26"/>
          <w:szCs w:val="26"/>
        </w:rPr>
        <w:t>69 kV service</w:t>
      </w:r>
      <w:r w:rsidR="005246A8">
        <w:rPr>
          <w:sz w:val="26"/>
          <w:szCs w:val="26"/>
        </w:rPr>
        <w:t xml:space="preserve"> under PPL’s Rate Schedule LP-5</w:t>
      </w:r>
      <w:r w:rsidR="005246A8" w:rsidRPr="008D242B">
        <w:rPr>
          <w:sz w:val="26"/>
          <w:szCs w:val="26"/>
        </w:rPr>
        <w:t xml:space="preserve">, </w:t>
      </w:r>
      <w:r w:rsidR="005246A8">
        <w:rPr>
          <w:sz w:val="26"/>
          <w:szCs w:val="26"/>
        </w:rPr>
        <w:t xml:space="preserve">would render </w:t>
      </w:r>
      <w:r w:rsidR="005246A8" w:rsidRPr="008D242B">
        <w:rPr>
          <w:sz w:val="26"/>
          <w:szCs w:val="26"/>
        </w:rPr>
        <w:t>its request for a special LP-4 SI rate moot</w:t>
      </w:r>
      <w:r w:rsidR="005246A8">
        <w:rPr>
          <w:sz w:val="26"/>
          <w:szCs w:val="26"/>
        </w:rPr>
        <w:t>.</w:t>
      </w:r>
    </w:p>
    <w:p w:rsidR="00DF244D" w:rsidRDefault="00DF244D" w:rsidP="005246A8">
      <w:pPr>
        <w:pStyle w:val="BodyText2"/>
        <w:spacing w:line="360" w:lineRule="auto"/>
        <w:ind w:firstLine="1440"/>
        <w:jc w:val="left"/>
        <w:rPr>
          <w:sz w:val="26"/>
          <w:szCs w:val="26"/>
        </w:rPr>
      </w:pPr>
    </w:p>
    <w:p w:rsidR="00C20B02" w:rsidRDefault="007C65B5" w:rsidP="00CE62E7">
      <w:pPr>
        <w:spacing w:line="360" w:lineRule="auto"/>
        <w:ind w:firstLine="1440"/>
        <w:rPr>
          <w:sz w:val="26"/>
          <w:szCs w:val="26"/>
        </w:rPr>
      </w:pPr>
      <w:r>
        <w:rPr>
          <w:sz w:val="26"/>
          <w:szCs w:val="26"/>
        </w:rPr>
        <w:t xml:space="preserve">With regard to </w:t>
      </w:r>
      <w:r w:rsidRPr="00460569">
        <w:rPr>
          <w:sz w:val="26"/>
          <w:szCs w:val="26"/>
        </w:rPr>
        <w:t>PPL</w:t>
      </w:r>
      <w:r>
        <w:rPr>
          <w:sz w:val="26"/>
          <w:szCs w:val="26"/>
        </w:rPr>
        <w:t xml:space="preserve">’s </w:t>
      </w:r>
      <w:r w:rsidRPr="00460569">
        <w:rPr>
          <w:sz w:val="26"/>
          <w:szCs w:val="26"/>
        </w:rPr>
        <w:t>argu</w:t>
      </w:r>
      <w:r>
        <w:rPr>
          <w:sz w:val="26"/>
          <w:szCs w:val="26"/>
        </w:rPr>
        <w:t>ment</w:t>
      </w:r>
      <w:r w:rsidRPr="00460569">
        <w:rPr>
          <w:sz w:val="26"/>
          <w:szCs w:val="26"/>
        </w:rPr>
        <w:t xml:space="preserve"> that it may be discriminatory to offer a discount when other customers have paid capital in order to qualify for the desired LP-5 rates</w:t>
      </w:r>
      <w:r w:rsidR="00EC726F">
        <w:rPr>
          <w:sz w:val="26"/>
          <w:szCs w:val="26"/>
        </w:rPr>
        <w:t>,</w:t>
      </w:r>
      <w:r>
        <w:rPr>
          <w:sz w:val="26"/>
          <w:szCs w:val="26"/>
        </w:rPr>
        <w:t xml:space="preserve"> and </w:t>
      </w:r>
      <w:r w:rsidRPr="00460569">
        <w:rPr>
          <w:sz w:val="26"/>
          <w:szCs w:val="26"/>
        </w:rPr>
        <w:t>PPL</w:t>
      </w:r>
      <w:r>
        <w:rPr>
          <w:sz w:val="26"/>
          <w:szCs w:val="26"/>
        </w:rPr>
        <w:t>’s</w:t>
      </w:r>
      <w:r w:rsidRPr="00460569">
        <w:rPr>
          <w:sz w:val="26"/>
          <w:szCs w:val="26"/>
        </w:rPr>
        <w:t xml:space="preserve"> cit</w:t>
      </w:r>
      <w:r w:rsidR="00EC726F">
        <w:rPr>
          <w:sz w:val="26"/>
          <w:szCs w:val="26"/>
        </w:rPr>
        <w:t xml:space="preserve">ation of </w:t>
      </w:r>
      <w:r w:rsidRPr="00460569">
        <w:rPr>
          <w:sz w:val="26"/>
          <w:szCs w:val="26"/>
        </w:rPr>
        <w:t>three such customers</w:t>
      </w:r>
      <w:r w:rsidR="00C20B02">
        <w:rPr>
          <w:sz w:val="26"/>
          <w:szCs w:val="26"/>
        </w:rPr>
        <w:t xml:space="preserve">, we observe that </w:t>
      </w:r>
      <w:r w:rsidRPr="00460569">
        <w:rPr>
          <w:sz w:val="26"/>
          <w:szCs w:val="26"/>
        </w:rPr>
        <w:t xml:space="preserve">two of those customer upgrades were $1.7 million or less, which is consistent with the investment already made by Donsco, while one upgrade was for $7.5 million.  </w:t>
      </w:r>
      <w:r w:rsidR="00C20B02">
        <w:rPr>
          <w:sz w:val="26"/>
          <w:szCs w:val="26"/>
        </w:rPr>
        <w:t>In addition, n</w:t>
      </w:r>
      <w:r w:rsidRPr="00460569">
        <w:rPr>
          <w:sz w:val="26"/>
          <w:szCs w:val="26"/>
        </w:rPr>
        <w:t xml:space="preserve">one of the three customers had existing lines solely dedicated to their existing service, and largely paid for, as does Donsco.  </w:t>
      </w:r>
      <w:r w:rsidR="00C20B02">
        <w:rPr>
          <w:sz w:val="26"/>
          <w:szCs w:val="26"/>
        </w:rPr>
        <w:t>Notably, the record is clear that the</w:t>
      </w:r>
      <w:r w:rsidRPr="00460569">
        <w:rPr>
          <w:sz w:val="26"/>
          <w:szCs w:val="26"/>
        </w:rPr>
        <w:t xml:space="preserve"> remaining </w:t>
      </w:r>
      <w:r w:rsidR="00EC726F">
        <w:rPr>
          <w:sz w:val="26"/>
          <w:szCs w:val="26"/>
        </w:rPr>
        <w:t>172</w:t>
      </w:r>
      <w:r w:rsidR="00C20B02">
        <w:rPr>
          <w:sz w:val="26"/>
          <w:szCs w:val="26"/>
        </w:rPr>
        <w:t xml:space="preserve"> Rate Schedule </w:t>
      </w:r>
      <w:r w:rsidRPr="00460569">
        <w:rPr>
          <w:sz w:val="26"/>
          <w:szCs w:val="26"/>
        </w:rPr>
        <w:t>LP-5, LP-6 and IS-T customers have not been required to pay for any facilities since 1996.</w:t>
      </w:r>
      <w:r w:rsidR="00867C7D">
        <w:rPr>
          <w:sz w:val="26"/>
          <w:szCs w:val="26"/>
        </w:rPr>
        <w:t xml:space="preserve">  </w:t>
      </w:r>
    </w:p>
    <w:p w:rsidR="00C20B02" w:rsidRDefault="00C20B02" w:rsidP="00CE62E7">
      <w:pPr>
        <w:spacing w:line="360" w:lineRule="auto"/>
        <w:ind w:firstLine="1440"/>
        <w:rPr>
          <w:sz w:val="26"/>
          <w:szCs w:val="26"/>
        </w:rPr>
      </w:pPr>
    </w:p>
    <w:p w:rsidR="00025685" w:rsidRDefault="00310CCE" w:rsidP="00025685">
      <w:pPr>
        <w:spacing w:line="360" w:lineRule="auto"/>
        <w:ind w:firstLine="1440"/>
        <w:rPr>
          <w:sz w:val="26"/>
          <w:szCs w:val="26"/>
        </w:rPr>
      </w:pPr>
      <w:r>
        <w:rPr>
          <w:sz w:val="26"/>
          <w:szCs w:val="26"/>
        </w:rPr>
        <w:t xml:space="preserve">As described above, </w:t>
      </w:r>
      <w:proofErr w:type="spellStart"/>
      <w:r>
        <w:rPr>
          <w:sz w:val="26"/>
          <w:szCs w:val="26"/>
        </w:rPr>
        <w:t>Donsco</w:t>
      </w:r>
      <w:proofErr w:type="spellEnd"/>
      <w:r>
        <w:rPr>
          <w:sz w:val="26"/>
          <w:szCs w:val="26"/>
        </w:rPr>
        <w:t xml:space="preserve"> is somewhat unique in its circumstances.  </w:t>
      </w:r>
      <w:r w:rsidR="00025685" w:rsidRPr="00460569">
        <w:rPr>
          <w:sz w:val="26"/>
          <w:szCs w:val="26"/>
        </w:rPr>
        <w:t xml:space="preserve">Given the </w:t>
      </w:r>
      <w:r w:rsidR="000A04F6">
        <w:rPr>
          <w:sz w:val="26"/>
          <w:szCs w:val="26"/>
        </w:rPr>
        <w:t>evidence of Donsco’s marked distribution rate increases</w:t>
      </w:r>
      <w:r w:rsidR="00025685" w:rsidRPr="00460569">
        <w:rPr>
          <w:sz w:val="26"/>
          <w:szCs w:val="26"/>
        </w:rPr>
        <w:t xml:space="preserve">, </w:t>
      </w:r>
      <w:r w:rsidR="000A04F6">
        <w:rPr>
          <w:sz w:val="26"/>
          <w:szCs w:val="26"/>
        </w:rPr>
        <w:t>we find that PPLICA h</w:t>
      </w:r>
      <w:r w:rsidR="00025685" w:rsidRPr="00460569">
        <w:rPr>
          <w:sz w:val="26"/>
          <w:szCs w:val="26"/>
        </w:rPr>
        <w:t>as demonstrated reasoned arguments for this Commission to consider the rate relief requested.</w:t>
      </w:r>
      <w:r w:rsidR="003138EB">
        <w:rPr>
          <w:sz w:val="26"/>
          <w:szCs w:val="26"/>
        </w:rPr>
        <w:t xml:space="preserve">  Our remand will supply crucial information to make a decision that is well-informed and addresses not only </w:t>
      </w:r>
      <w:r w:rsidR="00EC726F">
        <w:rPr>
          <w:sz w:val="26"/>
          <w:szCs w:val="26"/>
        </w:rPr>
        <w:t xml:space="preserve">the </w:t>
      </w:r>
      <w:r w:rsidR="003138EB">
        <w:rPr>
          <w:sz w:val="26"/>
          <w:szCs w:val="26"/>
        </w:rPr>
        <w:t>potential relief for Donsco, but the impact on other PP</w:t>
      </w:r>
      <w:r w:rsidR="005C7EAD">
        <w:rPr>
          <w:sz w:val="26"/>
          <w:szCs w:val="26"/>
        </w:rPr>
        <w:t>L</w:t>
      </w:r>
      <w:r w:rsidR="003138EB">
        <w:rPr>
          <w:sz w:val="26"/>
          <w:szCs w:val="26"/>
        </w:rPr>
        <w:t xml:space="preserve"> customers that must be considered.</w:t>
      </w:r>
    </w:p>
    <w:p w:rsidR="00025685" w:rsidRDefault="00025685" w:rsidP="00025685">
      <w:pPr>
        <w:spacing w:line="360" w:lineRule="auto"/>
        <w:ind w:firstLine="1440"/>
        <w:rPr>
          <w:sz w:val="26"/>
          <w:szCs w:val="26"/>
        </w:rPr>
      </w:pPr>
    </w:p>
    <w:p w:rsidR="004A2F0C" w:rsidRDefault="000A04F6" w:rsidP="005C729A">
      <w:pPr>
        <w:spacing w:line="360" w:lineRule="auto"/>
        <w:ind w:firstLine="1440"/>
        <w:rPr>
          <w:sz w:val="26"/>
          <w:szCs w:val="26"/>
        </w:rPr>
      </w:pPr>
      <w:r>
        <w:rPr>
          <w:sz w:val="26"/>
          <w:szCs w:val="26"/>
        </w:rPr>
        <w:t xml:space="preserve">We find </w:t>
      </w:r>
      <w:r w:rsidR="00506F64">
        <w:rPr>
          <w:sz w:val="26"/>
          <w:szCs w:val="26"/>
        </w:rPr>
        <w:t xml:space="preserve">that </w:t>
      </w:r>
      <w:r w:rsidR="00967C7A">
        <w:rPr>
          <w:sz w:val="26"/>
          <w:szCs w:val="26"/>
        </w:rPr>
        <w:t xml:space="preserve">PPL has reviewed </w:t>
      </w:r>
      <w:r w:rsidR="003138EB">
        <w:rPr>
          <w:sz w:val="26"/>
          <w:szCs w:val="26"/>
        </w:rPr>
        <w:t xml:space="preserve">various rate and service </w:t>
      </w:r>
      <w:r w:rsidR="00967C7A">
        <w:rPr>
          <w:sz w:val="26"/>
          <w:szCs w:val="26"/>
        </w:rPr>
        <w:t xml:space="preserve">alternatives with Donsco.  </w:t>
      </w:r>
      <w:r w:rsidR="00D9649E">
        <w:rPr>
          <w:sz w:val="26"/>
          <w:szCs w:val="26"/>
        </w:rPr>
        <w:t>The fact that PPL’s and Donsco’s discussions have not been fruitful do</w:t>
      </w:r>
      <w:r w:rsidR="007A6E61">
        <w:rPr>
          <w:sz w:val="26"/>
          <w:szCs w:val="26"/>
        </w:rPr>
        <w:t>es</w:t>
      </w:r>
      <w:r w:rsidR="00D9649E">
        <w:rPr>
          <w:sz w:val="26"/>
          <w:szCs w:val="26"/>
        </w:rPr>
        <w:t xml:space="preserve"> not </w:t>
      </w:r>
      <w:r w:rsidR="00D9649E">
        <w:rPr>
          <w:sz w:val="26"/>
          <w:szCs w:val="26"/>
        </w:rPr>
        <w:lastRenderedPageBreak/>
        <w:t xml:space="preserve">translate into PPL being unresponsive.  </w:t>
      </w:r>
      <w:r>
        <w:rPr>
          <w:sz w:val="26"/>
          <w:szCs w:val="26"/>
        </w:rPr>
        <w:t xml:space="preserve">We urge the </w:t>
      </w:r>
      <w:proofErr w:type="gramStart"/>
      <w:r w:rsidR="004A2F0C">
        <w:rPr>
          <w:sz w:val="26"/>
          <w:szCs w:val="26"/>
        </w:rPr>
        <w:t>P</w:t>
      </w:r>
      <w:r>
        <w:rPr>
          <w:sz w:val="26"/>
          <w:szCs w:val="26"/>
        </w:rPr>
        <w:t>arties,</w:t>
      </w:r>
      <w:proofErr w:type="gramEnd"/>
      <w:r>
        <w:rPr>
          <w:sz w:val="26"/>
          <w:szCs w:val="26"/>
        </w:rPr>
        <w:t xml:space="preserve"> however, to continue the difficult work of finding a solution to </w:t>
      </w:r>
      <w:proofErr w:type="spellStart"/>
      <w:r>
        <w:rPr>
          <w:sz w:val="26"/>
          <w:szCs w:val="26"/>
        </w:rPr>
        <w:t>Donsco’s</w:t>
      </w:r>
      <w:proofErr w:type="spellEnd"/>
      <w:r>
        <w:rPr>
          <w:sz w:val="26"/>
          <w:szCs w:val="26"/>
        </w:rPr>
        <w:t xml:space="preserve"> circumstances</w:t>
      </w:r>
      <w:r w:rsidR="00BB6405">
        <w:rPr>
          <w:sz w:val="26"/>
          <w:szCs w:val="26"/>
        </w:rPr>
        <w:t xml:space="preserve"> that would not work to the significant </w:t>
      </w:r>
      <w:r w:rsidR="00506F64">
        <w:rPr>
          <w:sz w:val="26"/>
          <w:szCs w:val="26"/>
        </w:rPr>
        <w:t>detriment</w:t>
      </w:r>
      <w:r w:rsidR="00BB6405">
        <w:rPr>
          <w:sz w:val="26"/>
          <w:szCs w:val="26"/>
        </w:rPr>
        <w:t xml:space="preserve"> of other customers.</w:t>
      </w:r>
    </w:p>
    <w:p w:rsidR="005C729A" w:rsidRDefault="00BB6405" w:rsidP="005C729A">
      <w:pPr>
        <w:spacing w:line="360" w:lineRule="auto"/>
        <w:ind w:firstLine="1440"/>
        <w:rPr>
          <w:sz w:val="26"/>
          <w:szCs w:val="26"/>
        </w:rPr>
      </w:pPr>
      <w:r>
        <w:rPr>
          <w:sz w:val="26"/>
          <w:szCs w:val="26"/>
        </w:rPr>
        <w:t xml:space="preserve"> </w:t>
      </w:r>
      <w:r w:rsidR="000A04F6">
        <w:rPr>
          <w:sz w:val="26"/>
          <w:szCs w:val="26"/>
        </w:rPr>
        <w:t xml:space="preserve"> </w:t>
      </w:r>
    </w:p>
    <w:p w:rsidR="005246A8" w:rsidRDefault="005246A8" w:rsidP="005246A8">
      <w:pPr>
        <w:pStyle w:val="ListNumber"/>
        <w:numPr>
          <w:ilvl w:val="0"/>
          <w:numId w:val="0"/>
        </w:numPr>
        <w:spacing w:line="360" w:lineRule="auto"/>
        <w:ind w:firstLine="1440"/>
        <w:rPr>
          <w:sz w:val="26"/>
          <w:szCs w:val="26"/>
        </w:rPr>
      </w:pPr>
      <w:r>
        <w:rPr>
          <w:sz w:val="26"/>
          <w:szCs w:val="26"/>
        </w:rPr>
        <w:t xml:space="preserve">We emphasize that the </w:t>
      </w:r>
      <w:r w:rsidR="004A2F0C">
        <w:rPr>
          <w:sz w:val="26"/>
          <w:szCs w:val="26"/>
        </w:rPr>
        <w:t>P</w:t>
      </w:r>
      <w:r>
        <w:rPr>
          <w:sz w:val="26"/>
          <w:szCs w:val="26"/>
        </w:rPr>
        <w:t xml:space="preserve">arties should build the most complete evidentiary record possible.  This will foster a thorough review by the presiding officer in her recommended decision </w:t>
      </w:r>
      <w:r w:rsidR="00EC726F">
        <w:rPr>
          <w:sz w:val="26"/>
          <w:szCs w:val="26"/>
        </w:rPr>
        <w:t xml:space="preserve">on remand </w:t>
      </w:r>
      <w:r>
        <w:rPr>
          <w:sz w:val="26"/>
          <w:szCs w:val="26"/>
        </w:rPr>
        <w:t xml:space="preserve">and facilitate the Commission’s ultimate review, in the event exceptions to the ALJ’s decision are filed.     </w:t>
      </w:r>
    </w:p>
    <w:p w:rsidR="005510FA" w:rsidRDefault="005510FA">
      <w:pPr>
        <w:spacing w:line="360" w:lineRule="auto"/>
        <w:ind w:firstLine="1440"/>
        <w:rPr>
          <w:sz w:val="26"/>
          <w:szCs w:val="26"/>
        </w:rPr>
      </w:pPr>
    </w:p>
    <w:p w:rsidR="005C729A" w:rsidRDefault="00113209">
      <w:pPr>
        <w:spacing w:line="360" w:lineRule="auto"/>
        <w:ind w:firstLine="1440"/>
        <w:rPr>
          <w:sz w:val="26"/>
          <w:szCs w:val="26"/>
        </w:rPr>
      </w:pPr>
      <w:r>
        <w:rPr>
          <w:sz w:val="26"/>
          <w:szCs w:val="26"/>
        </w:rPr>
        <w:t>Finally, w</w:t>
      </w:r>
      <w:r w:rsidR="00CD0395">
        <w:rPr>
          <w:sz w:val="26"/>
          <w:szCs w:val="26"/>
        </w:rPr>
        <w:t>e</w:t>
      </w:r>
      <w:r w:rsidR="00B212E2">
        <w:rPr>
          <w:sz w:val="26"/>
          <w:szCs w:val="26"/>
        </w:rPr>
        <w:t xml:space="preserve"> reject PPL’s argument that Section 2807(e</w:t>
      </w:r>
      <w:r w:rsidR="00506F64">
        <w:rPr>
          <w:sz w:val="26"/>
          <w:szCs w:val="26"/>
        </w:rPr>
        <w:t>)(</w:t>
      </w:r>
      <w:r w:rsidR="00B212E2">
        <w:rPr>
          <w:sz w:val="26"/>
          <w:szCs w:val="26"/>
        </w:rPr>
        <w:t>5</w:t>
      </w:r>
      <w:r w:rsidR="00506F64">
        <w:rPr>
          <w:sz w:val="26"/>
          <w:szCs w:val="26"/>
        </w:rPr>
        <w:t>)(</w:t>
      </w:r>
      <w:r w:rsidR="00B212E2">
        <w:rPr>
          <w:sz w:val="26"/>
          <w:szCs w:val="26"/>
        </w:rPr>
        <w:t>i) of the Code is controlling of whether an EDC has the sole discretion to discount its distribution rates.  Section 2807(e</w:t>
      </w:r>
      <w:proofErr w:type="gramStart"/>
      <w:r w:rsidR="00B212E2">
        <w:rPr>
          <w:sz w:val="26"/>
          <w:szCs w:val="26"/>
        </w:rPr>
        <w:t>)(</w:t>
      </w:r>
      <w:proofErr w:type="gramEnd"/>
      <w:r w:rsidR="00B212E2">
        <w:rPr>
          <w:sz w:val="26"/>
          <w:szCs w:val="26"/>
        </w:rPr>
        <w:t>5)(</w:t>
      </w:r>
      <w:proofErr w:type="spellStart"/>
      <w:r w:rsidR="00B212E2">
        <w:rPr>
          <w:sz w:val="26"/>
          <w:szCs w:val="26"/>
        </w:rPr>
        <w:t>i</w:t>
      </w:r>
      <w:proofErr w:type="spellEnd"/>
      <w:r w:rsidR="00B212E2">
        <w:rPr>
          <w:sz w:val="26"/>
          <w:szCs w:val="26"/>
        </w:rPr>
        <w:t>) is irrelevant to the question of whether distribution rates may be discounted by an EDC.  Close examination of that Section demonstrates that it applies solely to electric supply</w:t>
      </w:r>
      <w:r w:rsidR="00F90895">
        <w:rPr>
          <w:sz w:val="26"/>
          <w:szCs w:val="26"/>
        </w:rPr>
        <w:t>,</w:t>
      </w:r>
      <w:r w:rsidR="00B212E2">
        <w:rPr>
          <w:sz w:val="26"/>
          <w:szCs w:val="26"/>
        </w:rPr>
        <w:t xml:space="preserve"> not distribution</w:t>
      </w:r>
      <w:r w:rsidR="00F90895">
        <w:rPr>
          <w:sz w:val="26"/>
          <w:szCs w:val="26"/>
        </w:rPr>
        <w:t>,</w:t>
      </w:r>
      <w:r w:rsidR="00B212E2">
        <w:rPr>
          <w:sz w:val="26"/>
          <w:szCs w:val="26"/>
        </w:rPr>
        <w:t xml:space="preserve"> rates.</w:t>
      </w:r>
    </w:p>
    <w:p w:rsidR="005C729A" w:rsidRDefault="005C729A">
      <w:pPr>
        <w:spacing w:line="360" w:lineRule="auto"/>
        <w:ind w:firstLine="1440"/>
        <w:rPr>
          <w:sz w:val="26"/>
          <w:szCs w:val="26"/>
        </w:rPr>
      </w:pPr>
    </w:p>
    <w:p w:rsidR="005C729A" w:rsidRDefault="00B212E2">
      <w:pPr>
        <w:spacing w:line="360" w:lineRule="auto"/>
        <w:ind w:firstLine="1440"/>
        <w:rPr>
          <w:sz w:val="26"/>
          <w:szCs w:val="26"/>
        </w:rPr>
      </w:pPr>
      <w:r>
        <w:rPr>
          <w:sz w:val="26"/>
          <w:szCs w:val="26"/>
        </w:rPr>
        <w:t>Section 2807 (e) begins:</w:t>
      </w:r>
    </w:p>
    <w:p w:rsidR="00B212E2" w:rsidRDefault="00B212E2" w:rsidP="00B212E2">
      <w:pPr>
        <w:spacing w:line="360" w:lineRule="auto"/>
        <w:ind w:firstLine="1440"/>
        <w:rPr>
          <w:sz w:val="26"/>
          <w:szCs w:val="26"/>
        </w:rPr>
      </w:pPr>
    </w:p>
    <w:p w:rsidR="00F0179A" w:rsidRDefault="00B212E2" w:rsidP="00F0179A">
      <w:pPr>
        <w:ind w:left="1152" w:right="1440" w:firstLine="1440"/>
        <w:rPr>
          <w:sz w:val="26"/>
          <w:szCs w:val="26"/>
        </w:rPr>
      </w:pPr>
      <w:r>
        <w:rPr>
          <w:b/>
          <w:sz w:val="26"/>
          <w:szCs w:val="26"/>
        </w:rPr>
        <w:t>(e)  Obligation to serve. –</w:t>
      </w:r>
      <w:r>
        <w:rPr>
          <w:sz w:val="26"/>
          <w:szCs w:val="26"/>
        </w:rPr>
        <w:t xml:space="preserve"> A default service provider’s obligation to provide electric generation supply service following the expiration of a generation rate cap specified under Section 2804(4)…or a restructuring </w:t>
      </w:r>
      <w:r w:rsidR="00CD0395">
        <w:rPr>
          <w:sz w:val="26"/>
          <w:szCs w:val="26"/>
        </w:rPr>
        <w:t>plan is</w:t>
      </w:r>
      <w:r>
        <w:rPr>
          <w:sz w:val="26"/>
          <w:szCs w:val="26"/>
        </w:rPr>
        <w:t xml:space="preserve"> revised as follows:</w:t>
      </w:r>
    </w:p>
    <w:p w:rsidR="00B212E2" w:rsidRDefault="00B212E2" w:rsidP="00B212E2">
      <w:pPr>
        <w:spacing w:line="360" w:lineRule="auto"/>
        <w:ind w:firstLine="1440"/>
        <w:rPr>
          <w:sz w:val="26"/>
          <w:szCs w:val="26"/>
        </w:rPr>
      </w:pPr>
    </w:p>
    <w:p w:rsidR="00B212E2" w:rsidRDefault="00B212E2" w:rsidP="00767B95">
      <w:pPr>
        <w:spacing w:line="360" w:lineRule="auto"/>
        <w:rPr>
          <w:sz w:val="26"/>
          <w:szCs w:val="26"/>
        </w:rPr>
      </w:pPr>
      <w:r>
        <w:rPr>
          <w:sz w:val="26"/>
          <w:szCs w:val="26"/>
        </w:rPr>
        <w:t xml:space="preserve">This language refers only to the </w:t>
      </w:r>
      <w:r w:rsidRPr="00767B95">
        <w:rPr>
          <w:i/>
          <w:sz w:val="26"/>
          <w:szCs w:val="26"/>
        </w:rPr>
        <w:t>electric generation supply service</w:t>
      </w:r>
      <w:r>
        <w:rPr>
          <w:sz w:val="26"/>
          <w:szCs w:val="26"/>
        </w:rPr>
        <w:t xml:space="preserve"> obligation – no mention is made of the EDC’s distribution service obligations.</w:t>
      </w:r>
    </w:p>
    <w:p w:rsidR="00B212E2" w:rsidRDefault="00B212E2" w:rsidP="00B212E2">
      <w:pPr>
        <w:spacing w:line="360" w:lineRule="auto"/>
        <w:ind w:firstLine="1440"/>
        <w:rPr>
          <w:sz w:val="26"/>
          <w:szCs w:val="26"/>
        </w:rPr>
      </w:pPr>
    </w:p>
    <w:p w:rsidR="005C729A" w:rsidRDefault="00B212E2">
      <w:pPr>
        <w:spacing w:line="360" w:lineRule="auto"/>
        <w:ind w:firstLine="1440"/>
        <w:rPr>
          <w:sz w:val="26"/>
          <w:szCs w:val="26"/>
        </w:rPr>
      </w:pPr>
      <w:r>
        <w:rPr>
          <w:sz w:val="26"/>
          <w:szCs w:val="26"/>
        </w:rPr>
        <w:t>Subsection (e)(5)(i</w:t>
      </w:r>
      <w:r w:rsidR="00CD0395">
        <w:rPr>
          <w:sz w:val="26"/>
          <w:szCs w:val="26"/>
        </w:rPr>
        <w:t>) then</w:t>
      </w:r>
      <w:r>
        <w:rPr>
          <w:sz w:val="26"/>
          <w:szCs w:val="26"/>
        </w:rPr>
        <w:t xml:space="preserve"> continues:</w:t>
      </w:r>
    </w:p>
    <w:p w:rsidR="005C729A" w:rsidRDefault="005C729A">
      <w:pPr>
        <w:spacing w:line="360" w:lineRule="auto"/>
        <w:ind w:firstLine="1440"/>
        <w:rPr>
          <w:sz w:val="26"/>
          <w:szCs w:val="26"/>
        </w:rPr>
      </w:pPr>
    </w:p>
    <w:p w:rsidR="00B212E2" w:rsidRDefault="00B212E2" w:rsidP="00B212E2">
      <w:pPr>
        <w:ind w:left="1440" w:right="1440" w:firstLine="1440"/>
        <w:rPr>
          <w:sz w:val="26"/>
          <w:szCs w:val="26"/>
        </w:rPr>
      </w:pPr>
      <w:r>
        <w:rPr>
          <w:sz w:val="26"/>
          <w:szCs w:val="26"/>
        </w:rPr>
        <w:t>(5)(</w:t>
      </w:r>
      <w:r w:rsidR="00F90895">
        <w:rPr>
          <w:sz w:val="26"/>
          <w:szCs w:val="26"/>
        </w:rPr>
        <w:t>i</w:t>
      </w:r>
      <w:r>
        <w:rPr>
          <w:sz w:val="26"/>
          <w:szCs w:val="26"/>
        </w:rPr>
        <w:t xml:space="preserve">)  Notwithstanding </w:t>
      </w:r>
      <w:r w:rsidRPr="00180905">
        <w:rPr>
          <w:sz w:val="26"/>
          <w:szCs w:val="26"/>
        </w:rPr>
        <w:t xml:space="preserve">paragraph (3.1), the electric distribution company or </w:t>
      </w:r>
      <w:r>
        <w:rPr>
          <w:sz w:val="26"/>
          <w:szCs w:val="26"/>
        </w:rPr>
        <w:t>c</w:t>
      </w:r>
      <w:r w:rsidRPr="00180905">
        <w:rPr>
          <w:sz w:val="26"/>
          <w:szCs w:val="26"/>
        </w:rPr>
        <w:t xml:space="preserve">ommission-approved alternative supplier may, </w:t>
      </w:r>
      <w:r w:rsidRPr="00D25C57">
        <w:rPr>
          <w:sz w:val="26"/>
          <w:szCs w:val="26"/>
        </w:rPr>
        <w:t>in its sole discretion</w:t>
      </w:r>
      <w:r w:rsidRPr="00180905">
        <w:rPr>
          <w:sz w:val="26"/>
          <w:szCs w:val="26"/>
        </w:rPr>
        <w:t xml:space="preserve">, offer large </w:t>
      </w:r>
      <w:r w:rsidRPr="00180905">
        <w:rPr>
          <w:sz w:val="26"/>
          <w:szCs w:val="26"/>
        </w:rPr>
        <w:lastRenderedPageBreak/>
        <w:t xml:space="preserve">customers with a peak demand of 15 megawatts or greater at one meter at </w:t>
      </w:r>
      <w:r w:rsidR="003A6C78">
        <w:rPr>
          <w:sz w:val="26"/>
          <w:szCs w:val="26"/>
        </w:rPr>
        <w:t>a</w:t>
      </w:r>
      <w:r w:rsidRPr="00180905">
        <w:rPr>
          <w:sz w:val="26"/>
          <w:szCs w:val="26"/>
        </w:rPr>
        <w:t xml:space="preserve"> location in its service territory any negotiated rate for service at all of the customers’ locations within the service territory for any duration agreed upon by the electric distribution company or </w:t>
      </w:r>
      <w:r>
        <w:rPr>
          <w:sz w:val="26"/>
          <w:szCs w:val="26"/>
        </w:rPr>
        <w:t>c</w:t>
      </w:r>
      <w:r w:rsidRPr="00180905">
        <w:rPr>
          <w:sz w:val="26"/>
          <w:szCs w:val="26"/>
        </w:rPr>
        <w:t>ommission-approved alternative supplier a</w:t>
      </w:r>
      <w:r>
        <w:rPr>
          <w:sz w:val="26"/>
          <w:szCs w:val="26"/>
        </w:rPr>
        <w:t xml:space="preserve">nd the </w:t>
      </w:r>
      <w:r w:rsidRPr="00180905">
        <w:rPr>
          <w:sz w:val="26"/>
          <w:szCs w:val="26"/>
        </w:rPr>
        <w:t xml:space="preserve">large customer.  The </w:t>
      </w:r>
      <w:r>
        <w:rPr>
          <w:sz w:val="26"/>
          <w:szCs w:val="26"/>
        </w:rPr>
        <w:t>c</w:t>
      </w:r>
      <w:r w:rsidRPr="00180905">
        <w:rPr>
          <w:sz w:val="26"/>
          <w:szCs w:val="26"/>
        </w:rPr>
        <w:t>ommission</w:t>
      </w:r>
      <w:r>
        <w:rPr>
          <w:sz w:val="26"/>
          <w:szCs w:val="26"/>
        </w:rPr>
        <w:t xml:space="preserve"> shall permit, but shall not require,</w:t>
      </w:r>
      <w:r w:rsidRPr="00180905">
        <w:rPr>
          <w:sz w:val="26"/>
          <w:szCs w:val="26"/>
        </w:rPr>
        <w:t xml:space="preserve"> an electric distribution company or commission-approved alternative supplier to provide service to large customers under this paragraph.  Contract rates entered into under this paragraph shall be subject to review by the commission in order to ensure that all costs related to the rates are borne by the parties to the contract and that no costs related to the rates are borne by other customers or customer classes. </w:t>
      </w:r>
    </w:p>
    <w:p w:rsidR="00B212E2" w:rsidRDefault="00B212E2" w:rsidP="00B212E2">
      <w:pPr>
        <w:spacing w:line="360" w:lineRule="auto"/>
        <w:ind w:firstLine="1440"/>
        <w:rPr>
          <w:sz w:val="26"/>
          <w:szCs w:val="26"/>
        </w:rPr>
      </w:pPr>
    </w:p>
    <w:p w:rsidR="005C729A" w:rsidRDefault="006419ED" w:rsidP="005C729A">
      <w:pPr>
        <w:spacing w:line="360" w:lineRule="auto"/>
        <w:rPr>
          <w:sz w:val="26"/>
          <w:szCs w:val="26"/>
        </w:rPr>
      </w:pPr>
      <w:r>
        <w:rPr>
          <w:sz w:val="26"/>
          <w:szCs w:val="26"/>
        </w:rPr>
        <w:t>66 Pa. C.S. §</w:t>
      </w:r>
      <w:r w:rsidR="00461347">
        <w:rPr>
          <w:sz w:val="26"/>
          <w:szCs w:val="26"/>
        </w:rPr>
        <w:t xml:space="preserve"> </w:t>
      </w:r>
      <w:r>
        <w:rPr>
          <w:sz w:val="26"/>
          <w:szCs w:val="26"/>
        </w:rPr>
        <w:t>2807(e)(5)(i).</w:t>
      </w:r>
    </w:p>
    <w:p w:rsidR="006419ED" w:rsidRDefault="006419ED" w:rsidP="00B212E2">
      <w:pPr>
        <w:spacing w:line="360" w:lineRule="auto"/>
        <w:ind w:firstLine="1440"/>
        <w:rPr>
          <w:sz w:val="26"/>
          <w:szCs w:val="26"/>
        </w:rPr>
      </w:pPr>
    </w:p>
    <w:p w:rsidR="00B212E2" w:rsidRDefault="00B212E2" w:rsidP="00B212E2">
      <w:pPr>
        <w:spacing w:line="360" w:lineRule="auto"/>
        <w:ind w:firstLine="1440"/>
        <w:rPr>
          <w:sz w:val="26"/>
          <w:szCs w:val="26"/>
        </w:rPr>
      </w:pPr>
      <w:r>
        <w:rPr>
          <w:sz w:val="26"/>
          <w:szCs w:val="26"/>
        </w:rPr>
        <w:t xml:space="preserve">There is no ambiguity in this statutory language.  The fact that the language includes references to not only the EDC, but also to “commission-approved alternative supplier” makes clear that the provision is dealing with electric generation supply rates and not distribution rates.  Commission-approved alternative suppliers do not provide distribution service.  We must therefore conclude that Section 2807(e)(5)(i) has no application to the present matter that involves a potential negotiated distribution rate. </w:t>
      </w:r>
    </w:p>
    <w:p w:rsidR="005C729A" w:rsidRDefault="005C729A">
      <w:pPr>
        <w:spacing w:line="360" w:lineRule="auto"/>
        <w:ind w:firstLine="1440"/>
        <w:rPr>
          <w:sz w:val="26"/>
          <w:szCs w:val="26"/>
        </w:rPr>
      </w:pPr>
    </w:p>
    <w:p w:rsidR="005C729A" w:rsidRDefault="003C4812">
      <w:pPr>
        <w:spacing w:line="360" w:lineRule="auto"/>
        <w:jc w:val="center"/>
        <w:rPr>
          <w:b/>
          <w:sz w:val="26"/>
          <w:szCs w:val="26"/>
        </w:rPr>
      </w:pPr>
      <w:r>
        <w:rPr>
          <w:b/>
          <w:sz w:val="26"/>
          <w:szCs w:val="26"/>
        </w:rPr>
        <w:t>Conclusion</w:t>
      </w:r>
    </w:p>
    <w:p w:rsidR="005C729A" w:rsidRDefault="005C729A">
      <w:pPr>
        <w:spacing w:line="360" w:lineRule="auto"/>
        <w:ind w:firstLine="1440"/>
        <w:rPr>
          <w:sz w:val="26"/>
          <w:szCs w:val="26"/>
        </w:rPr>
      </w:pPr>
    </w:p>
    <w:p w:rsidR="005C729A" w:rsidRDefault="003C4812">
      <w:pPr>
        <w:spacing w:line="360" w:lineRule="auto"/>
        <w:ind w:firstLine="1440"/>
        <w:rPr>
          <w:b/>
          <w:sz w:val="26"/>
          <w:szCs w:val="26"/>
        </w:rPr>
      </w:pPr>
      <w:r>
        <w:rPr>
          <w:sz w:val="26"/>
          <w:szCs w:val="26"/>
        </w:rPr>
        <w:t xml:space="preserve">Based upon the foregoing discussion, we shall </w:t>
      </w:r>
      <w:r w:rsidR="00CF7B13">
        <w:rPr>
          <w:sz w:val="26"/>
          <w:szCs w:val="26"/>
        </w:rPr>
        <w:t>grant</w:t>
      </w:r>
      <w:r w:rsidR="00ED499B">
        <w:rPr>
          <w:sz w:val="26"/>
          <w:szCs w:val="26"/>
        </w:rPr>
        <w:t xml:space="preserve"> PPLICA’s Petition for Reconsideration or, in the alternative rehearing or reargument</w:t>
      </w:r>
      <w:r>
        <w:rPr>
          <w:sz w:val="26"/>
          <w:szCs w:val="26"/>
        </w:rPr>
        <w:t>, consistent with th</w:t>
      </w:r>
      <w:r w:rsidR="00E14FF3">
        <w:rPr>
          <w:sz w:val="26"/>
          <w:szCs w:val="26"/>
        </w:rPr>
        <w:t>is Opinion and Order</w:t>
      </w:r>
      <w:r>
        <w:rPr>
          <w:sz w:val="26"/>
          <w:szCs w:val="26"/>
        </w:rPr>
        <w:t xml:space="preserve">; </w:t>
      </w:r>
      <w:r>
        <w:rPr>
          <w:b/>
          <w:sz w:val="26"/>
          <w:szCs w:val="26"/>
        </w:rPr>
        <w:t>THEREFORE,</w:t>
      </w:r>
    </w:p>
    <w:p w:rsidR="003C4812" w:rsidRDefault="003C4812" w:rsidP="003C4812">
      <w:pPr>
        <w:spacing w:line="360" w:lineRule="auto"/>
        <w:ind w:firstLine="1440"/>
        <w:rPr>
          <w:b/>
          <w:sz w:val="26"/>
          <w:szCs w:val="26"/>
        </w:rPr>
      </w:pPr>
    </w:p>
    <w:p w:rsidR="003C4812" w:rsidRPr="00B4513A" w:rsidRDefault="003C4812" w:rsidP="003C4812">
      <w:pPr>
        <w:spacing w:line="360" w:lineRule="auto"/>
        <w:ind w:firstLine="1440"/>
        <w:rPr>
          <w:b/>
          <w:sz w:val="26"/>
          <w:szCs w:val="26"/>
        </w:rPr>
      </w:pPr>
      <w:r>
        <w:rPr>
          <w:b/>
          <w:sz w:val="26"/>
          <w:szCs w:val="26"/>
        </w:rPr>
        <w:t>IT IS ORDERED:</w:t>
      </w:r>
    </w:p>
    <w:p w:rsidR="003C4812" w:rsidRDefault="003C4812" w:rsidP="003C4812">
      <w:pPr>
        <w:spacing w:line="360" w:lineRule="auto"/>
        <w:ind w:firstLine="1440"/>
        <w:rPr>
          <w:sz w:val="26"/>
          <w:szCs w:val="26"/>
        </w:rPr>
      </w:pPr>
    </w:p>
    <w:p w:rsidR="003C4812" w:rsidRDefault="003C4812" w:rsidP="003C4812">
      <w:pPr>
        <w:spacing w:line="360" w:lineRule="auto"/>
        <w:ind w:firstLine="1440"/>
        <w:rPr>
          <w:sz w:val="26"/>
          <w:szCs w:val="26"/>
        </w:rPr>
      </w:pPr>
      <w:r>
        <w:rPr>
          <w:sz w:val="26"/>
          <w:szCs w:val="26"/>
        </w:rPr>
        <w:t>1.</w:t>
      </w:r>
      <w:r>
        <w:rPr>
          <w:sz w:val="26"/>
          <w:szCs w:val="26"/>
        </w:rPr>
        <w:tab/>
        <w:t>That the Petition for Reconsideration</w:t>
      </w:r>
      <w:r w:rsidR="00ED499B">
        <w:rPr>
          <w:sz w:val="26"/>
          <w:szCs w:val="26"/>
        </w:rPr>
        <w:t xml:space="preserve"> or, in the alternative, rehearing </w:t>
      </w:r>
      <w:r w:rsidR="00ED499B">
        <w:rPr>
          <w:sz w:val="26"/>
          <w:szCs w:val="26"/>
        </w:rPr>
        <w:lastRenderedPageBreak/>
        <w:t>or reargument</w:t>
      </w:r>
      <w:r w:rsidR="00A473D3">
        <w:rPr>
          <w:sz w:val="26"/>
          <w:szCs w:val="26"/>
        </w:rPr>
        <w:t>,</w:t>
      </w:r>
      <w:r>
        <w:rPr>
          <w:sz w:val="26"/>
          <w:szCs w:val="26"/>
        </w:rPr>
        <w:t xml:space="preserve"> filed by</w:t>
      </w:r>
      <w:r w:rsidR="00ED499B">
        <w:rPr>
          <w:sz w:val="26"/>
          <w:szCs w:val="26"/>
        </w:rPr>
        <w:t xml:space="preserve"> </w:t>
      </w:r>
      <w:r w:rsidR="00ED499B">
        <w:rPr>
          <w:sz w:val="26"/>
        </w:rPr>
        <w:t>PP&amp;L Industrial Customer Alliance</w:t>
      </w:r>
      <w:r w:rsidR="00ED499B">
        <w:rPr>
          <w:sz w:val="26"/>
          <w:szCs w:val="26"/>
        </w:rPr>
        <w:t xml:space="preserve"> </w:t>
      </w:r>
      <w:r>
        <w:rPr>
          <w:sz w:val="26"/>
          <w:szCs w:val="26"/>
        </w:rPr>
        <w:t xml:space="preserve">on </w:t>
      </w:r>
      <w:r w:rsidR="00ED499B">
        <w:rPr>
          <w:sz w:val="26"/>
          <w:szCs w:val="26"/>
        </w:rPr>
        <w:t>January 5, 2011</w:t>
      </w:r>
      <w:r>
        <w:rPr>
          <w:sz w:val="26"/>
          <w:szCs w:val="26"/>
        </w:rPr>
        <w:t xml:space="preserve">, is </w:t>
      </w:r>
      <w:r w:rsidR="00CF7B13">
        <w:rPr>
          <w:sz w:val="26"/>
          <w:szCs w:val="26"/>
        </w:rPr>
        <w:t>granted</w:t>
      </w:r>
      <w:r w:rsidR="00490220">
        <w:rPr>
          <w:sz w:val="26"/>
          <w:szCs w:val="26"/>
        </w:rPr>
        <w:t>.</w:t>
      </w:r>
    </w:p>
    <w:p w:rsidR="003C4812" w:rsidRDefault="003C4812" w:rsidP="003C4812">
      <w:pPr>
        <w:spacing w:line="360" w:lineRule="auto"/>
        <w:ind w:firstLine="1440"/>
        <w:rPr>
          <w:sz w:val="26"/>
          <w:szCs w:val="26"/>
        </w:rPr>
      </w:pPr>
    </w:p>
    <w:p w:rsidR="003C4812" w:rsidRPr="00027664" w:rsidRDefault="00ED499B" w:rsidP="003C4812">
      <w:pPr>
        <w:spacing w:line="360" w:lineRule="auto"/>
        <w:ind w:firstLine="1440"/>
        <w:rPr>
          <w:sz w:val="26"/>
          <w:szCs w:val="26"/>
        </w:rPr>
      </w:pPr>
      <w:r>
        <w:rPr>
          <w:sz w:val="26"/>
          <w:szCs w:val="26"/>
        </w:rPr>
        <w:t>2</w:t>
      </w:r>
      <w:r w:rsidR="003C4812">
        <w:rPr>
          <w:sz w:val="26"/>
          <w:szCs w:val="26"/>
        </w:rPr>
        <w:t>.</w:t>
      </w:r>
      <w:r w:rsidR="003C4812">
        <w:rPr>
          <w:sz w:val="26"/>
          <w:szCs w:val="26"/>
        </w:rPr>
        <w:tab/>
        <w:t xml:space="preserve">That this case </w:t>
      </w:r>
      <w:r w:rsidR="00CF7B13">
        <w:rPr>
          <w:sz w:val="26"/>
          <w:szCs w:val="26"/>
        </w:rPr>
        <w:t>is remanded to the Office of Administrative Law Judge for further proceedings and the issuance of a Recommended Decision</w:t>
      </w:r>
      <w:r w:rsidR="00AD6108">
        <w:rPr>
          <w:sz w:val="26"/>
          <w:szCs w:val="26"/>
        </w:rPr>
        <w:t xml:space="preserve"> on Remand</w:t>
      </w:r>
      <w:r w:rsidR="003C4812">
        <w:rPr>
          <w:sz w:val="26"/>
          <w:szCs w:val="26"/>
        </w:rPr>
        <w:t>.</w:t>
      </w:r>
    </w:p>
    <w:p w:rsidR="003C4812" w:rsidRPr="00027664" w:rsidRDefault="003C4812" w:rsidP="003C4812">
      <w:pPr>
        <w:rPr>
          <w:sz w:val="26"/>
          <w:szCs w:val="26"/>
        </w:rPr>
      </w:pPr>
    </w:p>
    <w:p w:rsidR="003C4812" w:rsidRPr="00027664" w:rsidRDefault="00D44A2E" w:rsidP="003C4812">
      <w:pPr>
        <w:spacing w:line="360" w:lineRule="auto"/>
        <w:ind w:firstLine="5760"/>
        <w:rPr>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3228975</wp:posOffset>
            </wp:positionH>
            <wp:positionV relativeFrom="paragraph">
              <wp:posOffset>81915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C4812" w:rsidRPr="00027664">
        <w:rPr>
          <w:b/>
          <w:sz w:val="26"/>
          <w:szCs w:val="26"/>
        </w:rPr>
        <w:t>BY THE COMMISSION,</w:t>
      </w:r>
    </w:p>
    <w:p w:rsidR="003C4812" w:rsidRPr="00027664" w:rsidRDefault="003C4812" w:rsidP="003C4812">
      <w:pPr>
        <w:rPr>
          <w:sz w:val="26"/>
          <w:szCs w:val="26"/>
        </w:rPr>
      </w:pPr>
    </w:p>
    <w:p w:rsidR="003C4812" w:rsidRPr="00027664" w:rsidRDefault="003C4812" w:rsidP="003C4812">
      <w:pPr>
        <w:rPr>
          <w:sz w:val="26"/>
          <w:szCs w:val="26"/>
        </w:rPr>
      </w:pPr>
    </w:p>
    <w:p w:rsidR="003C4812" w:rsidRDefault="003C4812" w:rsidP="003C4812">
      <w:pPr>
        <w:rPr>
          <w:sz w:val="26"/>
          <w:szCs w:val="26"/>
        </w:rPr>
      </w:pPr>
    </w:p>
    <w:p w:rsidR="003C4812" w:rsidRPr="00027664" w:rsidRDefault="003C4812" w:rsidP="003C4812">
      <w:pPr>
        <w:ind w:firstLine="5760"/>
        <w:rPr>
          <w:sz w:val="26"/>
          <w:szCs w:val="26"/>
        </w:rPr>
      </w:pPr>
      <w:r>
        <w:rPr>
          <w:sz w:val="26"/>
          <w:szCs w:val="26"/>
        </w:rPr>
        <w:t>Rosemary Chiavetta</w:t>
      </w:r>
    </w:p>
    <w:p w:rsidR="003C4812" w:rsidRPr="00027664" w:rsidRDefault="003C4812" w:rsidP="003C4812">
      <w:pPr>
        <w:ind w:firstLine="5760"/>
        <w:rPr>
          <w:sz w:val="26"/>
          <w:szCs w:val="26"/>
        </w:rPr>
      </w:pPr>
      <w:r w:rsidRPr="00027664">
        <w:rPr>
          <w:sz w:val="26"/>
          <w:szCs w:val="26"/>
        </w:rPr>
        <w:t>Secretary</w:t>
      </w:r>
    </w:p>
    <w:p w:rsidR="003C4812" w:rsidRPr="00027664" w:rsidRDefault="003C4812" w:rsidP="003C4812">
      <w:pPr>
        <w:rPr>
          <w:sz w:val="26"/>
          <w:szCs w:val="26"/>
        </w:rPr>
      </w:pPr>
    </w:p>
    <w:p w:rsidR="003C4812" w:rsidRPr="00027664" w:rsidRDefault="003C4812" w:rsidP="003C4812">
      <w:pPr>
        <w:rPr>
          <w:sz w:val="26"/>
          <w:szCs w:val="26"/>
        </w:rPr>
      </w:pPr>
      <w:r w:rsidRPr="00027664">
        <w:rPr>
          <w:sz w:val="26"/>
          <w:szCs w:val="26"/>
        </w:rPr>
        <w:t>(SEAL)</w:t>
      </w:r>
    </w:p>
    <w:p w:rsidR="003C4812" w:rsidRPr="00027664" w:rsidRDefault="003C4812" w:rsidP="003C4812">
      <w:pPr>
        <w:rPr>
          <w:sz w:val="26"/>
          <w:szCs w:val="26"/>
        </w:rPr>
      </w:pPr>
    </w:p>
    <w:p w:rsidR="003C4812" w:rsidRPr="00027664" w:rsidRDefault="003C4812" w:rsidP="003C4812">
      <w:pPr>
        <w:rPr>
          <w:sz w:val="26"/>
          <w:szCs w:val="26"/>
        </w:rPr>
      </w:pPr>
      <w:r>
        <w:rPr>
          <w:sz w:val="26"/>
          <w:szCs w:val="26"/>
        </w:rPr>
        <w:t xml:space="preserve">ORDER ADOPTED:  </w:t>
      </w:r>
      <w:r w:rsidR="000159F1">
        <w:rPr>
          <w:sz w:val="26"/>
          <w:szCs w:val="26"/>
        </w:rPr>
        <w:t xml:space="preserve">March </w:t>
      </w:r>
      <w:r w:rsidR="00F60C4A">
        <w:rPr>
          <w:sz w:val="26"/>
          <w:szCs w:val="26"/>
        </w:rPr>
        <w:t>31</w:t>
      </w:r>
      <w:r>
        <w:rPr>
          <w:sz w:val="26"/>
          <w:szCs w:val="26"/>
        </w:rPr>
        <w:t>, 201</w:t>
      </w:r>
      <w:r w:rsidR="000159F1">
        <w:rPr>
          <w:sz w:val="26"/>
          <w:szCs w:val="26"/>
        </w:rPr>
        <w:t>1</w:t>
      </w:r>
    </w:p>
    <w:p w:rsidR="003C4812" w:rsidRPr="00027664" w:rsidRDefault="003C4812" w:rsidP="003C4812">
      <w:pPr>
        <w:rPr>
          <w:sz w:val="26"/>
          <w:szCs w:val="26"/>
        </w:rPr>
      </w:pPr>
    </w:p>
    <w:p w:rsidR="003C4812" w:rsidRPr="00027664" w:rsidRDefault="003C4812" w:rsidP="003C4812">
      <w:pPr>
        <w:rPr>
          <w:sz w:val="26"/>
          <w:szCs w:val="26"/>
        </w:rPr>
      </w:pPr>
      <w:r w:rsidRPr="00027664">
        <w:rPr>
          <w:sz w:val="26"/>
          <w:szCs w:val="26"/>
        </w:rPr>
        <w:t xml:space="preserve">ORDER ENTERED:  </w:t>
      </w:r>
      <w:r w:rsidR="00D44A2E">
        <w:rPr>
          <w:sz w:val="26"/>
          <w:szCs w:val="26"/>
        </w:rPr>
        <w:t xml:space="preserve"> April 27, 2011</w:t>
      </w:r>
    </w:p>
    <w:p w:rsidR="003C4812" w:rsidRDefault="003C4812" w:rsidP="003C4812">
      <w:pPr>
        <w:widowControl/>
        <w:jc w:val="center"/>
        <w:rPr>
          <w:b/>
          <w:sz w:val="26"/>
        </w:rPr>
      </w:pPr>
    </w:p>
    <w:p w:rsidR="00751B12" w:rsidRDefault="00751B12"/>
    <w:sectPr w:rsidR="00751B12" w:rsidSect="00167F7B">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F35" w:rsidRDefault="00FD1F35" w:rsidP="003C4812">
      <w:r>
        <w:separator/>
      </w:r>
    </w:p>
  </w:endnote>
  <w:endnote w:type="continuationSeparator" w:id="0">
    <w:p w:rsidR="00FD1F35" w:rsidRDefault="00FD1F35" w:rsidP="003C48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A8" w:rsidRDefault="00E971CF" w:rsidP="00167F7B">
    <w:pPr>
      <w:pStyle w:val="Footer"/>
      <w:framePr w:wrap="around" w:vAnchor="text" w:hAnchor="margin" w:xAlign="center" w:y="1"/>
      <w:rPr>
        <w:rStyle w:val="PageNumber"/>
      </w:rPr>
    </w:pPr>
    <w:r>
      <w:rPr>
        <w:rStyle w:val="PageNumber"/>
      </w:rPr>
      <w:fldChar w:fldCharType="begin"/>
    </w:r>
    <w:r w:rsidR="005246A8">
      <w:rPr>
        <w:rStyle w:val="PageNumber"/>
      </w:rPr>
      <w:instrText xml:space="preserve">PAGE  </w:instrText>
    </w:r>
    <w:r>
      <w:rPr>
        <w:rStyle w:val="PageNumber"/>
      </w:rPr>
      <w:fldChar w:fldCharType="end"/>
    </w:r>
  </w:p>
  <w:p w:rsidR="005246A8" w:rsidRDefault="005246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6A8" w:rsidRPr="00C7667D" w:rsidRDefault="00E971CF" w:rsidP="00167F7B">
    <w:pPr>
      <w:pStyle w:val="Footer"/>
      <w:framePr w:wrap="around" w:vAnchor="text" w:hAnchor="margin" w:xAlign="center" w:y="1"/>
      <w:rPr>
        <w:rStyle w:val="PageNumber"/>
        <w:sz w:val="26"/>
      </w:rPr>
    </w:pPr>
    <w:r w:rsidRPr="00C7667D">
      <w:rPr>
        <w:rStyle w:val="PageNumber"/>
        <w:sz w:val="26"/>
      </w:rPr>
      <w:fldChar w:fldCharType="begin"/>
    </w:r>
    <w:r w:rsidR="005246A8" w:rsidRPr="00C7667D">
      <w:rPr>
        <w:rStyle w:val="PageNumber"/>
        <w:sz w:val="26"/>
      </w:rPr>
      <w:instrText xml:space="preserve">PAGE  </w:instrText>
    </w:r>
    <w:r w:rsidRPr="00C7667D">
      <w:rPr>
        <w:rStyle w:val="PageNumber"/>
        <w:sz w:val="26"/>
      </w:rPr>
      <w:fldChar w:fldCharType="separate"/>
    </w:r>
    <w:r w:rsidR="00D44A2E">
      <w:rPr>
        <w:rStyle w:val="PageNumber"/>
        <w:noProof/>
        <w:sz w:val="26"/>
      </w:rPr>
      <w:t>16</w:t>
    </w:r>
    <w:r w:rsidRPr="00C7667D">
      <w:rPr>
        <w:rStyle w:val="PageNumber"/>
        <w:sz w:val="26"/>
      </w:rPr>
      <w:fldChar w:fldCharType="end"/>
    </w:r>
  </w:p>
  <w:p w:rsidR="005246A8" w:rsidRDefault="005246A8" w:rsidP="00167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F35" w:rsidRDefault="00FD1F35" w:rsidP="003C4812">
      <w:r>
        <w:separator/>
      </w:r>
    </w:p>
  </w:footnote>
  <w:footnote w:type="continuationSeparator" w:id="0">
    <w:p w:rsidR="00FD1F35" w:rsidRDefault="00FD1F35" w:rsidP="003C4812">
      <w:r>
        <w:continuationSeparator/>
      </w:r>
    </w:p>
  </w:footnote>
  <w:footnote w:id="1">
    <w:p w:rsidR="004A2977" w:rsidRPr="004A2977" w:rsidRDefault="004A2977">
      <w:pPr>
        <w:pStyle w:val="FootnoteText"/>
        <w:rPr>
          <w:i/>
          <w:sz w:val="26"/>
          <w:szCs w:val="26"/>
        </w:rPr>
      </w:pPr>
      <w:r>
        <w:rPr>
          <w:sz w:val="26"/>
          <w:szCs w:val="26"/>
        </w:rPr>
        <w:tab/>
      </w:r>
      <w:r w:rsidR="000676ED" w:rsidRPr="000676ED">
        <w:rPr>
          <w:rStyle w:val="FootnoteReference"/>
          <w:sz w:val="26"/>
          <w:szCs w:val="26"/>
        </w:rPr>
        <w:footnoteRef/>
      </w:r>
      <w:r>
        <w:rPr>
          <w:sz w:val="26"/>
          <w:szCs w:val="26"/>
        </w:rPr>
        <w:tab/>
        <w:t>To avoid any confusion regarding our ruling, our conclusion today does not preclude the submission of evidence with regard to Donsco’s other options.  In fact</w:t>
      </w:r>
      <w:r w:rsidR="004A2F0C">
        <w:rPr>
          <w:sz w:val="26"/>
          <w:szCs w:val="26"/>
        </w:rPr>
        <w:t>,</w:t>
      </w:r>
      <w:r>
        <w:rPr>
          <w:sz w:val="26"/>
          <w:szCs w:val="26"/>
        </w:rPr>
        <w:t xml:space="preserve"> we explicitly request that the </w:t>
      </w:r>
      <w:r w:rsidR="004A2F0C">
        <w:rPr>
          <w:sz w:val="26"/>
          <w:szCs w:val="26"/>
        </w:rPr>
        <w:t>P</w:t>
      </w:r>
      <w:r>
        <w:rPr>
          <w:sz w:val="26"/>
          <w:szCs w:val="26"/>
        </w:rPr>
        <w:t xml:space="preserve">arties address whether the potential PennDOT approvals would render Donsco’s request for a special rate schedule moot.  </w:t>
      </w:r>
      <w:r>
        <w:rPr>
          <w:i/>
          <w:sz w:val="26"/>
          <w:szCs w:val="26"/>
        </w:rPr>
        <w:t>See</w:t>
      </w:r>
      <w:r w:rsidR="004A2F0C">
        <w:rPr>
          <w:i/>
          <w:sz w:val="26"/>
          <w:szCs w:val="26"/>
        </w:rPr>
        <w:t>,</w:t>
      </w:r>
      <w:r>
        <w:rPr>
          <w:i/>
          <w:sz w:val="26"/>
          <w:szCs w:val="26"/>
        </w:rPr>
        <w:t xml:space="preserve"> infra.</w:t>
      </w:r>
    </w:p>
  </w:footnote>
  <w:footnote w:id="2">
    <w:p w:rsidR="005246A8" w:rsidRPr="00AB2033" w:rsidRDefault="005246A8">
      <w:pPr>
        <w:pStyle w:val="FootnoteText"/>
        <w:rPr>
          <w:sz w:val="26"/>
          <w:szCs w:val="26"/>
        </w:rPr>
      </w:pPr>
      <w:r>
        <w:rPr>
          <w:sz w:val="26"/>
          <w:szCs w:val="26"/>
        </w:rPr>
        <w:tab/>
      </w:r>
      <w:r w:rsidR="000676ED" w:rsidRPr="000676ED">
        <w:rPr>
          <w:rStyle w:val="FootnoteReference"/>
          <w:sz w:val="26"/>
          <w:szCs w:val="26"/>
        </w:rPr>
        <w:footnoteRef/>
      </w:r>
      <w:r>
        <w:rPr>
          <w:sz w:val="26"/>
          <w:szCs w:val="26"/>
        </w:rPr>
        <w:tab/>
        <w:t>66 Pa. C.S. § 2806(h).</w:t>
      </w:r>
    </w:p>
  </w:footnote>
  <w:footnote w:id="3">
    <w:p w:rsidR="005246A8" w:rsidRPr="002534FD" w:rsidRDefault="005246A8" w:rsidP="006661CE">
      <w:pPr>
        <w:pStyle w:val="FootnoteText"/>
        <w:rPr>
          <w:sz w:val="26"/>
          <w:szCs w:val="26"/>
        </w:rPr>
      </w:pPr>
      <w:r>
        <w:rPr>
          <w:sz w:val="26"/>
          <w:szCs w:val="26"/>
        </w:rPr>
        <w:tab/>
      </w:r>
      <w:r w:rsidR="000676ED" w:rsidRPr="000676ED">
        <w:rPr>
          <w:rStyle w:val="FootnoteReference"/>
          <w:sz w:val="26"/>
          <w:szCs w:val="26"/>
        </w:rPr>
        <w:footnoteRef/>
      </w:r>
      <w:r>
        <w:rPr>
          <w:sz w:val="26"/>
          <w:szCs w:val="26"/>
        </w:rPr>
        <w:tab/>
      </w:r>
      <w:r w:rsidR="000676ED" w:rsidRPr="000676ED">
        <w:rPr>
          <w:sz w:val="26"/>
          <w:szCs w:val="26"/>
        </w:rPr>
        <w:t>PPLICA Exh</w:t>
      </w:r>
      <w:r>
        <w:rPr>
          <w:sz w:val="26"/>
          <w:szCs w:val="26"/>
        </w:rPr>
        <w:t>.</w:t>
      </w:r>
      <w:r w:rsidR="000676ED" w:rsidRPr="000676ED">
        <w:rPr>
          <w:sz w:val="26"/>
          <w:szCs w:val="26"/>
        </w:rPr>
        <w:t xml:space="preserve"> </w:t>
      </w:r>
      <w:r>
        <w:rPr>
          <w:sz w:val="26"/>
          <w:szCs w:val="26"/>
        </w:rPr>
        <w:t xml:space="preserve">No. </w:t>
      </w:r>
      <w:r w:rsidR="000676ED" w:rsidRPr="000676ED">
        <w:rPr>
          <w:sz w:val="26"/>
          <w:szCs w:val="26"/>
        </w:rPr>
        <w:t>RAP-1-S.</w:t>
      </w:r>
    </w:p>
  </w:footnote>
  <w:footnote w:id="4">
    <w:p w:rsidR="005246A8" w:rsidRDefault="005246A8" w:rsidP="006661CE">
      <w:pPr>
        <w:pStyle w:val="FootnoteText"/>
      </w:pPr>
      <w:r>
        <w:rPr>
          <w:sz w:val="26"/>
          <w:szCs w:val="26"/>
        </w:rPr>
        <w:tab/>
      </w:r>
      <w:r w:rsidR="000676ED" w:rsidRPr="000676ED">
        <w:rPr>
          <w:rStyle w:val="FootnoteReference"/>
          <w:sz w:val="26"/>
          <w:szCs w:val="26"/>
        </w:rPr>
        <w:footnoteRef/>
      </w:r>
      <w:r>
        <w:rPr>
          <w:sz w:val="26"/>
          <w:szCs w:val="26"/>
        </w:rPr>
        <w:tab/>
      </w:r>
      <w:r w:rsidR="000676ED" w:rsidRPr="000676ED">
        <w:rPr>
          <w:sz w:val="26"/>
          <w:szCs w:val="26"/>
        </w:rPr>
        <w:t>PPLICA St</w:t>
      </w:r>
      <w:r>
        <w:rPr>
          <w:sz w:val="26"/>
          <w:szCs w:val="26"/>
        </w:rPr>
        <w:t>.</w:t>
      </w:r>
      <w:r w:rsidR="000676ED" w:rsidRPr="000676ED">
        <w:rPr>
          <w:sz w:val="26"/>
          <w:szCs w:val="26"/>
        </w:rPr>
        <w:t xml:space="preserve"> No. 1 </w:t>
      </w:r>
      <w:r>
        <w:rPr>
          <w:sz w:val="26"/>
          <w:szCs w:val="26"/>
        </w:rPr>
        <w:t xml:space="preserve">at </w:t>
      </w:r>
      <w:r w:rsidR="000676ED" w:rsidRPr="000676ED">
        <w:rPr>
          <w:sz w:val="26"/>
          <w:szCs w:val="26"/>
        </w:rPr>
        <w:t>7, lines 4-7.</w:t>
      </w:r>
    </w:p>
  </w:footnote>
  <w:footnote w:id="5">
    <w:p w:rsidR="005246A8" w:rsidRPr="002534FD" w:rsidRDefault="005246A8" w:rsidP="000217D3">
      <w:pPr>
        <w:pStyle w:val="FootnoteText"/>
        <w:rPr>
          <w:sz w:val="26"/>
          <w:szCs w:val="26"/>
        </w:rPr>
      </w:pPr>
      <w:r>
        <w:rPr>
          <w:sz w:val="26"/>
          <w:szCs w:val="26"/>
        </w:rPr>
        <w:tab/>
      </w:r>
      <w:r w:rsidRPr="002534FD">
        <w:rPr>
          <w:rStyle w:val="FootnoteReference"/>
          <w:sz w:val="26"/>
          <w:szCs w:val="26"/>
        </w:rPr>
        <w:footnoteRef/>
      </w:r>
      <w:r>
        <w:rPr>
          <w:sz w:val="26"/>
          <w:szCs w:val="26"/>
        </w:rPr>
        <w:tab/>
      </w:r>
      <w:r w:rsidRPr="002534FD">
        <w:rPr>
          <w:sz w:val="26"/>
          <w:szCs w:val="26"/>
        </w:rPr>
        <w:t>Petition</w:t>
      </w:r>
      <w:r>
        <w:rPr>
          <w:sz w:val="26"/>
          <w:szCs w:val="26"/>
        </w:rPr>
        <w:t xml:space="preserve"> at</w:t>
      </w:r>
      <w:r w:rsidRPr="002534FD">
        <w:rPr>
          <w:sz w:val="26"/>
          <w:szCs w:val="26"/>
        </w:rPr>
        <w:t xml:space="preserve"> 11-12.</w:t>
      </w:r>
    </w:p>
  </w:footnote>
  <w:footnote w:id="6">
    <w:p w:rsidR="005246A8" w:rsidRPr="002534FD" w:rsidRDefault="005246A8" w:rsidP="000217D3">
      <w:pPr>
        <w:pStyle w:val="FootnoteText"/>
        <w:rPr>
          <w:sz w:val="26"/>
          <w:szCs w:val="26"/>
        </w:rPr>
      </w:pPr>
      <w:r>
        <w:rPr>
          <w:sz w:val="26"/>
          <w:szCs w:val="26"/>
        </w:rPr>
        <w:tab/>
      </w:r>
      <w:r w:rsidRPr="002534FD">
        <w:rPr>
          <w:rStyle w:val="FootnoteReference"/>
          <w:sz w:val="26"/>
          <w:szCs w:val="26"/>
        </w:rPr>
        <w:footnoteRef/>
      </w:r>
      <w:r>
        <w:rPr>
          <w:sz w:val="26"/>
          <w:szCs w:val="26"/>
        </w:rPr>
        <w:tab/>
        <w:t>The a</w:t>
      </w:r>
      <w:r w:rsidRPr="002534FD">
        <w:rPr>
          <w:sz w:val="26"/>
          <w:szCs w:val="26"/>
        </w:rPr>
        <w:t>ctual cost of the facilities was $1,052,550.  PPLICA Cross Exam</w:t>
      </w:r>
      <w:r>
        <w:rPr>
          <w:sz w:val="26"/>
          <w:szCs w:val="26"/>
        </w:rPr>
        <w:t>.</w:t>
      </w:r>
      <w:r w:rsidRPr="002534FD">
        <w:rPr>
          <w:sz w:val="26"/>
          <w:szCs w:val="26"/>
        </w:rPr>
        <w:t xml:space="preserve"> Ex</w:t>
      </w:r>
      <w:r>
        <w:rPr>
          <w:sz w:val="26"/>
          <w:szCs w:val="26"/>
        </w:rPr>
        <w:t>h</w:t>
      </w:r>
      <w:r w:rsidRPr="002534FD">
        <w:rPr>
          <w:sz w:val="26"/>
          <w:szCs w:val="26"/>
        </w:rPr>
        <w:t xml:space="preserve">. No. 5.  </w:t>
      </w:r>
    </w:p>
  </w:footnote>
  <w:footnote w:id="7">
    <w:p w:rsidR="005246A8" w:rsidRPr="002534FD" w:rsidRDefault="005246A8" w:rsidP="000217D3">
      <w:pPr>
        <w:pStyle w:val="FootnoteText"/>
        <w:rPr>
          <w:sz w:val="26"/>
          <w:szCs w:val="26"/>
        </w:rPr>
      </w:pPr>
      <w:r>
        <w:rPr>
          <w:sz w:val="26"/>
          <w:szCs w:val="26"/>
        </w:rPr>
        <w:tab/>
      </w:r>
      <w:r w:rsidRPr="002534FD">
        <w:rPr>
          <w:rStyle w:val="FootnoteReference"/>
          <w:sz w:val="26"/>
          <w:szCs w:val="26"/>
        </w:rPr>
        <w:footnoteRef/>
      </w:r>
      <w:r>
        <w:rPr>
          <w:sz w:val="26"/>
          <w:szCs w:val="26"/>
        </w:rPr>
        <w:tab/>
        <w:t>Donsco’s m</w:t>
      </w:r>
      <w:r w:rsidRPr="002534FD">
        <w:rPr>
          <w:sz w:val="26"/>
          <w:szCs w:val="26"/>
        </w:rPr>
        <w:t>onthly payments dropped to about $2,500 prior to January, 2010.  PPLICA St</w:t>
      </w:r>
      <w:r>
        <w:rPr>
          <w:sz w:val="26"/>
          <w:szCs w:val="26"/>
        </w:rPr>
        <w:t>.</w:t>
      </w:r>
      <w:r w:rsidRPr="002534FD">
        <w:rPr>
          <w:sz w:val="26"/>
          <w:szCs w:val="26"/>
        </w:rPr>
        <w:t xml:space="preserve"> No. 1 </w:t>
      </w:r>
      <w:r>
        <w:rPr>
          <w:sz w:val="26"/>
          <w:szCs w:val="26"/>
        </w:rPr>
        <w:t xml:space="preserve">at </w:t>
      </w:r>
      <w:r w:rsidRPr="002534FD">
        <w:rPr>
          <w:sz w:val="26"/>
          <w:szCs w:val="26"/>
        </w:rPr>
        <w:t>7.</w:t>
      </w:r>
    </w:p>
  </w:footnote>
  <w:footnote w:id="8">
    <w:p w:rsidR="005246A8" w:rsidRPr="002534FD" w:rsidRDefault="005246A8" w:rsidP="000217D3">
      <w:pPr>
        <w:pStyle w:val="FootnoteText"/>
        <w:rPr>
          <w:sz w:val="26"/>
          <w:szCs w:val="26"/>
        </w:rPr>
      </w:pPr>
      <w:r>
        <w:rPr>
          <w:sz w:val="26"/>
          <w:szCs w:val="26"/>
        </w:rPr>
        <w:tab/>
      </w:r>
      <w:r w:rsidRPr="002534FD">
        <w:rPr>
          <w:rStyle w:val="FootnoteReference"/>
          <w:sz w:val="26"/>
          <w:szCs w:val="26"/>
        </w:rPr>
        <w:footnoteRef/>
      </w:r>
      <w:r>
        <w:rPr>
          <w:sz w:val="26"/>
          <w:szCs w:val="26"/>
        </w:rPr>
        <w:tab/>
      </w:r>
      <w:r w:rsidRPr="002534FD">
        <w:rPr>
          <w:sz w:val="26"/>
          <w:szCs w:val="26"/>
        </w:rPr>
        <w:t xml:space="preserve">Donsco paid approximately $548,000 toward the line guarantee before renegotiating the contract in 2003. </w:t>
      </w:r>
      <w:r>
        <w:rPr>
          <w:sz w:val="26"/>
          <w:szCs w:val="26"/>
        </w:rPr>
        <w:t xml:space="preserve"> </w:t>
      </w:r>
      <w:r w:rsidRPr="002534FD">
        <w:rPr>
          <w:sz w:val="26"/>
          <w:szCs w:val="26"/>
        </w:rPr>
        <w:t>PPLICA St. No. 1 at 10.</w:t>
      </w:r>
    </w:p>
  </w:footnote>
  <w:footnote w:id="9">
    <w:p w:rsidR="005246A8" w:rsidRPr="00602ED3" w:rsidRDefault="005246A8" w:rsidP="007C65B5">
      <w:pPr>
        <w:pStyle w:val="FootnoteText"/>
        <w:rPr>
          <w:sz w:val="26"/>
          <w:szCs w:val="26"/>
        </w:rPr>
      </w:pPr>
      <w:r>
        <w:rPr>
          <w:sz w:val="26"/>
          <w:szCs w:val="26"/>
        </w:rPr>
        <w:tab/>
      </w:r>
      <w:r w:rsidRPr="00602ED3">
        <w:rPr>
          <w:rStyle w:val="FootnoteReference"/>
          <w:sz w:val="26"/>
          <w:szCs w:val="26"/>
        </w:rPr>
        <w:footnoteRef/>
      </w:r>
      <w:r>
        <w:rPr>
          <w:sz w:val="26"/>
          <w:szCs w:val="26"/>
        </w:rPr>
        <w:tab/>
        <w:t>66 Pa. C.S. § 2807(e)(5)(i).</w:t>
      </w:r>
    </w:p>
  </w:footnote>
  <w:footnote w:id="10">
    <w:p w:rsidR="005246A8" w:rsidRPr="00417E52" w:rsidRDefault="005246A8" w:rsidP="00F05482">
      <w:pPr>
        <w:pStyle w:val="ListNumber"/>
        <w:numPr>
          <w:ilvl w:val="0"/>
          <w:numId w:val="0"/>
        </w:numPr>
        <w:spacing w:line="240" w:lineRule="auto"/>
        <w:ind w:firstLine="720"/>
        <w:jc w:val="both"/>
        <w:rPr>
          <w:sz w:val="26"/>
          <w:szCs w:val="26"/>
        </w:rPr>
      </w:pPr>
      <w:r w:rsidRPr="00417E52">
        <w:rPr>
          <w:rStyle w:val="FootnoteReference"/>
          <w:sz w:val="26"/>
          <w:szCs w:val="26"/>
        </w:rPr>
        <w:footnoteRef/>
      </w:r>
      <w:r>
        <w:rPr>
          <w:sz w:val="26"/>
          <w:szCs w:val="26"/>
        </w:rPr>
        <w:tab/>
        <w:t xml:space="preserve">PPL points out that </w:t>
      </w:r>
      <w:r w:rsidRPr="00417E52">
        <w:rPr>
          <w:sz w:val="26"/>
          <w:szCs w:val="26"/>
        </w:rPr>
        <w:t xml:space="preserve">67 Pa. Code § 549.10a, relates to occupancy of a state bridge.  </w:t>
      </w:r>
      <w:r>
        <w:rPr>
          <w:sz w:val="26"/>
          <w:szCs w:val="26"/>
        </w:rPr>
        <w:t>PPL avers that i</w:t>
      </w:r>
      <w:r w:rsidRPr="00417E52">
        <w:rPr>
          <w:sz w:val="26"/>
          <w:szCs w:val="26"/>
        </w:rPr>
        <w:t xml:space="preserve">t is uncertain whether this regulation would permit Donsco’s latest </w:t>
      </w:r>
      <w:r>
        <w:rPr>
          <w:sz w:val="26"/>
          <w:szCs w:val="26"/>
        </w:rPr>
        <w:t xml:space="preserve">service </w:t>
      </w:r>
      <w:r w:rsidRPr="00417E52">
        <w:rPr>
          <w:sz w:val="26"/>
          <w:szCs w:val="26"/>
        </w:rPr>
        <w:t>proposal</w:t>
      </w:r>
      <w:r>
        <w:rPr>
          <w:sz w:val="26"/>
          <w:szCs w:val="26"/>
        </w:rPr>
        <w:t>.</w:t>
      </w:r>
      <w:r>
        <w:t xml:space="preserve"> </w:t>
      </w:r>
    </w:p>
  </w:footnote>
  <w:footnote w:id="11">
    <w:p w:rsidR="005246A8" w:rsidRPr="00E93184" w:rsidRDefault="005246A8" w:rsidP="00F05482">
      <w:pPr>
        <w:pStyle w:val="FootnoteText"/>
        <w:rPr>
          <w:sz w:val="26"/>
          <w:szCs w:val="26"/>
        </w:rPr>
      </w:pPr>
      <w:r>
        <w:rPr>
          <w:sz w:val="26"/>
          <w:szCs w:val="26"/>
        </w:rPr>
        <w:tab/>
      </w:r>
      <w:r w:rsidRPr="00E93184">
        <w:rPr>
          <w:rStyle w:val="FootnoteReference"/>
          <w:sz w:val="26"/>
          <w:szCs w:val="26"/>
        </w:rPr>
        <w:footnoteRef/>
      </w:r>
      <w:r>
        <w:rPr>
          <w:sz w:val="26"/>
          <w:szCs w:val="26"/>
        </w:rPr>
        <w:tab/>
        <w:t xml:space="preserve">PPL points out that </w:t>
      </w:r>
      <w:r w:rsidRPr="00E93184">
        <w:rPr>
          <w:sz w:val="26"/>
          <w:szCs w:val="26"/>
        </w:rPr>
        <w:t xml:space="preserve">67 Pa. Code § 459.3(b)(2), pertains to permits for performing construction in state highways.  </w:t>
      </w:r>
      <w:r>
        <w:rPr>
          <w:sz w:val="26"/>
          <w:szCs w:val="26"/>
        </w:rPr>
        <w:t xml:space="preserve">PPL asserts that </w:t>
      </w:r>
      <w:r w:rsidRPr="00E93184">
        <w:rPr>
          <w:sz w:val="26"/>
          <w:szCs w:val="26"/>
        </w:rPr>
        <w:t>its applicability to Donsco</w:t>
      </w:r>
      <w:r>
        <w:rPr>
          <w:sz w:val="26"/>
          <w:szCs w:val="26"/>
        </w:rPr>
        <w:t>’s</w:t>
      </w:r>
      <w:r w:rsidRPr="00E93184">
        <w:rPr>
          <w:sz w:val="26"/>
          <w:szCs w:val="26"/>
        </w:rPr>
        <w:t xml:space="preserve"> latest proposal is </w:t>
      </w:r>
      <w:r>
        <w:rPr>
          <w:sz w:val="26"/>
          <w:szCs w:val="26"/>
        </w:rPr>
        <w:t>unc</w:t>
      </w:r>
      <w:r w:rsidRPr="00E93184">
        <w:rPr>
          <w:sz w:val="26"/>
          <w:szCs w:val="26"/>
        </w:rPr>
        <w:t xml:space="preserve">ertain.  </w:t>
      </w:r>
    </w:p>
  </w:footnote>
  <w:footnote w:id="12">
    <w:p w:rsidR="005246A8" w:rsidRPr="002534FD" w:rsidRDefault="005246A8" w:rsidP="006661CE">
      <w:pPr>
        <w:pStyle w:val="FootnoteText"/>
        <w:rPr>
          <w:sz w:val="26"/>
          <w:szCs w:val="26"/>
        </w:rPr>
      </w:pPr>
      <w:r>
        <w:rPr>
          <w:sz w:val="26"/>
          <w:szCs w:val="26"/>
        </w:rPr>
        <w:tab/>
      </w:r>
      <w:r w:rsidR="000676ED" w:rsidRPr="000676ED">
        <w:rPr>
          <w:rStyle w:val="FootnoteReference"/>
          <w:sz w:val="26"/>
          <w:szCs w:val="26"/>
        </w:rPr>
        <w:footnoteRef/>
      </w:r>
      <w:r>
        <w:rPr>
          <w:sz w:val="26"/>
          <w:szCs w:val="26"/>
        </w:rPr>
        <w:tab/>
        <w:t xml:space="preserve">PPL </w:t>
      </w:r>
      <w:r w:rsidR="000676ED" w:rsidRPr="000676ED">
        <w:rPr>
          <w:sz w:val="26"/>
          <w:szCs w:val="26"/>
        </w:rPr>
        <w:t xml:space="preserve">Answer </w:t>
      </w:r>
      <w:r>
        <w:rPr>
          <w:sz w:val="26"/>
          <w:szCs w:val="26"/>
        </w:rPr>
        <w:t>at</w:t>
      </w:r>
      <w:r w:rsidR="000676ED" w:rsidRPr="000676ED">
        <w:rPr>
          <w:sz w:val="26"/>
          <w:szCs w:val="26"/>
        </w:rPr>
        <w:t xml:space="preserve"> 5.</w:t>
      </w:r>
    </w:p>
  </w:footnote>
  <w:footnote w:id="13">
    <w:p w:rsidR="005246A8" w:rsidRPr="003C4EB8" w:rsidRDefault="005246A8">
      <w:pPr>
        <w:pStyle w:val="FootnoteText"/>
        <w:rPr>
          <w:sz w:val="26"/>
          <w:szCs w:val="26"/>
        </w:rPr>
      </w:pPr>
      <w:r>
        <w:rPr>
          <w:sz w:val="26"/>
          <w:szCs w:val="26"/>
        </w:rPr>
        <w:tab/>
      </w:r>
      <w:r w:rsidR="000676ED" w:rsidRPr="000676ED">
        <w:rPr>
          <w:rStyle w:val="FootnoteReference"/>
          <w:sz w:val="26"/>
          <w:szCs w:val="26"/>
        </w:rPr>
        <w:footnoteRef/>
      </w:r>
      <w:r>
        <w:rPr>
          <w:sz w:val="26"/>
          <w:szCs w:val="26"/>
        </w:rPr>
        <w:tab/>
        <w:t>66 Pa. C.S. § 2806(h).</w:t>
      </w:r>
    </w:p>
  </w:footnote>
  <w:footnote w:id="14">
    <w:p w:rsidR="005246A8" w:rsidRPr="003C4EB8" w:rsidRDefault="005246A8">
      <w:pPr>
        <w:pStyle w:val="FootnoteText"/>
        <w:rPr>
          <w:i/>
          <w:sz w:val="26"/>
          <w:szCs w:val="26"/>
        </w:rPr>
      </w:pPr>
      <w:r>
        <w:rPr>
          <w:sz w:val="26"/>
          <w:szCs w:val="26"/>
        </w:rPr>
        <w:tab/>
      </w:r>
      <w:r w:rsidR="000676ED" w:rsidRPr="000676ED">
        <w:rPr>
          <w:rStyle w:val="FootnoteReference"/>
          <w:sz w:val="26"/>
          <w:szCs w:val="26"/>
        </w:rPr>
        <w:footnoteRef/>
      </w:r>
      <w:r>
        <w:rPr>
          <w:sz w:val="26"/>
          <w:szCs w:val="26"/>
        </w:rPr>
        <w:tab/>
      </w:r>
      <w:r>
        <w:rPr>
          <w:i/>
          <w:sz w:val="26"/>
          <w:szCs w:val="26"/>
        </w:rPr>
        <w:t>Id.</w:t>
      </w:r>
    </w:p>
  </w:footnote>
  <w:footnote w:id="15">
    <w:p w:rsidR="005246A8" w:rsidRPr="00BB6405" w:rsidRDefault="005246A8" w:rsidP="00BB6405">
      <w:pPr>
        <w:pStyle w:val="FootnoteText"/>
        <w:rPr>
          <w:sz w:val="26"/>
          <w:szCs w:val="26"/>
        </w:rPr>
      </w:pPr>
      <w:r>
        <w:rPr>
          <w:sz w:val="26"/>
          <w:szCs w:val="26"/>
        </w:rPr>
        <w:tab/>
      </w:r>
      <w:r w:rsidR="000676ED" w:rsidRPr="000676ED">
        <w:rPr>
          <w:rStyle w:val="FootnoteReference"/>
          <w:sz w:val="26"/>
          <w:szCs w:val="26"/>
        </w:rPr>
        <w:footnoteRef/>
      </w:r>
      <w:r>
        <w:rPr>
          <w:sz w:val="26"/>
          <w:szCs w:val="26"/>
        </w:rPr>
        <w:tab/>
      </w:r>
      <w:r w:rsidR="000676ED" w:rsidRPr="000676ED">
        <w:rPr>
          <w:sz w:val="26"/>
          <w:szCs w:val="26"/>
        </w:rPr>
        <w:t>PPLICA Exh</w:t>
      </w:r>
      <w:r>
        <w:rPr>
          <w:sz w:val="26"/>
          <w:szCs w:val="26"/>
        </w:rPr>
        <w:t>.</w:t>
      </w:r>
      <w:r w:rsidR="000676ED" w:rsidRPr="000676ED">
        <w:rPr>
          <w:sz w:val="26"/>
          <w:szCs w:val="26"/>
        </w:rPr>
        <w:t xml:space="preserve"> </w:t>
      </w:r>
      <w:r>
        <w:rPr>
          <w:sz w:val="26"/>
          <w:szCs w:val="26"/>
        </w:rPr>
        <w:t xml:space="preserve">No. </w:t>
      </w:r>
      <w:r w:rsidR="000676ED" w:rsidRPr="000676ED">
        <w:rPr>
          <w:sz w:val="26"/>
          <w:szCs w:val="26"/>
        </w:rPr>
        <w:t xml:space="preserve">RAB-1-S; Petition </w:t>
      </w:r>
      <w:r>
        <w:rPr>
          <w:sz w:val="26"/>
          <w:szCs w:val="26"/>
        </w:rPr>
        <w:t>at</w:t>
      </w:r>
      <w:r w:rsidR="000676ED" w:rsidRPr="000676ED">
        <w:rPr>
          <w:sz w:val="26"/>
          <w:szCs w:val="26"/>
        </w:rPr>
        <w:t xml:space="preserve"> 17-18, ¶¶</w:t>
      </w:r>
      <w:r w:rsidR="00EC726F">
        <w:rPr>
          <w:sz w:val="26"/>
          <w:szCs w:val="26"/>
        </w:rPr>
        <w:t xml:space="preserve"> </w:t>
      </w:r>
      <w:r w:rsidR="000676ED" w:rsidRPr="000676ED">
        <w:rPr>
          <w:sz w:val="26"/>
          <w:szCs w:val="26"/>
        </w:rPr>
        <w:t>28-29.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1">
    <w:nsid w:val="014C71FD"/>
    <w:multiLevelType w:val="hybridMultilevel"/>
    <w:tmpl w:val="D6AC10AA"/>
    <w:lvl w:ilvl="0" w:tplc="73421D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4E5485"/>
    <w:multiLevelType w:val="singleLevel"/>
    <w:tmpl w:val="2FFC2C7E"/>
    <w:name w:val=" Numbered List"/>
    <w:lvl w:ilvl="0">
      <w:start w:val="1"/>
      <w:numFmt w:val="decimal"/>
      <w:pStyle w:val="ListNumber"/>
      <w:lvlText w:val="%1."/>
      <w:lvlJc w:val="left"/>
      <w:pPr>
        <w:tabs>
          <w:tab w:val="num" w:pos="1440"/>
        </w:tabs>
        <w:ind w:left="0" w:firstLine="0"/>
      </w:pPr>
    </w:lvl>
  </w:abstractNum>
  <w:abstractNum w:abstractNumId="3">
    <w:nsid w:val="335D437D"/>
    <w:multiLevelType w:val="hybridMultilevel"/>
    <w:tmpl w:val="96D63CC4"/>
    <w:lvl w:ilvl="0" w:tplc="946C7C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DC6E24"/>
    <w:multiLevelType w:val="hybridMultilevel"/>
    <w:tmpl w:val="262A88B8"/>
    <w:lvl w:ilvl="0" w:tplc="6B68DB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44763E3"/>
    <w:multiLevelType w:val="hybridMultilevel"/>
    <w:tmpl w:val="877895B8"/>
    <w:lvl w:ilvl="0" w:tplc="990CE7D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A02510B"/>
    <w:multiLevelType w:val="hybridMultilevel"/>
    <w:tmpl w:val="5F78E546"/>
    <w:lvl w:ilvl="0" w:tplc="069CE4C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4812"/>
    <w:rsid w:val="000014A3"/>
    <w:rsid w:val="00004CA0"/>
    <w:rsid w:val="00005B16"/>
    <w:rsid w:val="000116C6"/>
    <w:rsid w:val="000159F1"/>
    <w:rsid w:val="00020C2D"/>
    <w:rsid w:val="000217D3"/>
    <w:rsid w:val="00025685"/>
    <w:rsid w:val="000279E3"/>
    <w:rsid w:val="00040250"/>
    <w:rsid w:val="00051B77"/>
    <w:rsid w:val="000530FA"/>
    <w:rsid w:val="00056708"/>
    <w:rsid w:val="000576C5"/>
    <w:rsid w:val="000611E1"/>
    <w:rsid w:val="00066B88"/>
    <w:rsid w:val="000676ED"/>
    <w:rsid w:val="00072566"/>
    <w:rsid w:val="000747CE"/>
    <w:rsid w:val="00074DC1"/>
    <w:rsid w:val="00077140"/>
    <w:rsid w:val="000917B9"/>
    <w:rsid w:val="00091880"/>
    <w:rsid w:val="00092A98"/>
    <w:rsid w:val="000A04F6"/>
    <w:rsid w:val="000A388F"/>
    <w:rsid w:val="000A4C4A"/>
    <w:rsid w:val="000B1752"/>
    <w:rsid w:val="000C1487"/>
    <w:rsid w:val="000C3820"/>
    <w:rsid w:val="000C4D39"/>
    <w:rsid w:val="000C6ADE"/>
    <w:rsid w:val="000D039C"/>
    <w:rsid w:val="000D3196"/>
    <w:rsid w:val="000D564D"/>
    <w:rsid w:val="000D6B27"/>
    <w:rsid w:val="000D710F"/>
    <w:rsid w:val="000D7A47"/>
    <w:rsid w:val="000E0949"/>
    <w:rsid w:val="000E0C24"/>
    <w:rsid w:val="000E7F85"/>
    <w:rsid w:val="001049D6"/>
    <w:rsid w:val="0010603B"/>
    <w:rsid w:val="001078BF"/>
    <w:rsid w:val="00113209"/>
    <w:rsid w:val="001154C2"/>
    <w:rsid w:val="0012010C"/>
    <w:rsid w:val="00127143"/>
    <w:rsid w:val="001368E7"/>
    <w:rsid w:val="00143EC0"/>
    <w:rsid w:val="00144B62"/>
    <w:rsid w:val="00146BFF"/>
    <w:rsid w:val="00152F58"/>
    <w:rsid w:val="00154F57"/>
    <w:rsid w:val="001557C1"/>
    <w:rsid w:val="0015673A"/>
    <w:rsid w:val="0016195D"/>
    <w:rsid w:val="001619D7"/>
    <w:rsid w:val="00161F1F"/>
    <w:rsid w:val="00163B15"/>
    <w:rsid w:val="00164C9A"/>
    <w:rsid w:val="00167F7B"/>
    <w:rsid w:val="001832CB"/>
    <w:rsid w:val="00183B3A"/>
    <w:rsid w:val="00183F9D"/>
    <w:rsid w:val="00184270"/>
    <w:rsid w:val="001842DB"/>
    <w:rsid w:val="00190DED"/>
    <w:rsid w:val="00191662"/>
    <w:rsid w:val="001A18AD"/>
    <w:rsid w:val="001A1C35"/>
    <w:rsid w:val="001A23AD"/>
    <w:rsid w:val="001C549A"/>
    <w:rsid w:val="001E365A"/>
    <w:rsid w:val="001E5695"/>
    <w:rsid w:val="001E5D39"/>
    <w:rsid w:val="001E5ED9"/>
    <w:rsid w:val="001F55B6"/>
    <w:rsid w:val="00203714"/>
    <w:rsid w:val="00204777"/>
    <w:rsid w:val="0020537D"/>
    <w:rsid w:val="0021132C"/>
    <w:rsid w:val="00211AE4"/>
    <w:rsid w:val="00222709"/>
    <w:rsid w:val="002244E8"/>
    <w:rsid w:val="00224EF1"/>
    <w:rsid w:val="002262F3"/>
    <w:rsid w:val="002367FC"/>
    <w:rsid w:val="002369F7"/>
    <w:rsid w:val="002401E9"/>
    <w:rsid w:val="0024695A"/>
    <w:rsid w:val="002534FD"/>
    <w:rsid w:val="00254920"/>
    <w:rsid w:val="002643FB"/>
    <w:rsid w:val="00280F1B"/>
    <w:rsid w:val="00286D97"/>
    <w:rsid w:val="0029489F"/>
    <w:rsid w:val="00297D8A"/>
    <w:rsid w:val="002B1535"/>
    <w:rsid w:val="002B2AC0"/>
    <w:rsid w:val="002B326C"/>
    <w:rsid w:val="002C2332"/>
    <w:rsid w:val="002C568E"/>
    <w:rsid w:val="002C7290"/>
    <w:rsid w:val="002E49FD"/>
    <w:rsid w:val="002E4E3F"/>
    <w:rsid w:val="002F2D7A"/>
    <w:rsid w:val="002F2FB4"/>
    <w:rsid w:val="00301C36"/>
    <w:rsid w:val="00302043"/>
    <w:rsid w:val="003105F5"/>
    <w:rsid w:val="0031061C"/>
    <w:rsid w:val="00310CCE"/>
    <w:rsid w:val="003137B2"/>
    <w:rsid w:val="003138EB"/>
    <w:rsid w:val="00313BA4"/>
    <w:rsid w:val="00326718"/>
    <w:rsid w:val="0035049C"/>
    <w:rsid w:val="00351347"/>
    <w:rsid w:val="003516ED"/>
    <w:rsid w:val="0035495D"/>
    <w:rsid w:val="00356AA0"/>
    <w:rsid w:val="0036117D"/>
    <w:rsid w:val="0036131A"/>
    <w:rsid w:val="00371482"/>
    <w:rsid w:val="003725BA"/>
    <w:rsid w:val="0037463C"/>
    <w:rsid w:val="00380430"/>
    <w:rsid w:val="003A0BFD"/>
    <w:rsid w:val="003A1E43"/>
    <w:rsid w:val="003A2FAF"/>
    <w:rsid w:val="003A6C78"/>
    <w:rsid w:val="003A714C"/>
    <w:rsid w:val="003B238A"/>
    <w:rsid w:val="003C4812"/>
    <w:rsid w:val="003C4EB8"/>
    <w:rsid w:val="003C56B3"/>
    <w:rsid w:val="003C5E80"/>
    <w:rsid w:val="003D2F96"/>
    <w:rsid w:val="003D3780"/>
    <w:rsid w:val="003E15AD"/>
    <w:rsid w:val="003E2FFF"/>
    <w:rsid w:val="003E411F"/>
    <w:rsid w:val="003E4B0B"/>
    <w:rsid w:val="003E683D"/>
    <w:rsid w:val="003F3DD2"/>
    <w:rsid w:val="00403E33"/>
    <w:rsid w:val="00411BED"/>
    <w:rsid w:val="00414FC5"/>
    <w:rsid w:val="00417E52"/>
    <w:rsid w:val="004202E0"/>
    <w:rsid w:val="00431065"/>
    <w:rsid w:val="004375DC"/>
    <w:rsid w:val="00444B8B"/>
    <w:rsid w:val="00450032"/>
    <w:rsid w:val="00453AD1"/>
    <w:rsid w:val="00454972"/>
    <w:rsid w:val="00460569"/>
    <w:rsid w:val="00461347"/>
    <w:rsid w:val="004639BE"/>
    <w:rsid w:val="004652BA"/>
    <w:rsid w:val="00473F35"/>
    <w:rsid w:val="004848CE"/>
    <w:rsid w:val="00487326"/>
    <w:rsid w:val="00490220"/>
    <w:rsid w:val="004939F0"/>
    <w:rsid w:val="00493B4B"/>
    <w:rsid w:val="00494C23"/>
    <w:rsid w:val="00495A7D"/>
    <w:rsid w:val="004A0546"/>
    <w:rsid w:val="004A1875"/>
    <w:rsid w:val="004A2977"/>
    <w:rsid w:val="004A2F0C"/>
    <w:rsid w:val="004A469E"/>
    <w:rsid w:val="004B1978"/>
    <w:rsid w:val="004C6CDC"/>
    <w:rsid w:val="004D46CD"/>
    <w:rsid w:val="004D485B"/>
    <w:rsid w:val="004E5C0C"/>
    <w:rsid w:val="004E6068"/>
    <w:rsid w:val="004E6A1B"/>
    <w:rsid w:val="004F1678"/>
    <w:rsid w:val="004F503E"/>
    <w:rsid w:val="0050541C"/>
    <w:rsid w:val="00506F64"/>
    <w:rsid w:val="00520AF8"/>
    <w:rsid w:val="005246A8"/>
    <w:rsid w:val="00525F46"/>
    <w:rsid w:val="0052785C"/>
    <w:rsid w:val="0053460B"/>
    <w:rsid w:val="0053697A"/>
    <w:rsid w:val="005421FB"/>
    <w:rsid w:val="00545142"/>
    <w:rsid w:val="005461C7"/>
    <w:rsid w:val="005510FA"/>
    <w:rsid w:val="0055228B"/>
    <w:rsid w:val="00556088"/>
    <w:rsid w:val="005560D9"/>
    <w:rsid w:val="005567ED"/>
    <w:rsid w:val="005577FD"/>
    <w:rsid w:val="00572579"/>
    <w:rsid w:val="0057336D"/>
    <w:rsid w:val="0057345C"/>
    <w:rsid w:val="005818FA"/>
    <w:rsid w:val="00581D67"/>
    <w:rsid w:val="005864C1"/>
    <w:rsid w:val="00587211"/>
    <w:rsid w:val="00587B01"/>
    <w:rsid w:val="005A364B"/>
    <w:rsid w:val="005B0448"/>
    <w:rsid w:val="005B25A6"/>
    <w:rsid w:val="005B515B"/>
    <w:rsid w:val="005C2A1B"/>
    <w:rsid w:val="005C729A"/>
    <w:rsid w:val="005C7EAD"/>
    <w:rsid w:val="005D002F"/>
    <w:rsid w:val="005D2B2A"/>
    <w:rsid w:val="005D7B7D"/>
    <w:rsid w:val="005E307B"/>
    <w:rsid w:val="005E5550"/>
    <w:rsid w:val="005E5B83"/>
    <w:rsid w:val="005E5B98"/>
    <w:rsid w:val="005E7339"/>
    <w:rsid w:val="005F2820"/>
    <w:rsid w:val="005F3008"/>
    <w:rsid w:val="005F59A3"/>
    <w:rsid w:val="005F59D1"/>
    <w:rsid w:val="006009A5"/>
    <w:rsid w:val="006010B7"/>
    <w:rsid w:val="00602436"/>
    <w:rsid w:val="00602ED3"/>
    <w:rsid w:val="0060594C"/>
    <w:rsid w:val="00610900"/>
    <w:rsid w:val="00610E90"/>
    <w:rsid w:val="006119F5"/>
    <w:rsid w:val="006157D1"/>
    <w:rsid w:val="00615F51"/>
    <w:rsid w:val="006355A0"/>
    <w:rsid w:val="0064062C"/>
    <w:rsid w:val="006419DA"/>
    <w:rsid w:val="006419ED"/>
    <w:rsid w:val="00641B0D"/>
    <w:rsid w:val="00643A7F"/>
    <w:rsid w:val="0064609C"/>
    <w:rsid w:val="00647410"/>
    <w:rsid w:val="00654A06"/>
    <w:rsid w:val="006613DC"/>
    <w:rsid w:val="0066192E"/>
    <w:rsid w:val="00665422"/>
    <w:rsid w:val="006661CE"/>
    <w:rsid w:val="00671125"/>
    <w:rsid w:val="00691BA4"/>
    <w:rsid w:val="0069303D"/>
    <w:rsid w:val="00693428"/>
    <w:rsid w:val="006952B0"/>
    <w:rsid w:val="006A360D"/>
    <w:rsid w:val="006A66E3"/>
    <w:rsid w:val="006A7432"/>
    <w:rsid w:val="006B48F5"/>
    <w:rsid w:val="006B556A"/>
    <w:rsid w:val="006B6022"/>
    <w:rsid w:val="006E7071"/>
    <w:rsid w:val="006F272D"/>
    <w:rsid w:val="007003AA"/>
    <w:rsid w:val="00702DD5"/>
    <w:rsid w:val="0070777B"/>
    <w:rsid w:val="00710BE7"/>
    <w:rsid w:val="0071106A"/>
    <w:rsid w:val="0071547E"/>
    <w:rsid w:val="007159C4"/>
    <w:rsid w:val="00726B8D"/>
    <w:rsid w:val="00734950"/>
    <w:rsid w:val="00735BA3"/>
    <w:rsid w:val="00746AF0"/>
    <w:rsid w:val="00751B12"/>
    <w:rsid w:val="007547EE"/>
    <w:rsid w:val="0075744F"/>
    <w:rsid w:val="00767B95"/>
    <w:rsid w:val="00775A78"/>
    <w:rsid w:val="00777E60"/>
    <w:rsid w:val="00786A47"/>
    <w:rsid w:val="00791F8D"/>
    <w:rsid w:val="007A288E"/>
    <w:rsid w:val="007A6D6C"/>
    <w:rsid w:val="007A6E61"/>
    <w:rsid w:val="007B4D6F"/>
    <w:rsid w:val="007B50A0"/>
    <w:rsid w:val="007C27F2"/>
    <w:rsid w:val="007C65B5"/>
    <w:rsid w:val="007C7F51"/>
    <w:rsid w:val="007D3103"/>
    <w:rsid w:val="007D3248"/>
    <w:rsid w:val="007E09D0"/>
    <w:rsid w:val="007E56AD"/>
    <w:rsid w:val="007E5F6F"/>
    <w:rsid w:val="007E609D"/>
    <w:rsid w:val="007F578F"/>
    <w:rsid w:val="007F5C94"/>
    <w:rsid w:val="00803AA1"/>
    <w:rsid w:val="00807FE4"/>
    <w:rsid w:val="00813E02"/>
    <w:rsid w:val="00817B12"/>
    <w:rsid w:val="008200A8"/>
    <w:rsid w:val="00822888"/>
    <w:rsid w:val="00823531"/>
    <w:rsid w:val="00825D86"/>
    <w:rsid w:val="00826C7D"/>
    <w:rsid w:val="00837A48"/>
    <w:rsid w:val="0084248F"/>
    <w:rsid w:val="00844D1A"/>
    <w:rsid w:val="00846C09"/>
    <w:rsid w:val="008563BD"/>
    <w:rsid w:val="00860FB8"/>
    <w:rsid w:val="008612A5"/>
    <w:rsid w:val="00867C7D"/>
    <w:rsid w:val="00876C67"/>
    <w:rsid w:val="00882A04"/>
    <w:rsid w:val="00887347"/>
    <w:rsid w:val="00890DBE"/>
    <w:rsid w:val="008A4FCD"/>
    <w:rsid w:val="008B03DF"/>
    <w:rsid w:val="008B12EF"/>
    <w:rsid w:val="008B4F04"/>
    <w:rsid w:val="008B6AA3"/>
    <w:rsid w:val="008C09B0"/>
    <w:rsid w:val="008C242C"/>
    <w:rsid w:val="008C5E92"/>
    <w:rsid w:val="008D242B"/>
    <w:rsid w:val="008D5580"/>
    <w:rsid w:val="008D6D3C"/>
    <w:rsid w:val="008D71FB"/>
    <w:rsid w:val="008F0E05"/>
    <w:rsid w:val="008F1405"/>
    <w:rsid w:val="008F1B7A"/>
    <w:rsid w:val="008F6308"/>
    <w:rsid w:val="008F660A"/>
    <w:rsid w:val="008F6BC9"/>
    <w:rsid w:val="00900A3B"/>
    <w:rsid w:val="00900B9D"/>
    <w:rsid w:val="009159A8"/>
    <w:rsid w:val="0091715C"/>
    <w:rsid w:val="0091795A"/>
    <w:rsid w:val="00930570"/>
    <w:rsid w:val="00934427"/>
    <w:rsid w:val="0093469D"/>
    <w:rsid w:val="00934A91"/>
    <w:rsid w:val="00944E25"/>
    <w:rsid w:val="00965CA8"/>
    <w:rsid w:val="009678E5"/>
    <w:rsid w:val="00967C7A"/>
    <w:rsid w:val="00971299"/>
    <w:rsid w:val="0097426A"/>
    <w:rsid w:val="0097681A"/>
    <w:rsid w:val="00987C90"/>
    <w:rsid w:val="00990258"/>
    <w:rsid w:val="00990CE6"/>
    <w:rsid w:val="009A2335"/>
    <w:rsid w:val="009A430B"/>
    <w:rsid w:val="009A455E"/>
    <w:rsid w:val="009C01A1"/>
    <w:rsid w:val="009C500D"/>
    <w:rsid w:val="009C75E6"/>
    <w:rsid w:val="009D3052"/>
    <w:rsid w:val="009E0ED4"/>
    <w:rsid w:val="009E2E2F"/>
    <w:rsid w:val="009E2FA2"/>
    <w:rsid w:val="009E525F"/>
    <w:rsid w:val="009E553C"/>
    <w:rsid w:val="009E76C2"/>
    <w:rsid w:val="00A02598"/>
    <w:rsid w:val="00A13615"/>
    <w:rsid w:val="00A16344"/>
    <w:rsid w:val="00A16408"/>
    <w:rsid w:val="00A178EB"/>
    <w:rsid w:val="00A20383"/>
    <w:rsid w:val="00A26C12"/>
    <w:rsid w:val="00A27754"/>
    <w:rsid w:val="00A30317"/>
    <w:rsid w:val="00A33EB2"/>
    <w:rsid w:val="00A41CB1"/>
    <w:rsid w:val="00A42A0B"/>
    <w:rsid w:val="00A440AA"/>
    <w:rsid w:val="00A44136"/>
    <w:rsid w:val="00A473D3"/>
    <w:rsid w:val="00A55845"/>
    <w:rsid w:val="00A56BC1"/>
    <w:rsid w:val="00A57B0F"/>
    <w:rsid w:val="00A61B6B"/>
    <w:rsid w:val="00A648B9"/>
    <w:rsid w:val="00A73204"/>
    <w:rsid w:val="00A778FF"/>
    <w:rsid w:val="00A81E96"/>
    <w:rsid w:val="00A8528E"/>
    <w:rsid w:val="00A95528"/>
    <w:rsid w:val="00AA1C90"/>
    <w:rsid w:val="00AA4083"/>
    <w:rsid w:val="00AA5FEA"/>
    <w:rsid w:val="00AB020F"/>
    <w:rsid w:val="00AB2033"/>
    <w:rsid w:val="00AC2E6D"/>
    <w:rsid w:val="00AC3219"/>
    <w:rsid w:val="00AC52FF"/>
    <w:rsid w:val="00AC5318"/>
    <w:rsid w:val="00AD151D"/>
    <w:rsid w:val="00AD6108"/>
    <w:rsid w:val="00B00723"/>
    <w:rsid w:val="00B01197"/>
    <w:rsid w:val="00B02AD9"/>
    <w:rsid w:val="00B044F2"/>
    <w:rsid w:val="00B05A2B"/>
    <w:rsid w:val="00B10717"/>
    <w:rsid w:val="00B165F1"/>
    <w:rsid w:val="00B212E2"/>
    <w:rsid w:val="00B2546C"/>
    <w:rsid w:val="00B254FA"/>
    <w:rsid w:val="00B25ED0"/>
    <w:rsid w:val="00B26709"/>
    <w:rsid w:val="00B41D5E"/>
    <w:rsid w:val="00B44441"/>
    <w:rsid w:val="00B50B10"/>
    <w:rsid w:val="00B5395E"/>
    <w:rsid w:val="00B53B7E"/>
    <w:rsid w:val="00B5545F"/>
    <w:rsid w:val="00B556CE"/>
    <w:rsid w:val="00B603B6"/>
    <w:rsid w:val="00B614BB"/>
    <w:rsid w:val="00B674CE"/>
    <w:rsid w:val="00B724FF"/>
    <w:rsid w:val="00B84703"/>
    <w:rsid w:val="00B86C22"/>
    <w:rsid w:val="00B95D92"/>
    <w:rsid w:val="00B969F2"/>
    <w:rsid w:val="00BA774A"/>
    <w:rsid w:val="00BB2761"/>
    <w:rsid w:val="00BB2775"/>
    <w:rsid w:val="00BB575E"/>
    <w:rsid w:val="00BB6405"/>
    <w:rsid w:val="00BC0679"/>
    <w:rsid w:val="00BC0CE5"/>
    <w:rsid w:val="00BC1DFB"/>
    <w:rsid w:val="00BD411F"/>
    <w:rsid w:val="00BD62E9"/>
    <w:rsid w:val="00BE0959"/>
    <w:rsid w:val="00BE108B"/>
    <w:rsid w:val="00BE61E8"/>
    <w:rsid w:val="00BF5B17"/>
    <w:rsid w:val="00C03B9C"/>
    <w:rsid w:val="00C04FAC"/>
    <w:rsid w:val="00C07607"/>
    <w:rsid w:val="00C1032F"/>
    <w:rsid w:val="00C1111F"/>
    <w:rsid w:val="00C11E83"/>
    <w:rsid w:val="00C20B02"/>
    <w:rsid w:val="00C21D33"/>
    <w:rsid w:val="00C235E9"/>
    <w:rsid w:val="00C23FDC"/>
    <w:rsid w:val="00C27439"/>
    <w:rsid w:val="00C31959"/>
    <w:rsid w:val="00C41640"/>
    <w:rsid w:val="00C42E11"/>
    <w:rsid w:val="00C43E3D"/>
    <w:rsid w:val="00C50D0D"/>
    <w:rsid w:val="00C513C0"/>
    <w:rsid w:val="00C530EA"/>
    <w:rsid w:val="00C54812"/>
    <w:rsid w:val="00C55001"/>
    <w:rsid w:val="00C56322"/>
    <w:rsid w:val="00C62CF3"/>
    <w:rsid w:val="00C73906"/>
    <w:rsid w:val="00C80C5C"/>
    <w:rsid w:val="00C85F09"/>
    <w:rsid w:val="00CA22EC"/>
    <w:rsid w:val="00CB4920"/>
    <w:rsid w:val="00CB7C85"/>
    <w:rsid w:val="00CC72AA"/>
    <w:rsid w:val="00CD0395"/>
    <w:rsid w:val="00CD7DD5"/>
    <w:rsid w:val="00CE62E7"/>
    <w:rsid w:val="00CE713A"/>
    <w:rsid w:val="00CF6FA1"/>
    <w:rsid w:val="00CF72A6"/>
    <w:rsid w:val="00CF7381"/>
    <w:rsid w:val="00CF7B13"/>
    <w:rsid w:val="00D023CF"/>
    <w:rsid w:val="00D123FD"/>
    <w:rsid w:val="00D1653A"/>
    <w:rsid w:val="00D21B34"/>
    <w:rsid w:val="00D2268A"/>
    <w:rsid w:val="00D40B56"/>
    <w:rsid w:val="00D44A2E"/>
    <w:rsid w:val="00D53944"/>
    <w:rsid w:val="00D569F9"/>
    <w:rsid w:val="00D57A1F"/>
    <w:rsid w:val="00D65334"/>
    <w:rsid w:val="00D67A27"/>
    <w:rsid w:val="00D7164F"/>
    <w:rsid w:val="00D8007A"/>
    <w:rsid w:val="00D83C37"/>
    <w:rsid w:val="00D9141E"/>
    <w:rsid w:val="00D94809"/>
    <w:rsid w:val="00D952FF"/>
    <w:rsid w:val="00D9649E"/>
    <w:rsid w:val="00D96A5F"/>
    <w:rsid w:val="00D973E4"/>
    <w:rsid w:val="00DA674D"/>
    <w:rsid w:val="00DB0F0C"/>
    <w:rsid w:val="00DB1D36"/>
    <w:rsid w:val="00DC1AF1"/>
    <w:rsid w:val="00DC2A1D"/>
    <w:rsid w:val="00DD3F25"/>
    <w:rsid w:val="00DD3FB5"/>
    <w:rsid w:val="00DD73C8"/>
    <w:rsid w:val="00DE2AD7"/>
    <w:rsid w:val="00DE6832"/>
    <w:rsid w:val="00DF161D"/>
    <w:rsid w:val="00DF244D"/>
    <w:rsid w:val="00DF2478"/>
    <w:rsid w:val="00DF3AA8"/>
    <w:rsid w:val="00E00E86"/>
    <w:rsid w:val="00E02F59"/>
    <w:rsid w:val="00E10E99"/>
    <w:rsid w:val="00E14FF3"/>
    <w:rsid w:val="00E159E3"/>
    <w:rsid w:val="00E32597"/>
    <w:rsid w:val="00E5141D"/>
    <w:rsid w:val="00E612B3"/>
    <w:rsid w:val="00E64B48"/>
    <w:rsid w:val="00E654DB"/>
    <w:rsid w:val="00E701ED"/>
    <w:rsid w:val="00E777F7"/>
    <w:rsid w:val="00E77FE5"/>
    <w:rsid w:val="00E93184"/>
    <w:rsid w:val="00E943CB"/>
    <w:rsid w:val="00E9570E"/>
    <w:rsid w:val="00E971CF"/>
    <w:rsid w:val="00E977B7"/>
    <w:rsid w:val="00EB7B6E"/>
    <w:rsid w:val="00EC4FC8"/>
    <w:rsid w:val="00EC726F"/>
    <w:rsid w:val="00ED291F"/>
    <w:rsid w:val="00ED499B"/>
    <w:rsid w:val="00EE001E"/>
    <w:rsid w:val="00EE2CD4"/>
    <w:rsid w:val="00EE42AA"/>
    <w:rsid w:val="00EF11C1"/>
    <w:rsid w:val="00EF461E"/>
    <w:rsid w:val="00EF6015"/>
    <w:rsid w:val="00EF688B"/>
    <w:rsid w:val="00EF6B9F"/>
    <w:rsid w:val="00F003DD"/>
    <w:rsid w:val="00F0179A"/>
    <w:rsid w:val="00F0246D"/>
    <w:rsid w:val="00F05482"/>
    <w:rsid w:val="00F05F91"/>
    <w:rsid w:val="00F13AAA"/>
    <w:rsid w:val="00F17A60"/>
    <w:rsid w:val="00F2209C"/>
    <w:rsid w:val="00F23A6A"/>
    <w:rsid w:val="00F35579"/>
    <w:rsid w:val="00F37119"/>
    <w:rsid w:val="00F42AA4"/>
    <w:rsid w:val="00F50D58"/>
    <w:rsid w:val="00F55EC1"/>
    <w:rsid w:val="00F60C4A"/>
    <w:rsid w:val="00F7134C"/>
    <w:rsid w:val="00F7135C"/>
    <w:rsid w:val="00F753AA"/>
    <w:rsid w:val="00F85C61"/>
    <w:rsid w:val="00F864F7"/>
    <w:rsid w:val="00F8687B"/>
    <w:rsid w:val="00F87B02"/>
    <w:rsid w:val="00F90895"/>
    <w:rsid w:val="00F90DF4"/>
    <w:rsid w:val="00F939AA"/>
    <w:rsid w:val="00F93B53"/>
    <w:rsid w:val="00FA7DB1"/>
    <w:rsid w:val="00FB2F50"/>
    <w:rsid w:val="00FB3CE3"/>
    <w:rsid w:val="00FD0854"/>
    <w:rsid w:val="00FD1F35"/>
    <w:rsid w:val="00FD555A"/>
    <w:rsid w:val="00FD798D"/>
    <w:rsid w:val="00FD7C58"/>
    <w:rsid w:val="00FE284B"/>
    <w:rsid w:val="00FF4C60"/>
    <w:rsid w:val="00FF584C"/>
    <w:rsid w:val="00FF6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12"/>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812"/>
    <w:pPr>
      <w:tabs>
        <w:tab w:val="center" w:pos="4320"/>
        <w:tab w:val="right" w:pos="8640"/>
      </w:tabs>
    </w:pPr>
  </w:style>
  <w:style w:type="character" w:customStyle="1" w:styleId="FooterChar">
    <w:name w:val="Footer Char"/>
    <w:basedOn w:val="DefaultParagraphFont"/>
    <w:link w:val="Footer"/>
    <w:rsid w:val="003C4812"/>
    <w:rPr>
      <w:rFonts w:ascii="Times New Roman" w:eastAsia="Times New Roman" w:hAnsi="Times New Roman" w:cs="Times New Roman"/>
      <w:sz w:val="20"/>
      <w:szCs w:val="20"/>
    </w:rPr>
  </w:style>
  <w:style w:type="character" w:styleId="PageNumber">
    <w:name w:val="page number"/>
    <w:basedOn w:val="DefaultParagraphFont"/>
    <w:rsid w:val="003C4812"/>
  </w:style>
  <w:style w:type="paragraph" w:styleId="FootnoteText">
    <w:name w:val="footnote text"/>
    <w:basedOn w:val="Normal"/>
    <w:link w:val="FootnoteTextChar"/>
    <w:rsid w:val="003C4812"/>
    <w:pPr>
      <w:widowControl/>
    </w:pPr>
  </w:style>
  <w:style w:type="character" w:customStyle="1" w:styleId="FootnoteTextChar">
    <w:name w:val="Footnote Text Char"/>
    <w:basedOn w:val="DefaultParagraphFont"/>
    <w:link w:val="FootnoteText"/>
    <w:rsid w:val="003C4812"/>
    <w:rPr>
      <w:rFonts w:ascii="Times New Roman" w:eastAsia="Times New Roman" w:hAnsi="Times New Roman" w:cs="Times New Roman"/>
      <w:sz w:val="20"/>
      <w:szCs w:val="20"/>
    </w:rPr>
  </w:style>
  <w:style w:type="character" w:styleId="FootnoteReference">
    <w:name w:val="footnote reference"/>
    <w:basedOn w:val="DefaultParagraphFont"/>
    <w:rsid w:val="003C4812"/>
    <w:rPr>
      <w:vertAlign w:val="superscript"/>
    </w:rPr>
  </w:style>
  <w:style w:type="character" w:styleId="Hyperlink">
    <w:name w:val="Hyperlink"/>
    <w:basedOn w:val="DefaultParagraphFont"/>
    <w:rsid w:val="003C4812"/>
    <w:rPr>
      <w:color w:val="0000FF"/>
      <w:u w:val="single"/>
    </w:rPr>
  </w:style>
  <w:style w:type="character" w:styleId="Emphasis">
    <w:name w:val="Emphasis"/>
    <w:basedOn w:val="DefaultParagraphFont"/>
    <w:qFormat/>
    <w:rsid w:val="003C4812"/>
    <w:rPr>
      <w:i/>
      <w:iCs/>
    </w:rPr>
  </w:style>
  <w:style w:type="paragraph" w:styleId="BlockText">
    <w:name w:val="Block Text"/>
    <w:basedOn w:val="Normal"/>
    <w:rsid w:val="003C4812"/>
    <w:pPr>
      <w:tabs>
        <w:tab w:val="left" w:pos="-720"/>
      </w:tabs>
      <w:spacing w:line="360" w:lineRule="auto"/>
      <w:ind w:left="1440" w:right="2160"/>
    </w:pPr>
    <w:rPr>
      <w:sz w:val="26"/>
    </w:rPr>
  </w:style>
  <w:style w:type="paragraph" w:styleId="ListParagraph">
    <w:name w:val="List Paragraph"/>
    <w:basedOn w:val="Normal"/>
    <w:uiPriority w:val="34"/>
    <w:qFormat/>
    <w:rsid w:val="00224EF1"/>
    <w:pPr>
      <w:ind w:left="720"/>
      <w:contextualSpacing/>
    </w:pPr>
  </w:style>
  <w:style w:type="paragraph" w:styleId="Header">
    <w:name w:val="header"/>
    <w:basedOn w:val="Normal"/>
    <w:link w:val="HeaderChar"/>
    <w:uiPriority w:val="99"/>
    <w:semiHidden/>
    <w:unhideWhenUsed/>
    <w:rsid w:val="003A714C"/>
    <w:pPr>
      <w:tabs>
        <w:tab w:val="center" w:pos="4680"/>
        <w:tab w:val="right" w:pos="9360"/>
      </w:tabs>
    </w:pPr>
  </w:style>
  <w:style w:type="character" w:customStyle="1" w:styleId="HeaderChar">
    <w:name w:val="Header Char"/>
    <w:basedOn w:val="DefaultParagraphFont"/>
    <w:link w:val="Header"/>
    <w:uiPriority w:val="99"/>
    <w:semiHidden/>
    <w:rsid w:val="003A714C"/>
    <w:rPr>
      <w:rFonts w:ascii="Times New Roman" w:eastAsia="Times New Roman" w:hAnsi="Times New Roman" w:cs="Times New Roman"/>
      <w:sz w:val="20"/>
      <w:szCs w:val="20"/>
    </w:rPr>
  </w:style>
  <w:style w:type="paragraph" w:styleId="BodyText2">
    <w:name w:val="Body Text 2"/>
    <w:basedOn w:val="Normal"/>
    <w:link w:val="BodyText2Char"/>
    <w:rsid w:val="00CE62E7"/>
    <w:pPr>
      <w:widowControl/>
      <w:spacing w:line="480" w:lineRule="auto"/>
      <w:ind w:firstLine="720"/>
      <w:jc w:val="both"/>
    </w:pPr>
    <w:rPr>
      <w:sz w:val="24"/>
      <w:szCs w:val="24"/>
    </w:rPr>
  </w:style>
  <w:style w:type="character" w:customStyle="1" w:styleId="BodyText2Char">
    <w:name w:val="Body Text 2 Char"/>
    <w:basedOn w:val="DefaultParagraphFont"/>
    <w:link w:val="BodyText2"/>
    <w:rsid w:val="00CE62E7"/>
    <w:rPr>
      <w:rFonts w:ascii="Times New Roman" w:eastAsia="Times New Roman" w:hAnsi="Times New Roman" w:cs="Times New Roman"/>
      <w:sz w:val="24"/>
      <w:szCs w:val="24"/>
    </w:rPr>
  </w:style>
  <w:style w:type="paragraph" w:styleId="ListNumber">
    <w:name w:val="List Number"/>
    <w:basedOn w:val="Normal"/>
    <w:rsid w:val="00CE62E7"/>
    <w:pPr>
      <w:widowControl/>
      <w:numPr>
        <w:numId w:val="5"/>
      </w:numPr>
      <w:spacing w:line="480" w:lineRule="auto"/>
    </w:pPr>
    <w:rPr>
      <w:sz w:val="24"/>
      <w:szCs w:val="24"/>
    </w:rPr>
  </w:style>
  <w:style w:type="paragraph" w:styleId="ListBullet4">
    <w:name w:val="List Bullet 4"/>
    <w:aliases w:val="b4"/>
    <w:basedOn w:val="Normal"/>
    <w:rsid w:val="00167F7B"/>
    <w:pPr>
      <w:widowControl/>
      <w:numPr>
        <w:numId w:val="7"/>
      </w:numPr>
      <w:spacing w:after="240"/>
      <w:jc w:val="both"/>
    </w:pPr>
    <w:rPr>
      <w:sz w:val="24"/>
    </w:rPr>
  </w:style>
  <w:style w:type="paragraph" w:styleId="BalloonText">
    <w:name w:val="Balloon Text"/>
    <w:basedOn w:val="Normal"/>
    <w:link w:val="BalloonTextChar"/>
    <w:uiPriority w:val="99"/>
    <w:semiHidden/>
    <w:unhideWhenUsed/>
    <w:rsid w:val="00FD555A"/>
    <w:rPr>
      <w:rFonts w:ascii="Tahoma" w:hAnsi="Tahoma" w:cs="Tahoma"/>
      <w:sz w:val="16"/>
      <w:szCs w:val="16"/>
    </w:rPr>
  </w:style>
  <w:style w:type="character" w:customStyle="1" w:styleId="BalloonTextChar">
    <w:name w:val="Balloon Text Char"/>
    <w:basedOn w:val="DefaultParagraphFont"/>
    <w:link w:val="BalloonText"/>
    <w:uiPriority w:val="99"/>
    <w:semiHidden/>
    <w:rsid w:val="00FD55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7B01"/>
    <w:rPr>
      <w:sz w:val="16"/>
      <w:szCs w:val="16"/>
    </w:rPr>
  </w:style>
  <w:style w:type="paragraph" w:styleId="CommentText">
    <w:name w:val="annotation text"/>
    <w:basedOn w:val="Normal"/>
    <w:link w:val="CommentTextChar"/>
    <w:uiPriority w:val="99"/>
    <w:semiHidden/>
    <w:unhideWhenUsed/>
    <w:rsid w:val="00587B01"/>
  </w:style>
  <w:style w:type="character" w:customStyle="1" w:styleId="CommentTextChar">
    <w:name w:val="Comment Text Char"/>
    <w:basedOn w:val="DefaultParagraphFont"/>
    <w:link w:val="CommentText"/>
    <w:uiPriority w:val="99"/>
    <w:semiHidden/>
    <w:rsid w:val="00587B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7B01"/>
    <w:rPr>
      <w:b/>
      <w:bCs/>
    </w:rPr>
  </w:style>
  <w:style w:type="character" w:customStyle="1" w:styleId="CommentSubjectChar">
    <w:name w:val="Comment Subject Char"/>
    <w:basedOn w:val="CommentTextChar"/>
    <w:link w:val="CommentSubject"/>
    <w:uiPriority w:val="99"/>
    <w:semiHidden/>
    <w:rsid w:val="00587B0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998C-7E99-4BE9-B31E-85186D69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2011-04-27T15:16:00Z</cp:lastPrinted>
  <dcterms:created xsi:type="dcterms:W3CDTF">2011-04-11T16:19:00Z</dcterms:created>
  <dcterms:modified xsi:type="dcterms:W3CDTF">2011-04-27T15:17:00Z</dcterms:modified>
</cp:coreProperties>
</file>