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4230"/>
        <w:gridCol w:w="2790"/>
      </w:tblGrid>
      <w:tr w:rsidR="003F5590" w:rsidRPr="00927B3D" w:rsidTr="005F3632">
        <w:tc>
          <w:tcPr>
            <w:tcW w:w="2448" w:type="dxa"/>
          </w:tcPr>
          <w:p w:rsidR="003F5590" w:rsidRPr="00927B3D" w:rsidRDefault="003F5590">
            <w:pPr>
              <w:pStyle w:val="Header"/>
              <w:tabs>
                <w:tab w:val="clear" w:pos="4320"/>
                <w:tab w:val="clear" w:pos="8640"/>
              </w:tabs>
              <w:rPr>
                <w:color w:val="auto"/>
                <w:sz w:val="26"/>
              </w:rPr>
            </w:pPr>
          </w:p>
        </w:tc>
        <w:tc>
          <w:tcPr>
            <w:tcW w:w="4230" w:type="dxa"/>
          </w:tcPr>
          <w:p w:rsidR="003F5590" w:rsidRPr="00927B3D" w:rsidRDefault="003F5590">
            <w:pPr>
              <w:jc w:val="center"/>
              <w:rPr>
                <w:b/>
                <w:color w:val="auto"/>
                <w:sz w:val="26"/>
              </w:rPr>
            </w:pPr>
            <w:r w:rsidRPr="00927B3D">
              <w:rPr>
                <w:b/>
                <w:color w:val="auto"/>
                <w:sz w:val="26"/>
              </w:rPr>
              <w:t>PENNSYLVANIA</w:t>
            </w:r>
          </w:p>
          <w:p w:rsidR="003F5590" w:rsidRPr="00927B3D" w:rsidRDefault="003F5590">
            <w:pPr>
              <w:jc w:val="center"/>
              <w:rPr>
                <w:b/>
                <w:color w:val="auto"/>
                <w:sz w:val="26"/>
              </w:rPr>
            </w:pPr>
            <w:r w:rsidRPr="00927B3D">
              <w:rPr>
                <w:b/>
                <w:color w:val="auto"/>
                <w:sz w:val="26"/>
              </w:rPr>
              <w:t>PUBLIC UTILITY COMMISSION</w:t>
            </w:r>
          </w:p>
          <w:p w:rsidR="003F5590" w:rsidRPr="00927B3D" w:rsidRDefault="003F5590">
            <w:pPr>
              <w:jc w:val="center"/>
              <w:rPr>
                <w:color w:val="auto"/>
                <w:sz w:val="26"/>
              </w:rPr>
            </w:pPr>
            <w:r w:rsidRPr="00927B3D">
              <w:rPr>
                <w:b/>
                <w:color w:val="auto"/>
                <w:sz w:val="26"/>
              </w:rPr>
              <w:t>Harrisburg, PA.  17105-3265</w:t>
            </w:r>
          </w:p>
        </w:tc>
        <w:tc>
          <w:tcPr>
            <w:tcW w:w="2790" w:type="dxa"/>
          </w:tcPr>
          <w:p w:rsidR="003F5590" w:rsidRPr="00927B3D" w:rsidRDefault="003F5590">
            <w:pPr>
              <w:jc w:val="center"/>
              <w:rPr>
                <w:color w:val="auto"/>
                <w:sz w:val="26"/>
              </w:rPr>
            </w:pPr>
          </w:p>
        </w:tc>
      </w:tr>
      <w:tr w:rsidR="003F5590" w:rsidRPr="00927B3D" w:rsidTr="005F3632">
        <w:tc>
          <w:tcPr>
            <w:tcW w:w="2448" w:type="dxa"/>
          </w:tcPr>
          <w:p w:rsidR="003F5590" w:rsidRPr="00927B3D" w:rsidRDefault="003F5590">
            <w:pPr>
              <w:rPr>
                <w:color w:val="auto"/>
                <w:sz w:val="26"/>
              </w:rPr>
            </w:pPr>
          </w:p>
        </w:tc>
        <w:tc>
          <w:tcPr>
            <w:tcW w:w="4230" w:type="dxa"/>
          </w:tcPr>
          <w:p w:rsidR="003F5590" w:rsidRPr="00927B3D" w:rsidRDefault="003F5590">
            <w:pPr>
              <w:rPr>
                <w:color w:val="auto"/>
                <w:sz w:val="26"/>
              </w:rPr>
            </w:pPr>
          </w:p>
        </w:tc>
        <w:tc>
          <w:tcPr>
            <w:tcW w:w="2790" w:type="dxa"/>
          </w:tcPr>
          <w:p w:rsidR="003F5590" w:rsidRPr="00927B3D" w:rsidRDefault="003F5590">
            <w:pPr>
              <w:rPr>
                <w:color w:val="auto"/>
                <w:sz w:val="26"/>
              </w:rPr>
            </w:pPr>
          </w:p>
        </w:tc>
      </w:tr>
    </w:tbl>
    <w:p w:rsidR="003F5590" w:rsidRPr="00927B3D" w:rsidRDefault="003F5590">
      <w:pPr>
        <w:rPr>
          <w:color w:val="auto"/>
          <w:sz w:val="26"/>
        </w:rPr>
      </w:pPr>
    </w:p>
    <w:tbl>
      <w:tblPr>
        <w:tblW w:w="0" w:type="auto"/>
        <w:tblLayout w:type="fixed"/>
        <w:tblLook w:val="0000"/>
      </w:tblPr>
      <w:tblGrid>
        <w:gridCol w:w="4338"/>
        <w:gridCol w:w="810"/>
        <w:gridCol w:w="4320"/>
      </w:tblGrid>
      <w:tr w:rsidR="003F5590" w:rsidRPr="00927B3D" w:rsidTr="005F3632">
        <w:tc>
          <w:tcPr>
            <w:tcW w:w="4338" w:type="dxa"/>
          </w:tcPr>
          <w:p w:rsidR="003F5590" w:rsidRPr="00927B3D" w:rsidRDefault="003F5590">
            <w:pPr>
              <w:rPr>
                <w:color w:val="auto"/>
                <w:sz w:val="26"/>
              </w:rPr>
            </w:pPr>
          </w:p>
        </w:tc>
        <w:tc>
          <w:tcPr>
            <w:tcW w:w="5130" w:type="dxa"/>
            <w:gridSpan w:val="2"/>
          </w:tcPr>
          <w:p w:rsidR="003F5590" w:rsidRPr="00927B3D" w:rsidRDefault="00927B3D" w:rsidP="00B606DC">
            <w:pPr>
              <w:jc w:val="right"/>
              <w:rPr>
                <w:color w:val="auto"/>
                <w:sz w:val="26"/>
              </w:rPr>
            </w:pPr>
            <w:r>
              <w:rPr>
                <w:color w:val="auto"/>
                <w:sz w:val="26"/>
              </w:rPr>
              <w:t xml:space="preserve">      </w:t>
            </w:r>
            <w:r w:rsidR="003F5590" w:rsidRPr="00927B3D">
              <w:rPr>
                <w:color w:val="auto"/>
                <w:sz w:val="26"/>
              </w:rPr>
              <w:t xml:space="preserve">Public Meeting held </w:t>
            </w:r>
            <w:r w:rsidR="00B606DC" w:rsidRPr="00927B3D">
              <w:rPr>
                <w:color w:val="auto"/>
                <w:sz w:val="26"/>
              </w:rPr>
              <w:t>March 31, 2011</w:t>
            </w:r>
          </w:p>
        </w:tc>
      </w:tr>
      <w:tr w:rsidR="003F5590" w:rsidRPr="00927B3D" w:rsidTr="005F3632">
        <w:tc>
          <w:tcPr>
            <w:tcW w:w="5148" w:type="dxa"/>
            <w:gridSpan w:val="2"/>
          </w:tcPr>
          <w:p w:rsidR="003F5590" w:rsidRPr="00927B3D" w:rsidRDefault="003F5590">
            <w:pPr>
              <w:rPr>
                <w:color w:val="auto"/>
                <w:sz w:val="26"/>
              </w:rPr>
            </w:pPr>
          </w:p>
          <w:p w:rsidR="003F5590" w:rsidRPr="00927B3D" w:rsidRDefault="003F5590">
            <w:pPr>
              <w:rPr>
                <w:color w:val="auto"/>
                <w:sz w:val="26"/>
              </w:rPr>
            </w:pPr>
            <w:r w:rsidRPr="00927B3D">
              <w:rPr>
                <w:color w:val="auto"/>
                <w:sz w:val="26"/>
              </w:rPr>
              <w:t>Commissioners Present:</w:t>
            </w:r>
          </w:p>
        </w:tc>
        <w:tc>
          <w:tcPr>
            <w:tcW w:w="4320" w:type="dxa"/>
          </w:tcPr>
          <w:p w:rsidR="003F5590" w:rsidRPr="00927B3D" w:rsidRDefault="003F5590">
            <w:pPr>
              <w:rPr>
                <w:color w:val="auto"/>
                <w:sz w:val="26"/>
              </w:rPr>
            </w:pPr>
          </w:p>
        </w:tc>
      </w:tr>
    </w:tbl>
    <w:p w:rsidR="003F5590" w:rsidRPr="00927B3D" w:rsidRDefault="003F5590">
      <w:pPr>
        <w:rPr>
          <w:color w:val="auto"/>
          <w:sz w:val="26"/>
        </w:rPr>
      </w:pPr>
    </w:p>
    <w:tbl>
      <w:tblPr>
        <w:tblW w:w="0" w:type="auto"/>
        <w:tblLayout w:type="fixed"/>
        <w:tblLook w:val="0000"/>
      </w:tblPr>
      <w:tblGrid>
        <w:gridCol w:w="4518"/>
        <w:gridCol w:w="4950"/>
      </w:tblGrid>
      <w:tr w:rsidR="009856D6" w:rsidRPr="00927B3D" w:rsidTr="005F3632">
        <w:tc>
          <w:tcPr>
            <w:tcW w:w="9468" w:type="dxa"/>
            <w:gridSpan w:val="2"/>
          </w:tcPr>
          <w:p w:rsidR="009856D6" w:rsidRPr="00927B3D" w:rsidRDefault="00046474" w:rsidP="007D2718">
            <w:pPr>
              <w:rPr>
                <w:color w:val="auto"/>
                <w:sz w:val="26"/>
              </w:rPr>
            </w:pPr>
            <w:r w:rsidRPr="00927B3D">
              <w:rPr>
                <w:color w:val="auto"/>
                <w:sz w:val="26"/>
              </w:rPr>
              <w:tab/>
            </w:r>
            <w:r w:rsidR="00B606DC" w:rsidRPr="00927B3D">
              <w:rPr>
                <w:color w:val="auto"/>
                <w:sz w:val="26"/>
              </w:rPr>
              <w:t xml:space="preserve">Robert F. </w:t>
            </w:r>
            <w:proofErr w:type="spellStart"/>
            <w:r w:rsidR="00B606DC" w:rsidRPr="00927B3D">
              <w:rPr>
                <w:color w:val="auto"/>
                <w:sz w:val="26"/>
              </w:rPr>
              <w:t>Powelson</w:t>
            </w:r>
            <w:proofErr w:type="spellEnd"/>
            <w:r w:rsidR="009856D6" w:rsidRPr="00927B3D">
              <w:rPr>
                <w:color w:val="auto"/>
                <w:sz w:val="26"/>
              </w:rPr>
              <w:t>, Chairman</w:t>
            </w:r>
          </w:p>
          <w:p w:rsidR="009856D6" w:rsidRPr="00927B3D" w:rsidRDefault="00046474" w:rsidP="00046474">
            <w:pPr>
              <w:rPr>
                <w:color w:val="auto"/>
                <w:sz w:val="26"/>
              </w:rPr>
            </w:pPr>
            <w:r w:rsidRPr="00927B3D">
              <w:rPr>
                <w:color w:val="auto"/>
                <w:sz w:val="26"/>
              </w:rPr>
              <w:tab/>
            </w:r>
            <w:r w:rsidR="00B606DC" w:rsidRPr="00927B3D">
              <w:rPr>
                <w:color w:val="auto"/>
                <w:sz w:val="26"/>
              </w:rPr>
              <w:t>John F. Coleman, Jr.</w:t>
            </w:r>
            <w:r w:rsidR="002A514F" w:rsidRPr="00927B3D">
              <w:rPr>
                <w:color w:val="auto"/>
                <w:sz w:val="26"/>
              </w:rPr>
              <w:t>, Vice Chairman</w:t>
            </w:r>
          </w:p>
        </w:tc>
      </w:tr>
      <w:tr w:rsidR="009856D6" w:rsidRPr="00927B3D" w:rsidTr="005F3632">
        <w:tc>
          <w:tcPr>
            <w:tcW w:w="9468" w:type="dxa"/>
            <w:gridSpan w:val="2"/>
          </w:tcPr>
          <w:p w:rsidR="008E2AF5" w:rsidRPr="00927B3D" w:rsidRDefault="00046474" w:rsidP="008E2AF5">
            <w:pPr>
              <w:rPr>
                <w:color w:val="auto"/>
                <w:sz w:val="26"/>
              </w:rPr>
            </w:pPr>
            <w:r w:rsidRPr="00927B3D">
              <w:rPr>
                <w:color w:val="auto"/>
                <w:sz w:val="26"/>
              </w:rPr>
              <w:tab/>
            </w:r>
            <w:r w:rsidR="00B606DC" w:rsidRPr="00927B3D">
              <w:rPr>
                <w:color w:val="auto"/>
                <w:sz w:val="26"/>
              </w:rPr>
              <w:t>Tyrone J. Christy</w:t>
            </w:r>
          </w:p>
          <w:p w:rsidR="008E2AF5" w:rsidRPr="00927B3D" w:rsidRDefault="00046474" w:rsidP="008E2AF5">
            <w:pPr>
              <w:rPr>
                <w:color w:val="auto"/>
                <w:sz w:val="26"/>
              </w:rPr>
            </w:pPr>
            <w:r w:rsidRPr="00927B3D">
              <w:rPr>
                <w:color w:val="auto"/>
                <w:sz w:val="26"/>
              </w:rPr>
              <w:tab/>
            </w:r>
            <w:r w:rsidR="008E2AF5" w:rsidRPr="00927B3D">
              <w:rPr>
                <w:color w:val="auto"/>
                <w:sz w:val="26"/>
              </w:rPr>
              <w:t>Wayne E. Gardner</w:t>
            </w:r>
          </w:p>
          <w:p w:rsidR="009856D6" w:rsidRPr="00927B3D" w:rsidRDefault="00046474" w:rsidP="00046474">
            <w:pPr>
              <w:rPr>
                <w:color w:val="auto"/>
                <w:sz w:val="26"/>
              </w:rPr>
            </w:pPr>
            <w:r w:rsidRPr="00927B3D">
              <w:rPr>
                <w:color w:val="auto"/>
                <w:sz w:val="26"/>
              </w:rPr>
              <w:tab/>
            </w:r>
            <w:r w:rsidR="00B606DC" w:rsidRPr="00927B3D">
              <w:rPr>
                <w:color w:val="auto"/>
                <w:sz w:val="26"/>
              </w:rPr>
              <w:t xml:space="preserve">James H. </w:t>
            </w:r>
            <w:proofErr w:type="spellStart"/>
            <w:r w:rsidR="00B606DC" w:rsidRPr="00927B3D">
              <w:rPr>
                <w:color w:val="auto"/>
                <w:sz w:val="26"/>
              </w:rPr>
              <w:t>Cawley</w:t>
            </w:r>
            <w:proofErr w:type="spellEnd"/>
          </w:p>
        </w:tc>
      </w:tr>
      <w:tr w:rsidR="009856D6" w:rsidRPr="00927B3D" w:rsidTr="005F3632">
        <w:tc>
          <w:tcPr>
            <w:tcW w:w="9468" w:type="dxa"/>
            <w:gridSpan w:val="2"/>
          </w:tcPr>
          <w:p w:rsidR="008E2AF5" w:rsidRPr="00927B3D" w:rsidRDefault="008E2AF5" w:rsidP="008E2AF5">
            <w:pPr>
              <w:rPr>
                <w:color w:val="auto"/>
                <w:sz w:val="26"/>
              </w:rPr>
            </w:pPr>
          </w:p>
        </w:tc>
      </w:tr>
      <w:tr w:rsidR="009856D6" w:rsidRPr="00927B3D" w:rsidTr="005F3632">
        <w:tc>
          <w:tcPr>
            <w:tcW w:w="9468" w:type="dxa"/>
            <w:gridSpan w:val="2"/>
          </w:tcPr>
          <w:p w:rsidR="009856D6" w:rsidRPr="00927B3D" w:rsidRDefault="009856D6">
            <w:pPr>
              <w:rPr>
                <w:color w:val="auto"/>
                <w:sz w:val="26"/>
              </w:rPr>
            </w:pPr>
          </w:p>
        </w:tc>
      </w:tr>
      <w:tr w:rsidR="009856D6" w:rsidRPr="00927B3D" w:rsidTr="005F3632">
        <w:tc>
          <w:tcPr>
            <w:tcW w:w="9468" w:type="dxa"/>
            <w:gridSpan w:val="2"/>
          </w:tcPr>
          <w:p w:rsidR="009856D6" w:rsidRPr="00927B3D" w:rsidRDefault="009856D6">
            <w:pPr>
              <w:rPr>
                <w:color w:val="auto"/>
                <w:sz w:val="26"/>
              </w:rPr>
            </w:pPr>
          </w:p>
        </w:tc>
      </w:tr>
      <w:tr w:rsidR="009856D6" w:rsidRPr="00927B3D" w:rsidTr="005F3632">
        <w:tc>
          <w:tcPr>
            <w:tcW w:w="4518" w:type="dxa"/>
          </w:tcPr>
          <w:p w:rsidR="009856D6" w:rsidRPr="00927B3D" w:rsidRDefault="00824C45" w:rsidP="007D2718">
            <w:pPr>
              <w:rPr>
                <w:color w:val="auto"/>
                <w:sz w:val="26"/>
              </w:rPr>
            </w:pPr>
            <w:r w:rsidRPr="00927B3D">
              <w:rPr>
                <w:color w:val="auto"/>
                <w:sz w:val="26"/>
              </w:rPr>
              <w:t>David E. Moore</w:t>
            </w:r>
          </w:p>
          <w:p w:rsidR="005A42AD" w:rsidRPr="00927B3D" w:rsidRDefault="005A42AD" w:rsidP="007D2718">
            <w:pPr>
              <w:rPr>
                <w:color w:val="auto"/>
                <w:sz w:val="26"/>
              </w:rPr>
            </w:pPr>
          </w:p>
          <w:p w:rsidR="009856D6" w:rsidRPr="00927B3D" w:rsidRDefault="009856D6" w:rsidP="007D2718">
            <w:pPr>
              <w:rPr>
                <w:color w:val="auto"/>
                <w:sz w:val="26"/>
              </w:rPr>
            </w:pPr>
            <w:r w:rsidRPr="00927B3D">
              <w:rPr>
                <w:color w:val="auto"/>
                <w:sz w:val="26"/>
              </w:rPr>
              <w:t xml:space="preserve">          v.</w:t>
            </w:r>
            <w:r w:rsidR="005A42AD" w:rsidRPr="00927B3D">
              <w:rPr>
                <w:color w:val="auto"/>
                <w:sz w:val="26"/>
              </w:rPr>
              <w:t xml:space="preserve">       </w:t>
            </w:r>
          </w:p>
          <w:p w:rsidR="005A42AD" w:rsidRPr="00927B3D" w:rsidRDefault="005A42AD" w:rsidP="007D2718">
            <w:pPr>
              <w:rPr>
                <w:color w:val="auto"/>
                <w:sz w:val="26"/>
              </w:rPr>
            </w:pPr>
          </w:p>
          <w:p w:rsidR="002E7E66" w:rsidRPr="00927B3D" w:rsidRDefault="003A3A5D" w:rsidP="00DC0B5A">
            <w:pPr>
              <w:rPr>
                <w:color w:val="auto"/>
                <w:sz w:val="26"/>
              </w:rPr>
            </w:pPr>
            <w:r w:rsidRPr="00927B3D">
              <w:rPr>
                <w:color w:val="auto"/>
                <w:sz w:val="26"/>
              </w:rPr>
              <w:t>PECO Energy Company</w:t>
            </w:r>
          </w:p>
        </w:tc>
        <w:tc>
          <w:tcPr>
            <w:tcW w:w="4950" w:type="dxa"/>
          </w:tcPr>
          <w:p w:rsidR="009856D6" w:rsidRPr="00927B3D" w:rsidRDefault="00824C45" w:rsidP="007D2718">
            <w:pPr>
              <w:jc w:val="right"/>
              <w:rPr>
                <w:color w:val="auto"/>
                <w:sz w:val="26"/>
              </w:rPr>
            </w:pPr>
            <w:r w:rsidRPr="00927B3D">
              <w:rPr>
                <w:color w:val="auto"/>
                <w:sz w:val="26"/>
              </w:rPr>
              <w:t>C-2009-2111161</w:t>
            </w:r>
          </w:p>
          <w:p w:rsidR="009856D6" w:rsidRPr="00927B3D" w:rsidRDefault="009856D6" w:rsidP="007D2718">
            <w:pPr>
              <w:jc w:val="center"/>
              <w:rPr>
                <w:color w:val="auto"/>
                <w:sz w:val="26"/>
              </w:rPr>
            </w:pPr>
          </w:p>
        </w:tc>
      </w:tr>
    </w:tbl>
    <w:p w:rsidR="003F5590" w:rsidRPr="00927B3D" w:rsidRDefault="003F5590">
      <w:pPr>
        <w:rPr>
          <w:color w:val="auto"/>
          <w:sz w:val="26"/>
        </w:rPr>
      </w:pPr>
    </w:p>
    <w:p w:rsidR="003F5590" w:rsidRPr="00927B3D" w:rsidRDefault="003F5590">
      <w:pPr>
        <w:rPr>
          <w:b/>
          <w:color w:val="auto"/>
          <w:sz w:val="26"/>
        </w:rPr>
      </w:pPr>
    </w:p>
    <w:p w:rsidR="003F5590" w:rsidRPr="00927B3D" w:rsidRDefault="003F5590">
      <w:pPr>
        <w:rPr>
          <w:b/>
          <w:color w:val="auto"/>
          <w:sz w:val="26"/>
        </w:rPr>
      </w:pPr>
    </w:p>
    <w:p w:rsidR="003F5590" w:rsidRPr="00927B3D" w:rsidRDefault="00D00CC3">
      <w:pPr>
        <w:jc w:val="center"/>
        <w:rPr>
          <w:b/>
          <w:color w:val="auto"/>
          <w:sz w:val="26"/>
        </w:rPr>
      </w:pPr>
      <w:r w:rsidRPr="00927B3D">
        <w:rPr>
          <w:b/>
          <w:color w:val="auto"/>
          <w:sz w:val="26"/>
        </w:rPr>
        <w:t xml:space="preserve">OPINION AND </w:t>
      </w:r>
      <w:r w:rsidR="003F5590" w:rsidRPr="00927B3D">
        <w:rPr>
          <w:b/>
          <w:color w:val="auto"/>
          <w:sz w:val="26"/>
        </w:rPr>
        <w:t>ORDER</w:t>
      </w:r>
    </w:p>
    <w:p w:rsidR="00D00CC3" w:rsidRPr="00927B3D" w:rsidRDefault="00D00CC3">
      <w:pPr>
        <w:jc w:val="center"/>
        <w:rPr>
          <w:color w:val="auto"/>
          <w:sz w:val="26"/>
        </w:rPr>
      </w:pPr>
    </w:p>
    <w:p w:rsidR="003F5590" w:rsidRPr="00927B3D" w:rsidRDefault="003F5590">
      <w:pPr>
        <w:rPr>
          <w:color w:val="auto"/>
          <w:sz w:val="26"/>
        </w:rPr>
      </w:pPr>
    </w:p>
    <w:p w:rsidR="004857F2" w:rsidRPr="00927B3D" w:rsidRDefault="003F5590" w:rsidP="004857F2">
      <w:pPr>
        <w:spacing w:line="360" w:lineRule="auto"/>
        <w:rPr>
          <w:b/>
          <w:color w:val="auto"/>
          <w:sz w:val="26"/>
        </w:rPr>
      </w:pPr>
      <w:r w:rsidRPr="00927B3D">
        <w:rPr>
          <w:b/>
          <w:color w:val="auto"/>
          <w:sz w:val="26"/>
        </w:rPr>
        <w:t>BY THE COMMISSION:</w:t>
      </w:r>
    </w:p>
    <w:p w:rsidR="003F5590" w:rsidRPr="00927B3D" w:rsidRDefault="003F5590" w:rsidP="004857F2">
      <w:pPr>
        <w:spacing w:line="360" w:lineRule="auto"/>
        <w:rPr>
          <w:b/>
          <w:color w:val="auto"/>
          <w:sz w:val="26"/>
        </w:rPr>
      </w:pPr>
    </w:p>
    <w:p w:rsidR="009F1ECA" w:rsidRPr="00927B3D" w:rsidRDefault="00DC2265" w:rsidP="00135252">
      <w:pPr>
        <w:pStyle w:val="BodyText"/>
        <w:rPr>
          <w:color w:val="auto"/>
        </w:rPr>
      </w:pPr>
      <w:r w:rsidRPr="00927B3D">
        <w:rPr>
          <w:color w:val="auto"/>
        </w:rPr>
        <w:tab/>
      </w:r>
      <w:r w:rsidRPr="00927B3D">
        <w:rPr>
          <w:color w:val="auto"/>
        </w:rPr>
        <w:tab/>
        <w:t xml:space="preserve">Before the </w:t>
      </w:r>
      <w:r w:rsidR="00587FD0" w:rsidRPr="00927B3D">
        <w:rPr>
          <w:color w:val="auto"/>
        </w:rPr>
        <w:t xml:space="preserve">Pennsylvania Public Utility </w:t>
      </w:r>
      <w:r w:rsidRPr="00927B3D">
        <w:rPr>
          <w:color w:val="auto"/>
        </w:rPr>
        <w:t xml:space="preserve">Commission </w:t>
      </w:r>
      <w:r w:rsidR="00587FD0" w:rsidRPr="00927B3D">
        <w:rPr>
          <w:color w:val="auto"/>
        </w:rPr>
        <w:t xml:space="preserve">(Commission) </w:t>
      </w:r>
      <w:r w:rsidRPr="00927B3D">
        <w:rPr>
          <w:color w:val="auto"/>
        </w:rPr>
        <w:t xml:space="preserve">for consideration </w:t>
      </w:r>
      <w:r w:rsidR="004857F2" w:rsidRPr="00927B3D">
        <w:rPr>
          <w:color w:val="auto"/>
        </w:rPr>
        <w:t xml:space="preserve">is the Initial Decision (I.D.) of </w:t>
      </w:r>
      <w:r w:rsidR="003A3A5D" w:rsidRPr="00927B3D">
        <w:rPr>
          <w:color w:val="auto"/>
        </w:rPr>
        <w:t xml:space="preserve">Administrative Law Judge (ALJ) </w:t>
      </w:r>
      <w:r w:rsidR="00824C45" w:rsidRPr="00927B3D">
        <w:rPr>
          <w:color w:val="auto"/>
        </w:rPr>
        <w:t>Dennis J. Buckley</w:t>
      </w:r>
      <w:r w:rsidR="004857F2" w:rsidRPr="00927B3D">
        <w:rPr>
          <w:color w:val="auto"/>
        </w:rPr>
        <w:t xml:space="preserve"> issued </w:t>
      </w:r>
      <w:r w:rsidR="004C7DD7" w:rsidRPr="00927B3D">
        <w:rPr>
          <w:color w:val="auto"/>
        </w:rPr>
        <w:t xml:space="preserve">on </w:t>
      </w:r>
      <w:r w:rsidR="003A3A5D" w:rsidRPr="00927B3D">
        <w:rPr>
          <w:color w:val="auto"/>
        </w:rPr>
        <w:t xml:space="preserve">December </w:t>
      </w:r>
      <w:r w:rsidR="00824C45" w:rsidRPr="00927B3D">
        <w:rPr>
          <w:color w:val="auto"/>
        </w:rPr>
        <w:t>30</w:t>
      </w:r>
      <w:r w:rsidR="00E36C42" w:rsidRPr="00927B3D">
        <w:rPr>
          <w:color w:val="auto"/>
        </w:rPr>
        <w:t>, 20</w:t>
      </w:r>
      <w:r w:rsidR="00824C45" w:rsidRPr="00927B3D">
        <w:rPr>
          <w:color w:val="auto"/>
        </w:rPr>
        <w:t>10</w:t>
      </w:r>
      <w:r w:rsidR="000038A7" w:rsidRPr="00927B3D">
        <w:rPr>
          <w:color w:val="auto"/>
        </w:rPr>
        <w:t xml:space="preserve">.  </w:t>
      </w:r>
      <w:r w:rsidR="00FF4FC3" w:rsidRPr="00927B3D">
        <w:rPr>
          <w:color w:val="auto"/>
        </w:rPr>
        <w:t xml:space="preserve">The </w:t>
      </w:r>
      <w:r w:rsidR="000038A7" w:rsidRPr="00927B3D">
        <w:rPr>
          <w:color w:val="auto"/>
        </w:rPr>
        <w:t>proceeding concern</w:t>
      </w:r>
      <w:r w:rsidR="002E017D" w:rsidRPr="00927B3D">
        <w:rPr>
          <w:color w:val="auto"/>
        </w:rPr>
        <w:t>ed</w:t>
      </w:r>
      <w:r w:rsidR="000038A7" w:rsidRPr="00927B3D">
        <w:rPr>
          <w:color w:val="auto"/>
        </w:rPr>
        <w:t xml:space="preserve"> the Formal Complaint </w:t>
      </w:r>
      <w:r w:rsidR="00C211A0" w:rsidRPr="00927B3D">
        <w:rPr>
          <w:color w:val="auto"/>
        </w:rPr>
        <w:t xml:space="preserve">(Complaint) </w:t>
      </w:r>
      <w:r w:rsidR="000038A7" w:rsidRPr="00927B3D">
        <w:rPr>
          <w:color w:val="auto"/>
        </w:rPr>
        <w:t xml:space="preserve">filed by </w:t>
      </w:r>
      <w:r w:rsidR="00824C45" w:rsidRPr="00927B3D">
        <w:rPr>
          <w:color w:val="auto"/>
        </w:rPr>
        <w:t>David E. Moore</w:t>
      </w:r>
      <w:r w:rsidR="00E36C42" w:rsidRPr="00927B3D">
        <w:rPr>
          <w:color w:val="auto"/>
        </w:rPr>
        <w:t xml:space="preserve"> (M</w:t>
      </w:r>
      <w:r w:rsidR="00A058B2" w:rsidRPr="00927B3D">
        <w:rPr>
          <w:color w:val="auto"/>
        </w:rPr>
        <w:t>r</w:t>
      </w:r>
      <w:r w:rsidR="00E36C42" w:rsidRPr="00927B3D">
        <w:rPr>
          <w:color w:val="auto"/>
        </w:rPr>
        <w:t xml:space="preserve">. </w:t>
      </w:r>
      <w:r w:rsidR="00824C45" w:rsidRPr="00927B3D">
        <w:rPr>
          <w:color w:val="auto"/>
        </w:rPr>
        <w:t>Moore</w:t>
      </w:r>
      <w:r w:rsidR="00E36C42" w:rsidRPr="00927B3D">
        <w:rPr>
          <w:color w:val="auto"/>
        </w:rPr>
        <w:t xml:space="preserve"> or Complainant)</w:t>
      </w:r>
      <w:r w:rsidR="000038A7" w:rsidRPr="00927B3D">
        <w:rPr>
          <w:color w:val="auto"/>
        </w:rPr>
        <w:t xml:space="preserve"> </w:t>
      </w:r>
      <w:r w:rsidR="00FF4FC3" w:rsidRPr="00927B3D">
        <w:rPr>
          <w:color w:val="auto"/>
        </w:rPr>
        <w:t xml:space="preserve">with the Commission against </w:t>
      </w:r>
      <w:r w:rsidR="00A058B2" w:rsidRPr="00927B3D">
        <w:rPr>
          <w:color w:val="auto"/>
        </w:rPr>
        <w:t>PECO Energy Company</w:t>
      </w:r>
      <w:r w:rsidR="00FF4FC3" w:rsidRPr="00927B3D">
        <w:rPr>
          <w:color w:val="auto"/>
        </w:rPr>
        <w:t xml:space="preserve"> (</w:t>
      </w:r>
      <w:r w:rsidR="00A058B2" w:rsidRPr="00927B3D">
        <w:rPr>
          <w:color w:val="auto"/>
        </w:rPr>
        <w:t>PECO</w:t>
      </w:r>
      <w:r w:rsidR="00046474" w:rsidRPr="00927B3D">
        <w:rPr>
          <w:color w:val="auto"/>
        </w:rPr>
        <w:t>)</w:t>
      </w:r>
      <w:r w:rsidR="00C211A0" w:rsidRPr="00927B3D">
        <w:rPr>
          <w:color w:val="auto"/>
        </w:rPr>
        <w:t>.</w:t>
      </w:r>
      <w:r w:rsidR="00FF4FC3" w:rsidRPr="00927B3D">
        <w:rPr>
          <w:color w:val="auto"/>
        </w:rPr>
        <w:t xml:space="preserve"> </w:t>
      </w:r>
      <w:r w:rsidR="00C211A0" w:rsidRPr="00927B3D">
        <w:rPr>
          <w:color w:val="auto"/>
        </w:rPr>
        <w:t xml:space="preserve"> </w:t>
      </w:r>
      <w:r w:rsidR="009F1ECA" w:rsidRPr="00927B3D">
        <w:rPr>
          <w:color w:val="auto"/>
        </w:rPr>
        <w:t xml:space="preserve">The Initial Decision dismissed the Complaint of </w:t>
      </w:r>
      <w:r w:rsidR="00824C45" w:rsidRPr="00927B3D">
        <w:rPr>
          <w:color w:val="auto"/>
        </w:rPr>
        <w:t>Mr. Moore</w:t>
      </w:r>
      <w:r w:rsidR="009F1ECA" w:rsidRPr="00927B3D">
        <w:rPr>
          <w:color w:val="auto"/>
        </w:rPr>
        <w:t xml:space="preserve"> against </w:t>
      </w:r>
      <w:r w:rsidR="00824C45" w:rsidRPr="00927B3D">
        <w:rPr>
          <w:color w:val="auto"/>
        </w:rPr>
        <w:t>PECO</w:t>
      </w:r>
      <w:r w:rsidR="009F1ECA" w:rsidRPr="00927B3D">
        <w:rPr>
          <w:color w:val="auto"/>
        </w:rPr>
        <w:t xml:space="preserve">.  No exceptions were filed.  Pursuant to Section 332(h) of the Public Utility Code (Code), 66 Pa. C.S. § 332(h), however, we have exercised our </w:t>
      </w:r>
      <w:r w:rsidR="009F1ECA" w:rsidRPr="00927B3D">
        <w:rPr>
          <w:color w:val="auto"/>
        </w:rPr>
        <w:lastRenderedPageBreak/>
        <w:t>right to review the decision.  For the reasons se</w:t>
      </w:r>
      <w:r w:rsidR="00777A64" w:rsidRPr="00927B3D">
        <w:rPr>
          <w:color w:val="auto"/>
        </w:rPr>
        <w:t>t</w:t>
      </w:r>
      <w:r w:rsidR="009F1ECA" w:rsidRPr="00927B3D">
        <w:rPr>
          <w:color w:val="auto"/>
        </w:rPr>
        <w:t xml:space="preserve"> forth below, we </w:t>
      </w:r>
      <w:r w:rsidR="009113ED" w:rsidRPr="00927B3D">
        <w:rPr>
          <w:color w:val="auto"/>
        </w:rPr>
        <w:t xml:space="preserve">shall </w:t>
      </w:r>
      <w:r w:rsidR="009F1ECA" w:rsidRPr="00927B3D">
        <w:rPr>
          <w:color w:val="auto"/>
        </w:rPr>
        <w:t>modify the Initial Decision.</w:t>
      </w:r>
    </w:p>
    <w:p w:rsidR="009F1ECA" w:rsidRPr="00927B3D" w:rsidRDefault="009F1ECA" w:rsidP="00135252">
      <w:pPr>
        <w:pStyle w:val="BodyText"/>
        <w:rPr>
          <w:color w:val="auto"/>
        </w:rPr>
      </w:pPr>
    </w:p>
    <w:p w:rsidR="007E1742" w:rsidRPr="00927B3D" w:rsidRDefault="00335537" w:rsidP="00046474">
      <w:pPr>
        <w:pStyle w:val="BodyText"/>
        <w:jc w:val="center"/>
        <w:rPr>
          <w:b/>
          <w:color w:val="auto"/>
        </w:rPr>
      </w:pPr>
      <w:r w:rsidRPr="00927B3D">
        <w:rPr>
          <w:b/>
          <w:color w:val="auto"/>
        </w:rPr>
        <w:t>History of the Proceeding</w:t>
      </w:r>
    </w:p>
    <w:p w:rsidR="007E1742" w:rsidRPr="00927B3D" w:rsidRDefault="007E1742" w:rsidP="00135252">
      <w:pPr>
        <w:pStyle w:val="BodyText"/>
        <w:rPr>
          <w:color w:val="auto"/>
        </w:rPr>
      </w:pPr>
    </w:p>
    <w:p w:rsidR="00AC3A60" w:rsidRPr="00927B3D" w:rsidRDefault="001A147A" w:rsidP="00135252">
      <w:pPr>
        <w:pStyle w:val="BodyText"/>
        <w:rPr>
          <w:color w:val="auto"/>
        </w:rPr>
      </w:pPr>
      <w:r w:rsidRPr="00927B3D">
        <w:rPr>
          <w:color w:val="auto"/>
        </w:rPr>
        <w:tab/>
      </w:r>
      <w:r w:rsidRPr="00927B3D">
        <w:rPr>
          <w:color w:val="auto"/>
        </w:rPr>
        <w:tab/>
      </w:r>
      <w:r w:rsidR="00046474" w:rsidRPr="00927B3D">
        <w:rPr>
          <w:color w:val="auto"/>
        </w:rPr>
        <w:t>On May 28, 2009, Mr. Moore filed a F</w:t>
      </w:r>
      <w:r w:rsidRPr="00927B3D">
        <w:rPr>
          <w:color w:val="auto"/>
        </w:rPr>
        <w:t xml:space="preserve">ormal Complaint </w:t>
      </w:r>
      <w:r w:rsidR="00046474" w:rsidRPr="00927B3D">
        <w:rPr>
          <w:color w:val="auto"/>
        </w:rPr>
        <w:t>(Complaint) with the Commission against PECO in which he averred that PECO</w:t>
      </w:r>
      <w:r w:rsidRPr="00927B3D">
        <w:rPr>
          <w:color w:val="auto"/>
        </w:rPr>
        <w:t xml:space="preserve"> improperly refused to change his rate from commercial to residential service</w:t>
      </w:r>
      <w:r w:rsidR="00AC3A60" w:rsidRPr="00927B3D">
        <w:rPr>
          <w:color w:val="auto"/>
        </w:rPr>
        <w:t xml:space="preserve"> despite the conversion of his business to a residence</w:t>
      </w:r>
      <w:r w:rsidR="00046474" w:rsidRPr="00927B3D">
        <w:rPr>
          <w:color w:val="auto"/>
        </w:rPr>
        <w:t xml:space="preserve">.  For relief, he </w:t>
      </w:r>
      <w:r w:rsidR="00AC3A60" w:rsidRPr="00927B3D">
        <w:rPr>
          <w:color w:val="auto"/>
        </w:rPr>
        <w:t xml:space="preserve">asked that a recalculation of </w:t>
      </w:r>
      <w:r w:rsidR="00046474" w:rsidRPr="00927B3D">
        <w:rPr>
          <w:color w:val="auto"/>
        </w:rPr>
        <w:t xml:space="preserve">his </w:t>
      </w:r>
      <w:r w:rsidR="00AC3A60" w:rsidRPr="00927B3D">
        <w:rPr>
          <w:color w:val="auto"/>
        </w:rPr>
        <w:t xml:space="preserve">electric bill be made and a payment agreement be established.  </w:t>
      </w:r>
      <w:r w:rsidR="005666FA" w:rsidRPr="00927B3D">
        <w:rPr>
          <w:color w:val="auto"/>
        </w:rPr>
        <w:t xml:space="preserve">The </w:t>
      </w:r>
      <w:r w:rsidR="00AC3A60" w:rsidRPr="00927B3D">
        <w:rPr>
          <w:color w:val="auto"/>
        </w:rPr>
        <w:t xml:space="preserve">Complainant </w:t>
      </w:r>
      <w:r w:rsidR="00927B3D">
        <w:rPr>
          <w:color w:val="auto"/>
        </w:rPr>
        <w:t>referenced his Chapter 1</w:t>
      </w:r>
      <w:r w:rsidR="00AC3A60" w:rsidRPr="00927B3D">
        <w:rPr>
          <w:color w:val="auto"/>
        </w:rPr>
        <w:t>3 bankruptcy filing in arguing inability to pay the higher commercial rate or to pay for meter conversion.</w:t>
      </w:r>
    </w:p>
    <w:p w:rsidR="00AC3A60" w:rsidRPr="00927B3D" w:rsidRDefault="00AC3A60" w:rsidP="00135252">
      <w:pPr>
        <w:pStyle w:val="BodyText"/>
        <w:rPr>
          <w:color w:val="auto"/>
        </w:rPr>
      </w:pPr>
    </w:p>
    <w:p w:rsidR="00C32DEA" w:rsidRPr="00927B3D" w:rsidRDefault="00AC3A60" w:rsidP="00135252">
      <w:pPr>
        <w:pStyle w:val="BodyText"/>
        <w:rPr>
          <w:color w:val="auto"/>
        </w:rPr>
      </w:pPr>
      <w:r w:rsidRPr="00927B3D">
        <w:rPr>
          <w:color w:val="auto"/>
        </w:rPr>
        <w:tab/>
      </w:r>
      <w:r w:rsidRPr="00927B3D">
        <w:rPr>
          <w:color w:val="auto"/>
        </w:rPr>
        <w:tab/>
      </w:r>
      <w:r w:rsidR="00046474" w:rsidRPr="00927B3D">
        <w:rPr>
          <w:color w:val="auto"/>
        </w:rPr>
        <w:t xml:space="preserve">On June 24, 2009, PECO filed its Answer to the Complaint in which it denied </w:t>
      </w:r>
      <w:r w:rsidRPr="00927B3D">
        <w:rPr>
          <w:color w:val="auto"/>
        </w:rPr>
        <w:t xml:space="preserve">any improper billing </w:t>
      </w:r>
      <w:r w:rsidR="00EE18FD" w:rsidRPr="00927B3D">
        <w:rPr>
          <w:color w:val="auto"/>
        </w:rPr>
        <w:t>because</w:t>
      </w:r>
      <w:r w:rsidRPr="00927B3D">
        <w:rPr>
          <w:color w:val="auto"/>
        </w:rPr>
        <w:t xml:space="preserve">: (1) </w:t>
      </w:r>
      <w:r w:rsidR="005666FA" w:rsidRPr="00927B3D">
        <w:rPr>
          <w:color w:val="auto"/>
        </w:rPr>
        <w:t xml:space="preserve">the </w:t>
      </w:r>
      <w:r w:rsidRPr="00927B3D">
        <w:rPr>
          <w:color w:val="auto"/>
        </w:rPr>
        <w:t>Complainant’s residence is in an apartment building owned by the Complainant</w:t>
      </w:r>
      <w:r w:rsidR="00C32DEA" w:rsidRPr="00927B3D">
        <w:rPr>
          <w:color w:val="auto"/>
        </w:rPr>
        <w:t xml:space="preserve">, and (2) </w:t>
      </w:r>
      <w:r w:rsidR="005666FA" w:rsidRPr="00927B3D">
        <w:rPr>
          <w:color w:val="auto"/>
        </w:rPr>
        <w:t xml:space="preserve">the </w:t>
      </w:r>
      <w:r w:rsidR="00C32DEA" w:rsidRPr="00927B3D">
        <w:rPr>
          <w:color w:val="auto"/>
        </w:rPr>
        <w:t>Complainant’s meter also measures electric service used by lighting in the public areas of the building</w:t>
      </w:r>
      <w:r w:rsidR="005666FA" w:rsidRPr="00927B3D">
        <w:rPr>
          <w:color w:val="auto"/>
        </w:rPr>
        <w:t xml:space="preserve">.  </w:t>
      </w:r>
      <w:r w:rsidR="00EE18FD" w:rsidRPr="00927B3D">
        <w:rPr>
          <w:color w:val="auto"/>
        </w:rPr>
        <w:t xml:space="preserve">PECO claimed that it properly billed the </w:t>
      </w:r>
      <w:r w:rsidR="00C32DEA" w:rsidRPr="00927B3D">
        <w:rPr>
          <w:color w:val="auto"/>
        </w:rPr>
        <w:t>Complainant</w:t>
      </w:r>
      <w:r w:rsidR="00EE18FD" w:rsidRPr="00927B3D">
        <w:rPr>
          <w:color w:val="auto"/>
        </w:rPr>
        <w:t xml:space="preserve"> at</w:t>
      </w:r>
      <w:r w:rsidR="00C32DEA" w:rsidRPr="00927B3D">
        <w:rPr>
          <w:color w:val="auto"/>
        </w:rPr>
        <w:t xml:space="preserve"> the commercial rate.  </w:t>
      </w:r>
      <w:r w:rsidR="00EE18FD" w:rsidRPr="00927B3D">
        <w:rPr>
          <w:color w:val="auto"/>
        </w:rPr>
        <w:t xml:space="preserve">PECO did not </w:t>
      </w:r>
      <w:r w:rsidR="00DF10E6" w:rsidRPr="00927B3D">
        <w:rPr>
          <w:color w:val="auto"/>
        </w:rPr>
        <w:t>reply</w:t>
      </w:r>
      <w:r w:rsidR="00C32DEA" w:rsidRPr="00927B3D">
        <w:rPr>
          <w:color w:val="auto"/>
        </w:rPr>
        <w:t xml:space="preserve"> to </w:t>
      </w:r>
      <w:r w:rsidR="00DF10E6" w:rsidRPr="00927B3D">
        <w:rPr>
          <w:color w:val="auto"/>
        </w:rPr>
        <w:t xml:space="preserve">the </w:t>
      </w:r>
      <w:r w:rsidR="00C32DEA" w:rsidRPr="00927B3D">
        <w:rPr>
          <w:color w:val="auto"/>
        </w:rPr>
        <w:t>Complainant’s assertion with respect to a Chapter 13 bankruptcy filing.</w:t>
      </w:r>
    </w:p>
    <w:p w:rsidR="00C32DEA" w:rsidRPr="00927B3D" w:rsidRDefault="00C32DEA" w:rsidP="00135252">
      <w:pPr>
        <w:pStyle w:val="BodyText"/>
        <w:rPr>
          <w:color w:val="auto"/>
        </w:rPr>
      </w:pPr>
    </w:p>
    <w:p w:rsidR="00196545" w:rsidRPr="00927B3D" w:rsidRDefault="00C32DEA" w:rsidP="00135252">
      <w:pPr>
        <w:pStyle w:val="BodyText"/>
        <w:rPr>
          <w:color w:val="auto"/>
        </w:rPr>
      </w:pPr>
      <w:r w:rsidRPr="00927B3D">
        <w:rPr>
          <w:color w:val="auto"/>
        </w:rPr>
        <w:tab/>
      </w:r>
      <w:r w:rsidRPr="00927B3D">
        <w:rPr>
          <w:color w:val="auto"/>
        </w:rPr>
        <w:tab/>
        <w:t>A hearing was held in this matter on February 5, 2010</w:t>
      </w:r>
      <w:r w:rsidR="00196545" w:rsidRPr="00927B3D">
        <w:rPr>
          <w:color w:val="auto"/>
        </w:rPr>
        <w:t xml:space="preserve">.  </w:t>
      </w:r>
      <w:r w:rsidR="00C5461F" w:rsidRPr="00927B3D">
        <w:rPr>
          <w:color w:val="auto"/>
        </w:rPr>
        <w:t xml:space="preserve">The </w:t>
      </w:r>
      <w:r w:rsidR="00196545" w:rsidRPr="00927B3D">
        <w:rPr>
          <w:color w:val="auto"/>
        </w:rPr>
        <w:t>Complainant appeare</w:t>
      </w:r>
      <w:r w:rsidR="00E17023" w:rsidRPr="00927B3D">
        <w:rPr>
          <w:color w:val="auto"/>
        </w:rPr>
        <w:t>d</w:t>
      </w:r>
      <w:r w:rsidR="00196545" w:rsidRPr="00927B3D">
        <w:rPr>
          <w:color w:val="auto"/>
        </w:rPr>
        <w:t xml:space="preserve"> </w:t>
      </w:r>
      <w:r w:rsidR="00196545" w:rsidRPr="00927B3D">
        <w:rPr>
          <w:i/>
          <w:color w:val="auto"/>
        </w:rPr>
        <w:t>pro se</w:t>
      </w:r>
      <w:r w:rsidR="00196545" w:rsidRPr="00927B3D">
        <w:rPr>
          <w:color w:val="auto"/>
        </w:rPr>
        <w:t xml:space="preserve">, </w:t>
      </w:r>
      <w:r w:rsidR="00DF10E6" w:rsidRPr="00927B3D">
        <w:rPr>
          <w:color w:val="auto"/>
        </w:rPr>
        <w:t xml:space="preserve">and </w:t>
      </w:r>
      <w:r w:rsidR="00196545" w:rsidRPr="00927B3D">
        <w:rPr>
          <w:color w:val="auto"/>
        </w:rPr>
        <w:t>testified on his own behalf.  PECO was represented by counsel</w:t>
      </w:r>
      <w:r w:rsidR="00DF10E6" w:rsidRPr="00927B3D">
        <w:rPr>
          <w:color w:val="auto"/>
        </w:rPr>
        <w:t xml:space="preserve"> and</w:t>
      </w:r>
      <w:r w:rsidR="00196545" w:rsidRPr="00927B3D">
        <w:rPr>
          <w:color w:val="auto"/>
        </w:rPr>
        <w:t xml:space="preserve"> presented one witness and ten exhibits.</w:t>
      </w:r>
    </w:p>
    <w:p w:rsidR="00196545" w:rsidRPr="00927B3D" w:rsidRDefault="00196545" w:rsidP="00135252">
      <w:pPr>
        <w:pStyle w:val="BodyText"/>
        <w:rPr>
          <w:color w:val="auto"/>
        </w:rPr>
      </w:pPr>
    </w:p>
    <w:p w:rsidR="00194DA5" w:rsidRPr="00927B3D" w:rsidRDefault="00196545" w:rsidP="00135252">
      <w:pPr>
        <w:pStyle w:val="BodyText"/>
        <w:rPr>
          <w:color w:val="auto"/>
        </w:rPr>
      </w:pPr>
      <w:r w:rsidRPr="00927B3D">
        <w:rPr>
          <w:color w:val="auto"/>
        </w:rPr>
        <w:tab/>
      </w:r>
      <w:r w:rsidRPr="00927B3D">
        <w:rPr>
          <w:color w:val="auto"/>
        </w:rPr>
        <w:tab/>
        <w:t>A letter brief was filed by counsel for PECO on March 25, 2010.  That letter brief was served</w:t>
      </w:r>
      <w:r w:rsidR="00C02EE9" w:rsidRPr="00927B3D">
        <w:rPr>
          <w:color w:val="auto"/>
        </w:rPr>
        <w:t xml:space="preserve"> on </w:t>
      </w:r>
      <w:r w:rsidR="00DF10E6" w:rsidRPr="00927B3D">
        <w:rPr>
          <w:color w:val="auto"/>
        </w:rPr>
        <w:t xml:space="preserve">the </w:t>
      </w:r>
      <w:r w:rsidR="00C02EE9" w:rsidRPr="00927B3D">
        <w:rPr>
          <w:color w:val="auto"/>
        </w:rPr>
        <w:t>Complainant who filed no responsive pleading.  The record closed on April 14, 2010.</w:t>
      </w:r>
    </w:p>
    <w:p w:rsidR="00194DA5" w:rsidRPr="00927B3D" w:rsidRDefault="00194DA5" w:rsidP="00135252">
      <w:pPr>
        <w:pStyle w:val="BodyText"/>
        <w:rPr>
          <w:color w:val="auto"/>
        </w:rPr>
      </w:pPr>
    </w:p>
    <w:p w:rsidR="001A147A" w:rsidRPr="00927B3D" w:rsidRDefault="00194DA5" w:rsidP="00135252">
      <w:pPr>
        <w:pStyle w:val="BodyText"/>
        <w:rPr>
          <w:color w:val="auto"/>
        </w:rPr>
      </w:pPr>
      <w:r w:rsidRPr="00927B3D">
        <w:rPr>
          <w:color w:val="auto"/>
        </w:rPr>
        <w:lastRenderedPageBreak/>
        <w:tab/>
      </w:r>
      <w:r w:rsidRPr="00927B3D">
        <w:rPr>
          <w:color w:val="auto"/>
        </w:rPr>
        <w:tab/>
        <w:t xml:space="preserve">As stated, the Initial Decision </w:t>
      </w:r>
      <w:r w:rsidR="00C5461F" w:rsidRPr="00927B3D">
        <w:rPr>
          <w:color w:val="auto"/>
        </w:rPr>
        <w:t xml:space="preserve">dismissing the Complaint </w:t>
      </w:r>
      <w:r w:rsidRPr="00927B3D">
        <w:rPr>
          <w:color w:val="auto"/>
        </w:rPr>
        <w:t>w</w:t>
      </w:r>
      <w:r w:rsidR="00E17023" w:rsidRPr="00927B3D">
        <w:rPr>
          <w:color w:val="auto"/>
        </w:rPr>
        <w:t>a</w:t>
      </w:r>
      <w:r w:rsidRPr="00927B3D">
        <w:rPr>
          <w:color w:val="auto"/>
        </w:rPr>
        <w:t>s issued on December 30, 2010.  No exceptions have been filed</w:t>
      </w:r>
      <w:r w:rsidR="00271774" w:rsidRPr="00927B3D">
        <w:rPr>
          <w:color w:val="auto"/>
        </w:rPr>
        <w:t>.</w:t>
      </w:r>
    </w:p>
    <w:p w:rsidR="001A147A" w:rsidRPr="00927B3D" w:rsidRDefault="001A147A" w:rsidP="00135252">
      <w:pPr>
        <w:pStyle w:val="BodyText"/>
        <w:rPr>
          <w:color w:val="auto"/>
        </w:rPr>
      </w:pPr>
    </w:p>
    <w:p w:rsidR="00271774" w:rsidRPr="00927B3D" w:rsidRDefault="00271774" w:rsidP="00C5461F">
      <w:pPr>
        <w:pStyle w:val="BodyText"/>
        <w:jc w:val="center"/>
        <w:rPr>
          <w:b/>
          <w:color w:val="auto"/>
        </w:rPr>
      </w:pPr>
      <w:r w:rsidRPr="00927B3D">
        <w:rPr>
          <w:b/>
          <w:color w:val="auto"/>
        </w:rPr>
        <w:t>Discussion</w:t>
      </w:r>
    </w:p>
    <w:p w:rsidR="00271774" w:rsidRPr="00927B3D" w:rsidRDefault="00271774" w:rsidP="00135252">
      <w:pPr>
        <w:pStyle w:val="BodyText"/>
        <w:rPr>
          <w:color w:val="auto"/>
        </w:rPr>
      </w:pPr>
    </w:p>
    <w:p w:rsidR="00271774" w:rsidRPr="00927B3D" w:rsidRDefault="00271774" w:rsidP="00271774">
      <w:pPr>
        <w:spacing w:line="360" w:lineRule="auto"/>
        <w:rPr>
          <w:i/>
          <w:color w:val="auto"/>
          <w:sz w:val="26"/>
        </w:rPr>
      </w:pPr>
      <w:r w:rsidRPr="00927B3D">
        <w:rPr>
          <w:color w:val="auto"/>
          <w:sz w:val="26"/>
        </w:rPr>
        <w:tab/>
      </w:r>
      <w:r w:rsidRPr="00927B3D">
        <w:rPr>
          <w:color w:val="auto"/>
          <w:sz w:val="26"/>
        </w:rPr>
        <w:tab/>
      </w:r>
      <w:r w:rsidRPr="00927B3D">
        <w:rPr>
          <w:color w:val="auto"/>
          <w:sz w:val="26"/>
          <w:szCs w:val="26"/>
        </w:rPr>
        <w:t xml:space="preserve">As the proponent of a rule or order, the Complainant in this proceeding bears the burden of proof pursuant to Section 332(a) of the Code.  </w:t>
      </w:r>
      <w:proofErr w:type="gramStart"/>
      <w:r w:rsidRPr="00927B3D">
        <w:rPr>
          <w:color w:val="auto"/>
          <w:sz w:val="26"/>
          <w:szCs w:val="26"/>
        </w:rPr>
        <w:t>66 Pa. C.S. § 332(a).</w:t>
      </w:r>
      <w:proofErr w:type="gramEnd"/>
      <w:r w:rsidRPr="00927B3D">
        <w:rPr>
          <w:color w:val="auto"/>
          <w:sz w:val="26"/>
          <w:szCs w:val="26"/>
        </w:rPr>
        <w:t xml:space="preserve">  To establish a sufficient case and satisfy the burden of proof, the Complainant must show that the Company is responsible or accountable for the problem described in the Complaint.  </w:t>
      </w:r>
      <w:proofErr w:type="gramStart"/>
      <w:r w:rsidRPr="00927B3D">
        <w:rPr>
          <w:i/>
          <w:color w:val="auto"/>
          <w:sz w:val="26"/>
          <w:szCs w:val="26"/>
        </w:rPr>
        <w:t>Patterson v. Bell Telephone Company of Pennsylvania</w:t>
      </w:r>
      <w:r w:rsidRPr="00927B3D">
        <w:rPr>
          <w:color w:val="auto"/>
          <w:sz w:val="26"/>
          <w:szCs w:val="26"/>
        </w:rPr>
        <w:t>, 72 Pa. P.U.C. 196 (1990).</w:t>
      </w:r>
      <w:proofErr w:type="gramEnd"/>
      <w:r w:rsidRPr="00927B3D">
        <w:rPr>
          <w:color w:val="auto"/>
          <w:sz w:val="26"/>
          <w:szCs w:val="26"/>
        </w:rPr>
        <w:t xml:space="preserve">  Such a showing must be by a preponderance of the evidence.  </w:t>
      </w:r>
      <w:proofErr w:type="gramStart"/>
      <w:r w:rsidRPr="00927B3D">
        <w:rPr>
          <w:i/>
          <w:iCs/>
          <w:color w:val="auto"/>
          <w:sz w:val="26"/>
          <w:szCs w:val="26"/>
        </w:rPr>
        <w:t xml:space="preserve">Samuel J. </w:t>
      </w:r>
      <w:proofErr w:type="spellStart"/>
      <w:r w:rsidRPr="00927B3D">
        <w:rPr>
          <w:i/>
          <w:iCs/>
          <w:color w:val="auto"/>
          <w:sz w:val="26"/>
          <w:szCs w:val="26"/>
        </w:rPr>
        <w:t>Lansberry</w:t>
      </w:r>
      <w:proofErr w:type="spellEnd"/>
      <w:r w:rsidRPr="00927B3D">
        <w:rPr>
          <w:i/>
          <w:iCs/>
          <w:color w:val="auto"/>
          <w:sz w:val="26"/>
          <w:szCs w:val="26"/>
        </w:rPr>
        <w:t>, Inc. v. Pa. PUC</w:t>
      </w:r>
      <w:r w:rsidRPr="00927B3D">
        <w:rPr>
          <w:color w:val="auto"/>
          <w:sz w:val="26"/>
          <w:szCs w:val="26"/>
        </w:rPr>
        <w:t xml:space="preserve">, 578 A.2d 600 (Pa. </w:t>
      </w:r>
      <w:proofErr w:type="spellStart"/>
      <w:r w:rsidRPr="00927B3D">
        <w:rPr>
          <w:color w:val="auto"/>
          <w:sz w:val="26"/>
          <w:szCs w:val="26"/>
        </w:rPr>
        <w:t>Cmwlth</w:t>
      </w:r>
      <w:proofErr w:type="spellEnd"/>
      <w:r w:rsidRPr="00927B3D">
        <w:rPr>
          <w:color w:val="auto"/>
          <w:sz w:val="26"/>
          <w:szCs w:val="26"/>
        </w:rPr>
        <w:t xml:space="preserve">. 1990), </w:t>
      </w:r>
      <w:proofErr w:type="spellStart"/>
      <w:r w:rsidRPr="00927B3D">
        <w:rPr>
          <w:i/>
          <w:color w:val="auto"/>
          <w:sz w:val="26"/>
          <w:szCs w:val="26"/>
        </w:rPr>
        <w:t>alloc</w:t>
      </w:r>
      <w:proofErr w:type="spellEnd"/>
      <w:r w:rsidRPr="00927B3D">
        <w:rPr>
          <w:i/>
          <w:color w:val="auto"/>
          <w:sz w:val="26"/>
          <w:szCs w:val="26"/>
        </w:rPr>
        <w:t>.</w:t>
      </w:r>
      <w:proofErr w:type="gramEnd"/>
      <w:r w:rsidRPr="00927B3D">
        <w:rPr>
          <w:i/>
          <w:color w:val="auto"/>
          <w:sz w:val="26"/>
          <w:szCs w:val="26"/>
        </w:rPr>
        <w:t xml:space="preserve"> </w:t>
      </w:r>
      <w:proofErr w:type="gramStart"/>
      <w:r w:rsidRPr="00927B3D">
        <w:rPr>
          <w:i/>
          <w:color w:val="auto"/>
          <w:sz w:val="26"/>
          <w:szCs w:val="26"/>
        </w:rPr>
        <w:t>denied</w:t>
      </w:r>
      <w:proofErr w:type="gramEnd"/>
      <w:r w:rsidRPr="00927B3D">
        <w:rPr>
          <w:i/>
          <w:color w:val="auto"/>
          <w:sz w:val="26"/>
          <w:szCs w:val="26"/>
        </w:rPr>
        <w:t>,</w:t>
      </w:r>
      <w:r w:rsidRPr="00927B3D">
        <w:rPr>
          <w:color w:val="auto"/>
          <w:sz w:val="26"/>
          <w:szCs w:val="26"/>
        </w:rPr>
        <w:t xml:space="preserve"> 529 Pa. 654, 602 A.2d 863 (1992).  That is, the Complainant’s evidence must be more convincing, by even the smallest amount, than that presented by the Company.  </w:t>
      </w:r>
      <w:proofErr w:type="gramStart"/>
      <w:r w:rsidRPr="00927B3D">
        <w:rPr>
          <w:i/>
          <w:color w:val="auto"/>
          <w:sz w:val="26"/>
          <w:szCs w:val="26"/>
        </w:rPr>
        <w:t>Se-Ling Hosiery v. Margulies</w:t>
      </w:r>
      <w:r w:rsidRPr="00927B3D">
        <w:rPr>
          <w:color w:val="auto"/>
          <w:sz w:val="26"/>
          <w:szCs w:val="26"/>
        </w:rPr>
        <w:t>, 364 Pa. 45, 70 A.2d 854 (1950).</w:t>
      </w:r>
      <w:proofErr w:type="gramEnd"/>
      <w:r w:rsidRPr="00927B3D">
        <w:rPr>
          <w:color w:val="auto"/>
          <w:sz w:val="26"/>
          <w:szCs w:val="26"/>
        </w:rPr>
        <w:t xml:space="preserve">  Additionally, this Commission’s </w:t>
      </w:r>
      <w:r w:rsidRPr="00927B3D">
        <w:rPr>
          <w:color w:val="auto"/>
          <w:sz w:val="26"/>
        </w:rPr>
        <w:t xml:space="preserve">decision must be supported by substantial evidence in the record.  More is required than a mere trace of evidence or a suspicion of the existence of a fact sought to be established.  </w:t>
      </w:r>
      <w:proofErr w:type="gramStart"/>
      <w:r w:rsidRPr="00927B3D">
        <w:rPr>
          <w:i/>
          <w:color w:val="auto"/>
          <w:sz w:val="26"/>
        </w:rPr>
        <w:t xml:space="preserve">Norfolk &amp; Western Ry. Co. v. Pa. PUC, </w:t>
      </w:r>
      <w:r w:rsidRPr="00927B3D">
        <w:rPr>
          <w:color w:val="auto"/>
          <w:sz w:val="26"/>
        </w:rPr>
        <w:t>489 Pa. 109, 413 A.2d 1037 (1980).</w:t>
      </w:r>
      <w:proofErr w:type="gramEnd"/>
    </w:p>
    <w:p w:rsidR="00271774" w:rsidRPr="00927B3D" w:rsidRDefault="00271774" w:rsidP="00135252">
      <w:pPr>
        <w:pStyle w:val="BodyText"/>
        <w:rPr>
          <w:color w:val="auto"/>
        </w:rPr>
      </w:pPr>
    </w:p>
    <w:p w:rsidR="00271774" w:rsidRPr="00927B3D" w:rsidRDefault="00271774" w:rsidP="00271774">
      <w:pPr>
        <w:spacing w:line="360" w:lineRule="auto"/>
        <w:rPr>
          <w:color w:val="auto"/>
          <w:sz w:val="26"/>
        </w:rPr>
      </w:pPr>
      <w:r w:rsidRPr="00927B3D">
        <w:rPr>
          <w:color w:val="auto"/>
          <w:sz w:val="26"/>
        </w:rPr>
        <w:tab/>
      </w:r>
      <w:r w:rsidRPr="00927B3D">
        <w:rPr>
          <w:color w:val="auto"/>
          <w:sz w:val="26"/>
        </w:rPr>
        <w:tab/>
      </w:r>
      <w:r w:rsidRPr="00927B3D">
        <w:rPr>
          <w:color w:val="auto"/>
          <w:sz w:val="26"/>
          <w:szCs w:val="26"/>
        </w:rPr>
        <w:t>ALJ Buckley made twenty Findings of Fact and reached five Conclusions of Law.</w:t>
      </w:r>
      <w:r w:rsidRPr="00927B3D">
        <w:rPr>
          <w:color w:val="auto"/>
          <w:sz w:val="26"/>
        </w:rPr>
        <w:t xml:space="preserve">  The Findings of Fact and Conclusions of Law are incorporated herein by reference and are adopted without comment unless they are either expressly or by necessary implication rejected or modified by this Opinion and Order.</w:t>
      </w:r>
    </w:p>
    <w:p w:rsidR="003C25A3" w:rsidRPr="00927B3D" w:rsidRDefault="003C25A3" w:rsidP="00135252">
      <w:pPr>
        <w:pStyle w:val="BodyText"/>
        <w:rPr>
          <w:color w:val="auto"/>
        </w:rPr>
      </w:pPr>
    </w:p>
    <w:p w:rsidR="003C25A3" w:rsidRPr="00927B3D" w:rsidRDefault="003C25A3" w:rsidP="00135252">
      <w:pPr>
        <w:pStyle w:val="BodyText"/>
        <w:rPr>
          <w:color w:val="auto"/>
        </w:rPr>
      </w:pPr>
      <w:r w:rsidRPr="00927B3D">
        <w:rPr>
          <w:color w:val="auto"/>
        </w:rPr>
        <w:tab/>
      </w:r>
      <w:r w:rsidRPr="00927B3D">
        <w:rPr>
          <w:color w:val="auto"/>
        </w:rPr>
        <w:tab/>
      </w:r>
      <w:r w:rsidR="00F15A7C" w:rsidRPr="00927B3D">
        <w:rPr>
          <w:color w:val="auto"/>
        </w:rPr>
        <w:t xml:space="preserve">In his Initial Decision, ALJ Buckley found that the Complainant failed to sustain his burden of proving that he had been improperly billed by PECO.  </w:t>
      </w:r>
      <w:r w:rsidRPr="00927B3D">
        <w:rPr>
          <w:color w:val="auto"/>
        </w:rPr>
        <w:t>The Complainant owns the property at 1201 West Erie Avenue, Philadelphia, PA.  The property consists of a three story building</w:t>
      </w:r>
      <w:r w:rsidR="001A76ED" w:rsidRPr="00927B3D">
        <w:rPr>
          <w:color w:val="auto"/>
        </w:rPr>
        <w:t>,</w:t>
      </w:r>
      <w:r w:rsidR="00355722" w:rsidRPr="00927B3D">
        <w:rPr>
          <w:color w:val="auto"/>
        </w:rPr>
        <w:t xml:space="preserve"> which contain</w:t>
      </w:r>
      <w:r w:rsidR="001A76ED" w:rsidRPr="00927B3D">
        <w:rPr>
          <w:color w:val="auto"/>
        </w:rPr>
        <w:t>s</w:t>
      </w:r>
      <w:r w:rsidR="00355722" w:rsidRPr="00927B3D">
        <w:rPr>
          <w:color w:val="auto"/>
        </w:rPr>
        <w:t xml:space="preserve"> two apartments, with separate electric meters, on the upper two floors and </w:t>
      </w:r>
      <w:r w:rsidR="001A76ED" w:rsidRPr="00927B3D">
        <w:rPr>
          <w:color w:val="auto"/>
        </w:rPr>
        <w:t xml:space="preserve">which </w:t>
      </w:r>
      <w:r w:rsidR="00355722" w:rsidRPr="00927B3D">
        <w:rPr>
          <w:color w:val="auto"/>
        </w:rPr>
        <w:t xml:space="preserve">originally housed a </w:t>
      </w:r>
      <w:proofErr w:type="spellStart"/>
      <w:r w:rsidR="00355722" w:rsidRPr="00927B3D">
        <w:rPr>
          <w:color w:val="auto"/>
        </w:rPr>
        <w:t>laundromat</w:t>
      </w:r>
      <w:proofErr w:type="spellEnd"/>
      <w:r w:rsidR="00355722" w:rsidRPr="00927B3D">
        <w:rPr>
          <w:color w:val="auto"/>
        </w:rPr>
        <w:t xml:space="preserve"> on the </w:t>
      </w:r>
      <w:r w:rsidR="00355722" w:rsidRPr="00927B3D">
        <w:rPr>
          <w:color w:val="auto"/>
        </w:rPr>
        <w:lastRenderedPageBreak/>
        <w:t xml:space="preserve">first floor.  </w:t>
      </w:r>
      <w:r w:rsidR="00C5461F" w:rsidRPr="00927B3D">
        <w:rPr>
          <w:color w:val="auto"/>
        </w:rPr>
        <w:t>PECO</w:t>
      </w:r>
      <w:r w:rsidR="00355722" w:rsidRPr="00927B3D">
        <w:rPr>
          <w:color w:val="auto"/>
        </w:rPr>
        <w:t xml:space="preserve"> </w:t>
      </w:r>
      <w:r w:rsidR="00495D2B" w:rsidRPr="00927B3D">
        <w:rPr>
          <w:color w:val="auto"/>
        </w:rPr>
        <w:t xml:space="preserve">had </w:t>
      </w:r>
      <w:r w:rsidR="00355722" w:rsidRPr="00927B3D">
        <w:rPr>
          <w:color w:val="auto"/>
        </w:rPr>
        <w:t>provided electric service to the Complainant at that address since January 1987</w:t>
      </w:r>
      <w:r w:rsidR="00495D2B" w:rsidRPr="00927B3D">
        <w:rPr>
          <w:color w:val="auto"/>
        </w:rPr>
        <w:t>,</w:t>
      </w:r>
      <w:r w:rsidR="00622397" w:rsidRPr="00927B3D">
        <w:rPr>
          <w:color w:val="auto"/>
        </w:rPr>
        <w:t xml:space="preserve"> in the form of service to a commercial establishment.  The </w:t>
      </w:r>
      <w:proofErr w:type="spellStart"/>
      <w:r w:rsidR="00622397" w:rsidRPr="00927B3D">
        <w:rPr>
          <w:color w:val="auto"/>
        </w:rPr>
        <w:t>laundromat</w:t>
      </w:r>
      <w:proofErr w:type="spellEnd"/>
      <w:r w:rsidR="00622397" w:rsidRPr="00927B3D">
        <w:rPr>
          <w:color w:val="auto"/>
        </w:rPr>
        <w:t xml:space="preserve"> closed around 1999.  </w:t>
      </w:r>
      <w:r w:rsidR="00EA4CBF" w:rsidRPr="00927B3D">
        <w:rPr>
          <w:color w:val="auto"/>
        </w:rPr>
        <w:t>At some time between 2002 and 2008</w:t>
      </w:r>
      <w:r w:rsidR="004827E7" w:rsidRPr="00927B3D">
        <w:rPr>
          <w:color w:val="auto"/>
        </w:rPr>
        <w:t>, the</w:t>
      </w:r>
      <w:r w:rsidR="00EA4CBF" w:rsidRPr="00927B3D">
        <w:rPr>
          <w:color w:val="auto"/>
        </w:rPr>
        <w:t xml:space="preserve"> Complainant occupied the space in the rear of the first floor of the property and </w:t>
      </w:r>
      <w:r w:rsidR="00264779" w:rsidRPr="00927B3D">
        <w:rPr>
          <w:color w:val="auto"/>
        </w:rPr>
        <w:t xml:space="preserve">began living there.  During this period, PECO </w:t>
      </w:r>
      <w:r w:rsidR="001A76ED" w:rsidRPr="00927B3D">
        <w:rPr>
          <w:color w:val="auto"/>
        </w:rPr>
        <w:t xml:space="preserve">was unable to </w:t>
      </w:r>
      <w:r w:rsidR="00264779" w:rsidRPr="00927B3D">
        <w:rPr>
          <w:color w:val="auto"/>
        </w:rPr>
        <w:t>gain access to the property to read the meter</w:t>
      </w:r>
      <w:r w:rsidR="001A76ED" w:rsidRPr="00927B3D">
        <w:rPr>
          <w:color w:val="auto"/>
        </w:rPr>
        <w:t xml:space="preserve">, </w:t>
      </w:r>
      <w:r w:rsidR="00264779" w:rsidRPr="00927B3D">
        <w:rPr>
          <w:color w:val="auto"/>
        </w:rPr>
        <w:t>had no customer of record</w:t>
      </w:r>
      <w:r w:rsidR="001A76ED" w:rsidRPr="00927B3D">
        <w:rPr>
          <w:color w:val="auto"/>
        </w:rPr>
        <w:t>,</w:t>
      </w:r>
      <w:r w:rsidR="00264779" w:rsidRPr="00927B3D">
        <w:rPr>
          <w:color w:val="auto"/>
        </w:rPr>
        <w:t xml:space="preserve"> and was not billing anyone for service or</w:t>
      </w:r>
      <w:r w:rsidR="005C5108" w:rsidRPr="00927B3D">
        <w:rPr>
          <w:color w:val="auto"/>
        </w:rPr>
        <w:t xml:space="preserve"> even </w:t>
      </w:r>
      <w:r w:rsidR="00264779" w:rsidRPr="00927B3D">
        <w:rPr>
          <w:color w:val="auto"/>
        </w:rPr>
        <w:t xml:space="preserve">providing service to that portion of the building.  In January 2008, PECO installed an automatic meter reading (AMR) </w:t>
      </w:r>
      <w:r w:rsidR="009113ED" w:rsidRPr="00927B3D">
        <w:rPr>
          <w:color w:val="auto"/>
        </w:rPr>
        <w:t xml:space="preserve">meter </w:t>
      </w:r>
      <w:r w:rsidR="00264779" w:rsidRPr="00927B3D">
        <w:rPr>
          <w:color w:val="auto"/>
        </w:rPr>
        <w:t>to provide electric service to the first floor</w:t>
      </w:r>
      <w:r w:rsidR="006278A6" w:rsidRPr="00927B3D">
        <w:rPr>
          <w:color w:val="auto"/>
        </w:rPr>
        <w:t xml:space="preserve"> and</w:t>
      </w:r>
      <w:r w:rsidR="005C5108" w:rsidRPr="00927B3D">
        <w:rPr>
          <w:color w:val="auto"/>
        </w:rPr>
        <w:t xml:space="preserve"> common areas of the building including the </w:t>
      </w:r>
      <w:r w:rsidR="006278A6" w:rsidRPr="00927B3D">
        <w:rPr>
          <w:color w:val="auto"/>
        </w:rPr>
        <w:t>hallway and general area lighting to the apartment building</w:t>
      </w:r>
      <w:r w:rsidR="005C5108" w:rsidRPr="00927B3D">
        <w:rPr>
          <w:color w:val="auto"/>
        </w:rPr>
        <w:t xml:space="preserve">.  </w:t>
      </w:r>
      <w:r w:rsidR="006278A6" w:rsidRPr="00927B3D">
        <w:rPr>
          <w:color w:val="auto"/>
        </w:rPr>
        <w:t>PECO classified the account as commercial and billed the Complainant</w:t>
      </w:r>
      <w:r w:rsidR="005C5108" w:rsidRPr="00927B3D">
        <w:rPr>
          <w:color w:val="auto"/>
        </w:rPr>
        <w:t xml:space="preserve"> accordingly.</w:t>
      </w:r>
    </w:p>
    <w:p w:rsidR="006278A6" w:rsidRPr="00927B3D" w:rsidRDefault="006278A6" w:rsidP="00135252">
      <w:pPr>
        <w:pStyle w:val="BodyText"/>
        <w:rPr>
          <w:color w:val="auto"/>
        </w:rPr>
      </w:pPr>
    </w:p>
    <w:p w:rsidR="006278A6" w:rsidRPr="00927B3D" w:rsidRDefault="006278A6" w:rsidP="00135252">
      <w:pPr>
        <w:pStyle w:val="BodyText"/>
        <w:rPr>
          <w:color w:val="auto"/>
        </w:rPr>
      </w:pPr>
      <w:r w:rsidRPr="00927B3D">
        <w:rPr>
          <w:color w:val="auto"/>
        </w:rPr>
        <w:tab/>
      </w:r>
      <w:r w:rsidRPr="00927B3D">
        <w:rPr>
          <w:color w:val="auto"/>
        </w:rPr>
        <w:tab/>
      </w:r>
      <w:r w:rsidR="00C5461F" w:rsidRPr="00927B3D">
        <w:rPr>
          <w:color w:val="auto"/>
        </w:rPr>
        <w:t xml:space="preserve">The </w:t>
      </w:r>
      <w:r w:rsidRPr="00927B3D">
        <w:rPr>
          <w:color w:val="auto"/>
        </w:rPr>
        <w:t xml:space="preserve">Complainant then notified PECO that he </w:t>
      </w:r>
      <w:r w:rsidR="005C5108" w:rsidRPr="00927B3D">
        <w:rPr>
          <w:color w:val="auto"/>
        </w:rPr>
        <w:t xml:space="preserve">thought </w:t>
      </w:r>
      <w:r w:rsidRPr="00927B3D">
        <w:rPr>
          <w:color w:val="auto"/>
        </w:rPr>
        <w:t>he was being billed incorrectly</w:t>
      </w:r>
      <w:r w:rsidR="00B958B8" w:rsidRPr="00927B3D">
        <w:rPr>
          <w:color w:val="auto"/>
        </w:rPr>
        <w:t xml:space="preserve"> at a commercial rate.  </w:t>
      </w:r>
      <w:r w:rsidR="005C5108" w:rsidRPr="00927B3D">
        <w:rPr>
          <w:color w:val="auto"/>
        </w:rPr>
        <w:t xml:space="preserve">PECO </w:t>
      </w:r>
      <w:r w:rsidR="00B958B8" w:rsidRPr="00927B3D">
        <w:rPr>
          <w:color w:val="auto"/>
        </w:rPr>
        <w:t xml:space="preserve">explained to </w:t>
      </w:r>
      <w:r w:rsidR="005C5108" w:rsidRPr="00927B3D">
        <w:rPr>
          <w:color w:val="auto"/>
        </w:rPr>
        <w:t>the Complainant t</w:t>
      </w:r>
      <w:r w:rsidR="00B958B8" w:rsidRPr="00927B3D">
        <w:rPr>
          <w:color w:val="auto"/>
        </w:rPr>
        <w:t xml:space="preserve">hat if he would have another meter installed to cover service to the common areas, which would be rated commercial, then the service to his living area could be rated residential. </w:t>
      </w:r>
      <w:r w:rsidR="005278D7" w:rsidRPr="00927B3D">
        <w:rPr>
          <w:color w:val="auto"/>
        </w:rPr>
        <w:t xml:space="preserve"> The </w:t>
      </w:r>
      <w:r w:rsidR="00B958B8" w:rsidRPr="00927B3D">
        <w:rPr>
          <w:color w:val="auto"/>
        </w:rPr>
        <w:t xml:space="preserve">Complainant then </w:t>
      </w:r>
      <w:r w:rsidR="005278D7" w:rsidRPr="00927B3D">
        <w:rPr>
          <w:color w:val="auto"/>
        </w:rPr>
        <w:t>informed PECO t</w:t>
      </w:r>
      <w:r w:rsidR="00B958B8" w:rsidRPr="00927B3D">
        <w:rPr>
          <w:color w:val="auto"/>
        </w:rPr>
        <w:t xml:space="preserve">hat he was in a bankruptcy proceeding and </w:t>
      </w:r>
      <w:r w:rsidR="005278D7" w:rsidRPr="00927B3D">
        <w:rPr>
          <w:color w:val="auto"/>
        </w:rPr>
        <w:t xml:space="preserve">was unable to </w:t>
      </w:r>
      <w:r w:rsidR="00B958B8" w:rsidRPr="00927B3D">
        <w:rPr>
          <w:color w:val="auto"/>
        </w:rPr>
        <w:t xml:space="preserve">afford </w:t>
      </w:r>
      <w:r w:rsidR="005278D7" w:rsidRPr="00927B3D">
        <w:rPr>
          <w:color w:val="auto"/>
        </w:rPr>
        <w:t>the cost of having another meter installed.</w:t>
      </w:r>
      <w:r w:rsidR="00B958B8" w:rsidRPr="00927B3D">
        <w:rPr>
          <w:color w:val="auto"/>
        </w:rPr>
        <w:t xml:space="preserve">  </w:t>
      </w:r>
      <w:r w:rsidR="005278D7" w:rsidRPr="00927B3D">
        <w:rPr>
          <w:color w:val="auto"/>
        </w:rPr>
        <w:t xml:space="preserve">As such, </w:t>
      </w:r>
      <w:r w:rsidR="00B958B8" w:rsidRPr="00927B3D">
        <w:rPr>
          <w:color w:val="auto"/>
        </w:rPr>
        <w:t>PECO continued to bill him at the commercial rate per its published tariff.</w:t>
      </w:r>
      <w:r w:rsidR="00432451" w:rsidRPr="00927B3D">
        <w:rPr>
          <w:color w:val="auto"/>
        </w:rPr>
        <w:t xml:space="preserve">  PECO further maintain</w:t>
      </w:r>
      <w:r w:rsidR="005278D7" w:rsidRPr="00927B3D">
        <w:rPr>
          <w:color w:val="auto"/>
        </w:rPr>
        <w:t>ed</w:t>
      </w:r>
      <w:r w:rsidR="00432451" w:rsidRPr="00927B3D">
        <w:rPr>
          <w:color w:val="auto"/>
        </w:rPr>
        <w:t xml:space="preserve"> that as a commercial customer, </w:t>
      </w:r>
      <w:r w:rsidR="005278D7" w:rsidRPr="00927B3D">
        <w:rPr>
          <w:color w:val="auto"/>
        </w:rPr>
        <w:t xml:space="preserve">the </w:t>
      </w:r>
      <w:r w:rsidR="00432451" w:rsidRPr="00927B3D">
        <w:rPr>
          <w:color w:val="auto"/>
        </w:rPr>
        <w:t>Complainant is not entitled to a payment arrangement.</w:t>
      </w:r>
    </w:p>
    <w:p w:rsidR="00432451" w:rsidRPr="00927B3D" w:rsidRDefault="00432451" w:rsidP="00135252">
      <w:pPr>
        <w:pStyle w:val="BodyText"/>
        <w:rPr>
          <w:color w:val="auto"/>
        </w:rPr>
      </w:pPr>
    </w:p>
    <w:p w:rsidR="007E1742" w:rsidRPr="00927B3D" w:rsidRDefault="00432451" w:rsidP="00135252">
      <w:pPr>
        <w:pStyle w:val="BodyText"/>
        <w:rPr>
          <w:color w:val="auto"/>
        </w:rPr>
      </w:pPr>
      <w:r w:rsidRPr="00927B3D">
        <w:rPr>
          <w:color w:val="auto"/>
        </w:rPr>
        <w:tab/>
      </w:r>
      <w:r w:rsidRPr="00927B3D">
        <w:rPr>
          <w:color w:val="auto"/>
        </w:rPr>
        <w:tab/>
      </w:r>
      <w:r w:rsidR="005278D7" w:rsidRPr="00927B3D">
        <w:rPr>
          <w:color w:val="auto"/>
        </w:rPr>
        <w:t>W</w:t>
      </w:r>
      <w:r w:rsidR="00762C46" w:rsidRPr="00927B3D">
        <w:rPr>
          <w:color w:val="auto"/>
        </w:rPr>
        <w:t xml:space="preserve">ith respect to the Complainant’s request for a payment arrangement, </w:t>
      </w:r>
      <w:r w:rsidR="005278D7" w:rsidRPr="00927B3D">
        <w:rPr>
          <w:color w:val="auto"/>
        </w:rPr>
        <w:t xml:space="preserve">the ALJ determined that </w:t>
      </w:r>
      <w:r w:rsidR="00762C46" w:rsidRPr="00927B3D">
        <w:rPr>
          <w:color w:val="auto"/>
        </w:rPr>
        <w:t>the Commis</w:t>
      </w:r>
      <w:r w:rsidR="00E17023" w:rsidRPr="00927B3D">
        <w:rPr>
          <w:color w:val="auto"/>
        </w:rPr>
        <w:t>s</w:t>
      </w:r>
      <w:r w:rsidR="00762C46" w:rsidRPr="00927B3D">
        <w:rPr>
          <w:color w:val="auto"/>
        </w:rPr>
        <w:t>ion has repeatedly held that a customer with a commercial account for public utility service does not fall within the Commission</w:t>
      </w:r>
      <w:r w:rsidR="004827E7" w:rsidRPr="00927B3D">
        <w:rPr>
          <w:color w:val="auto"/>
        </w:rPr>
        <w:t>’s</w:t>
      </w:r>
      <w:r w:rsidR="00762C46" w:rsidRPr="00927B3D">
        <w:rPr>
          <w:color w:val="auto"/>
        </w:rPr>
        <w:t xml:space="preserve"> </w:t>
      </w:r>
      <w:r w:rsidR="005278D7" w:rsidRPr="00927B3D">
        <w:rPr>
          <w:color w:val="auto"/>
        </w:rPr>
        <w:t>R</w:t>
      </w:r>
      <w:r w:rsidR="00762C46" w:rsidRPr="00927B3D">
        <w:rPr>
          <w:color w:val="auto"/>
        </w:rPr>
        <w:t xml:space="preserve">egulations at 52 Pa. Code Chapter 56 and is not entitled to a payment arrangement or other protections applicable to residential accounts under the </w:t>
      </w:r>
      <w:r w:rsidR="004827E7" w:rsidRPr="00927B3D">
        <w:rPr>
          <w:color w:val="auto"/>
        </w:rPr>
        <w:t>R</w:t>
      </w:r>
      <w:r w:rsidR="00762C46" w:rsidRPr="00927B3D">
        <w:rPr>
          <w:color w:val="auto"/>
        </w:rPr>
        <w:t>egulations.</w:t>
      </w:r>
    </w:p>
    <w:p w:rsidR="00E17023" w:rsidRPr="00927B3D" w:rsidRDefault="00E17023" w:rsidP="00B67577">
      <w:pPr>
        <w:pStyle w:val="BodyText"/>
        <w:rPr>
          <w:color w:val="auto"/>
        </w:rPr>
      </w:pPr>
    </w:p>
    <w:p w:rsidR="00E800D2" w:rsidRPr="00927B3D" w:rsidRDefault="00E17023" w:rsidP="00B67577">
      <w:pPr>
        <w:pStyle w:val="BodyText"/>
        <w:rPr>
          <w:color w:val="auto"/>
        </w:rPr>
      </w:pPr>
      <w:r w:rsidRPr="00927B3D">
        <w:rPr>
          <w:color w:val="auto"/>
        </w:rPr>
        <w:tab/>
      </w:r>
      <w:r w:rsidRPr="00927B3D">
        <w:rPr>
          <w:color w:val="auto"/>
        </w:rPr>
        <w:tab/>
      </w:r>
      <w:r w:rsidR="00B63AAB" w:rsidRPr="00927B3D">
        <w:rPr>
          <w:color w:val="auto"/>
        </w:rPr>
        <w:t xml:space="preserve">We agree with the </w:t>
      </w:r>
      <w:r w:rsidR="00B67577" w:rsidRPr="00927B3D">
        <w:rPr>
          <w:color w:val="auto"/>
        </w:rPr>
        <w:t>ALJ’s</w:t>
      </w:r>
      <w:r w:rsidR="00B63AAB" w:rsidRPr="00927B3D">
        <w:rPr>
          <w:color w:val="auto"/>
        </w:rPr>
        <w:t xml:space="preserve"> </w:t>
      </w:r>
      <w:r w:rsidR="00B67577" w:rsidRPr="00927B3D">
        <w:rPr>
          <w:color w:val="auto"/>
        </w:rPr>
        <w:t xml:space="preserve">disposition of the case.  However, </w:t>
      </w:r>
      <w:r w:rsidR="00430D71" w:rsidRPr="00927B3D">
        <w:rPr>
          <w:color w:val="auto"/>
        </w:rPr>
        <w:t xml:space="preserve">we </w:t>
      </w:r>
      <w:r w:rsidR="00D25275" w:rsidRPr="00927B3D">
        <w:rPr>
          <w:color w:val="auto"/>
        </w:rPr>
        <w:t xml:space="preserve">are of the opinion that </w:t>
      </w:r>
      <w:r w:rsidR="00CA2428" w:rsidRPr="00927B3D">
        <w:rPr>
          <w:color w:val="auto"/>
        </w:rPr>
        <w:t xml:space="preserve">clarification </w:t>
      </w:r>
      <w:r w:rsidR="00D25275" w:rsidRPr="00927B3D">
        <w:rPr>
          <w:color w:val="auto"/>
        </w:rPr>
        <w:t xml:space="preserve">with regard to a portion of the ALJ’s Initial Decision </w:t>
      </w:r>
      <w:r w:rsidR="00CA2428" w:rsidRPr="00927B3D">
        <w:rPr>
          <w:color w:val="auto"/>
        </w:rPr>
        <w:t>is needed.</w:t>
      </w:r>
    </w:p>
    <w:p w:rsidR="0065576C" w:rsidRPr="00927B3D" w:rsidRDefault="0065576C" w:rsidP="00B67577">
      <w:pPr>
        <w:pStyle w:val="BodyText"/>
        <w:rPr>
          <w:color w:val="auto"/>
        </w:rPr>
      </w:pPr>
    </w:p>
    <w:p w:rsidR="0065576C" w:rsidRPr="00927B3D" w:rsidRDefault="0065576C" w:rsidP="00B67577">
      <w:pPr>
        <w:pStyle w:val="BodyText"/>
        <w:rPr>
          <w:color w:val="auto"/>
        </w:rPr>
      </w:pPr>
      <w:r w:rsidRPr="00927B3D">
        <w:rPr>
          <w:color w:val="auto"/>
        </w:rPr>
        <w:lastRenderedPageBreak/>
        <w:tab/>
      </w:r>
      <w:r w:rsidRPr="00927B3D">
        <w:rPr>
          <w:color w:val="auto"/>
        </w:rPr>
        <w:tab/>
      </w:r>
      <w:r w:rsidR="00CA2428" w:rsidRPr="00927B3D">
        <w:rPr>
          <w:color w:val="auto"/>
        </w:rPr>
        <w:t xml:space="preserve">The </w:t>
      </w:r>
      <w:r w:rsidR="00D25275" w:rsidRPr="00927B3D">
        <w:rPr>
          <w:color w:val="auto"/>
        </w:rPr>
        <w:t xml:space="preserve">Initial Decision </w:t>
      </w:r>
      <w:r w:rsidR="00CA2428" w:rsidRPr="00927B3D">
        <w:rPr>
          <w:color w:val="auto"/>
        </w:rPr>
        <w:t>points out that from December 27, 2002 to January 28, 2008, PECO was unable to gain entry to the property, was not able to read the meter at the service address, and no bills were issued.</w:t>
      </w:r>
      <w:r w:rsidR="006F16FB" w:rsidRPr="00927B3D">
        <w:rPr>
          <w:rStyle w:val="FootnoteReference"/>
          <w:color w:val="auto"/>
        </w:rPr>
        <w:footnoteReference w:id="1"/>
      </w:r>
      <w:r w:rsidR="006F16FB" w:rsidRPr="00927B3D">
        <w:rPr>
          <w:color w:val="auto"/>
        </w:rPr>
        <w:t xml:space="preserve">  This statement, while accurate, gives the impression that service was being provided but not paid for by any ratepayer.  During the hearing, PECO clarified that, during this period, there was no service to the pro</w:t>
      </w:r>
      <w:r w:rsidR="00EA5434" w:rsidRPr="00927B3D">
        <w:rPr>
          <w:color w:val="auto"/>
        </w:rPr>
        <w:t>p</w:t>
      </w:r>
      <w:r w:rsidR="006F16FB" w:rsidRPr="00927B3D">
        <w:rPr>
          <w:color w:val="auto"/>
        </w:rPr>
        <w:t>erty, no customer of record and there was no billing.</w:t>
      </w:r>
    </w:p>
    <w:p w:rsidR="0065576C" w:rsidRPr="00927B3D" w:rsidRDefault="0065576C" w:rsidP="00B67577">
      <w:pPr>
        <w:pStyle w:val="BodyText"/>
        <w:rPr>
          <w:color w:val="auto"/>
        </w:rPr>
      </w:pPr>
    </w:p>
    <w:p w:rsidR="0065576C" w:rsidRPr="00927B3D" w:rsidRDefault="0065576C" w:rsidP="00B67577">
      <w:pPr>
        <w:pStyle w:val="BodyText"/>
        <w:rPr>
          <w:color w:val="auto"/>
        </w:rPr>
      </w:pPr>
      <w:r w:rsidRPr="00927B3D">
        <w:rPr>
          <w:color w:val="auto"/>
        </w:rPr>
        <w:tab/>
      </w:r>
      <w:r w:rsidRPr="00927B3D">
        <w:rPr>
          <w:color w:val="auto"/>
        </w:rPr>
        <w:tab/>
        <w:t xml:space="preserve">Additionally, </w:t>
      </w:r>
      <w:r w:rsidR="00D35C04" w:rsidRPr="00927B3D">
        <w:rPr>
          <w:color w:val="auto"/>
        </w:rPr>
        <w:t xml:space="preserve">we </w:t>
      </w:r>
      <w:r w:rsidR="006F16FB" w:rsidRPr="00927B3D">
        <w:rPr>
          <w:color w:val="auto"/>
        </w:rPr>
        <w:t>note that part of Finding of Fact 14 in the I</w:t>
      </w:r>
      <w:r w:rsidR="00D35C04" w:rsidRPr="00927B3D">
        <w:rPr>
          <w:color w:val="auto"/>
        </w:rPr>
        <w:t>nitial Decision</w:t>
      </w:r>
      <w:r w:rsidR="006F16FB" w:rsidRPr="00927B3D">
        <w:rPr>
          <w:color w:val="auto"/>
        </w:rPr>
        <w:t xml:space="preserve"> is contrary to the record in this proceeding.  The ALJ cites the transcript at page 54 to support this Finding of Fact</w:t>
      </w:r>
      <w:r w:rsidR="0058219D" w:rsidRPr="00927B3D">
        <w:rPr>
          <w:color w:val="auto"/>
        </w:rPr>
        <w:t>.  H</w:t>
      </w:r>
      <w:r w:rsidR="006F16FB" w:rsidRPr="00927B3D">
        <w:rPr>
          <w:color w:val="auto"/>
        </w:rPr>
        <w:t xml:space="preserve">owever, </w:t>
      </w:r>
      <w:r w:rsidR="0058219D" w:rsidRPr="00927B3D">
        <w:rPr>
          <w:color w:val="auto"/>
        </w:rPr>
        <w:t xml:space="preserve">upon our </w:t>
      </w:r>
      <w:r w:rsidR="006F16FB" w:rsidRPr="00927B3D">
        <w:rPr>
          <w:color w:val="auto"/>
        </w:rPr>
        <w:t>review, this part of the transcript only supports when PECO installed the AMR device and not that PECO</w:t>
      </w:r>
      <w:r w:rsidR="000838A2" w:rsidRPr="00927B3D">
        <w:rPr>
          <w:color w:val="auto"/>
        </w:rPr>
        <w:t xml:space="preserve"> back-billed for service.  PECO specifically testified that it did </w:t>
      </w:r>
      <w:r w:rsidR="000838A2" w:rsidRPr="00927B3D">
        <w:rPr>
          <w:b/>
          <w:color w:val="auto"/>
        </w:rPr>
        <w:t>not</w:t>
      </w:r>
      <w:r w:rsidR="000838A2" w:rsidRPr="00927B3D">
        <w:rPr>
          <w:color w:val="auto"/>
        </w:rPr>
        <w:t xml:space="preserve"> back-bill for any service.</w:t>
      </w:r>
      <w:r w:rsidR="000838A2" w:rsidRPr="00927B3D">
        <w:rPr>
          <w:rStyle w:val="FootnoteReference"/>
          <w:color w:val="auto"/>
        </w:rPr>
        <w:footnoteReference w:id="2"/>
      </w:r>
      <w:r w:rsidR="000838A2" w:rsidRPr="00927B3D">
        <w:rPr>
          <w:color w:val="auto"/>
        </w:rPr>
        <w:t xml:space="preserve">  Also, the account statement supports PECO’s testimony on this issue.</w:t>
      </w:r>
    </w:p>
    <w:p w:rsidR="006B3346" w:rsidRPr="00927B3D" w:rsidRDefault="006B3346" w:rsidP="00B67577">
      <w:pPr>
        <w:pStyle w:val="BodyText"/>
        <w:rPr>
          <w:color w:val="auto"/>
        </w:rPr>
      </w:pPr>
    </w:p>
    <w:p w:rsidR="00CF6755" w:rsidRPr="00927B3D" w:rsidRDefault="006B3346" w:rsidP="000838A2">
      <w:pPr>
        <w:pStyle w:val="BodyText"/>
        <w:rPr>
          <w:color w:val="auto"/>
          <w:szCs w:val="26"/>
        </w:rPr>
      </w:pPr>
      <w:r w:rsidRPr="00927B3D">
        <w:rPr>
          <w:color w:val="auto"/>
        </w:rPr>
        <w:tab/>
      </w:r>
      <w:r w:rsidRPr="00927B3D">
        <w:rPr>
          <w:color w:val="auto"/>
        </w:rPr>
        <w:tab/>
      </w:r>
      <w:r w:rsidR="00CF6755" w:rsidRPr="00927B3D">
        <w:rPr>
          <w:color w:val="auto"/>
          <w:szCs w:val="26"/>
        </w:rPr>
        <w:t xml:space="preserve">For the reasons set forth above, we shall </w:t>
      </w:r>
      <w:r w:rsidR="0058219D" w:rsidRPr="00927B3D">
        <w:rPr>
          <w:color w:val="auto"/>
          <w:szCs w:val="26"/>
        </w:rPr>
        <w:t xml:space="preserve">modify </w:t>
      </w:r>
      <w:r w:rsidR="00CF6755" w:rsidRPr="00927B3D">
        <w:rPr>
          <w:color w:val="auto"/>
          <w:szCs w:val="26"/>
        </w:rPr>
        <w:t>the ALJ’s Initial Decision</w:t>
      </w:r>
      <w:r w:rsidR="0058219D" w:rsidRPr="00927B3D">
        <w:rPr>
          <w:color w:val="auto"/>
          <w:szCs w:val="26"/>
        </w:rPr>
        <w:t xml:space="preserve"> consistent with the clarification set forth in the above discussion;</w:t>
      </w:r>
      <w:r w:rsidR="00CF6755" w:rsidRPr="00927B3D">
        <w:rPr>
          <w:color w:val="auto"/>
        </w:rPr>
        <w:t xml:space="preserve"> </w:t>
      </w:r>
      <w:r w:rsidR="00CF6755" w:rsidRPr="00927B3D">
        <w:rPr>
          <w:b/>
          <w:color w:val="auto"/>
          <w:szCs w:val="26"/>
        </w:rPr>
        <w:t>THEREFORE</w:t>
      </w:r>
      <w:r w:rsidR="00CF6755" w:rsidRPr="00927B3D">
        <w:rPr>
          <w:color w:val="auto"/>
          <w:szCs w:val="26"/>
        </w:rPr>
        <w:t>,</w:t>
      </w:r>
    </w:p>
    <w:p w:rsidR="0017134F" w:rsidRPr="00927B3D" w:rsidRDefault="0017134F" w:rsidP="00BA1D63">
      <w:pPr>
        <w:pStyle w:val="BodyText"/>
        <w:rPr>
          <w:b/>
          <w:color w:val="auto"/>
        </w:rPr>
      </w:pPr>
    </w:p>
    <w:p w:rsidR="00D1255C" w:rsidRPr="00927B3D" w:rsidRDefault="00FF7E73" w:rsidP="00BA1D63">
      <w:pPr>
        <w:pStyle w:val="BodyText"/>
        <w:rPr>
          <w:b/>
          <w:color w:val="auto"/>
        </w:rPr>
      </w:pPr>
      <w:r w:rsidRPr="00927B3D">
        <w:rPr>
          <w:b/>
          <w:color w:val="auto"/>
        </w:rPr>
        <w:tab/>
      </w:r>
      <w:r w:rsidRPr="00927B3D">
        <w:rPr>
          <w:b/>
          <w:color w:val="auto"/>
        </w:rPr>
        <w:tab/>
        <w:t>IT IS ORDERED:</w:t>
      </w:r>
    </w:p>
    <w:p w:rsidR="00D1255C" w:rsidRPr="00927B3D" w:rsidRDefault="00D1255C" w:rsidP="00BA1D63">
      <w:pPr>
        <w:pStyle w:val="BodyText"/>
        <w:rPr>
          <w:b/>
          <w:color w:val="auto"/>
        </w:rPr>
      </w:pPr>
    </w:p>
    <w:p w:rsidR="00D1255C" w:rsidRPr="00927B3D" w:rsidRDefault="00FF7E73" w:rsidP="00BA1D63">
      <w:pPr>
        <w:pStyle w:val="BodyText"/>
        <w:rPr>
          <w:color w:val="auto"/>
        </w:rPr>
      </w:pPr>
      <w:r w:rsidRPr="00927B3D">
        <w:rPr>
          <w:b/>
          <w:color w:val="auto"/>
        </w:rPr>
        <w:tab/>
      </w:r>
      <w:r w:rsidRPr="00927B3D">
        <w:rPr>
          <w:b/>
          <w:color w:val="auto"/>
        </w:rPr>
        <w:tab/>
      </w:r>
      <w:r w:rsidRPr="00927B3D">
        <w:rPr>
          <w:color w:val="auto"/>
        </w:rPr>
        <w:t>1.</w:t>
      </w:r>
      <w:r w:rsidRPr="00927B3D">
        <w:rPr>
          <w:color w:val="auto"/>
        </w:rPr>
        <w:tab/>
        <w:t xml:space="preserve">That the Initial Decision of </w:t>
      </w:r>
      <w:r w:rsidR="00BB093D" w:rsidRPr="00927B3D">
        <w:rPr>
          <w:color w:val="auto"/>
        </w:rPr>
        <w:t xml:space="preserve">Administrative Law Judge </w:t>
      </w:r>
      <w:r w:rsidR="008C4C5F" w:rsidRPr="00927B3D">
        <w:rPr>
          <w:color w:val="auto"/>
        </w:rPr>
        <w:t>Dennis J. Buckley</w:t>
      </w:r>
      <w:r w:rsidR="004827E7" w:rsidRPr="00927B3D">
        <w:rPr>
          <w:color w:val="auto"/>
        </w:rPr>
        <w:t>,</w:t>
      </w:r>
      <w:r w:rsidRPr="00927B3D">
        <w:rPr>
          <w:color w:val="auto"/>
        </w:rPr>
        <w:t xml:space="preserve"> </w:t>
      </w:r>
      <w:r w:rsidR="00CF6755" w:rsidRPr="00927B3D">
        <w:rPr>
          <w:color w:val="auto"/>
        </w:rPr>
        <w:t xml:space="preserve">issued </w:t>
      </w:r>
      <w:r w:rsidR="004827E7" w:rsidRPr="00927B3D">
        <w:rPr>
          <w:color w:val="auto"/>
        </w:rPr>
        <w:t xml:space="preserve">on </w:t>
      </w:r>
      <w:r w:rsidR="00A2487E" w:rsidRPr="00927B3D">
        <w:rPr>
          <w:color w:val="auto"/>
        </w:rPr>
        <w:t xml:space="preserve">December </w:t>
      </w:r>
      <w:r w:rsidR="008C4C5F" w:rsidRPr="00927B3D">
        <w:rPr>
          <w:color w:val="auto"/>
        </w:rPr>
        <w:t>30</w:t>
      </w:r>
      <w:r w:rsidR="00A2487E" w:rsidRPr="00927B3D">
        <w:rPr>
          <w:color w:val="auto"/>
        </w:rPr>
        <w:t>, 20</w:t>
      </w:r>
      <w:r w:rsidR="008C4C5F" w:rsidRPr="00927B3D">
        <w:rPr>
          <w:color w:val="auto"/>
        </w:rPr>
        <w:t>10</w:t>
      </w:r>
      <w:r w:rsidR="004827E7" w:rsidRPr="00927B3D">
        <w:rPr>
          <w:color w:val="auto"/>
        </w:rPr>
        <w:t>,</w:t>
      </w:r>
      <w:r w:rsidR="00A2487E" w:rsidRPr="00927B3D">
        <w:rPr>
          <w:color w:val="auto"/>
        </w:rPr>
        <w:t xml:space="preserve"> </w:t>
      </w:r>
      <w:r w:rsidRPr="00927B3D">
        <w:rPr>
          <w:color w:val="auto"/>
        </w:rPr>
        <w:t xml:space="preserve">is </w:t>
      </w:r>
      <w:r w:rsidR="00A2487E" w:rsidRPr="00927B3D">
        <w:rPr>
          <w:color w:val="auto"/>
        </w:rPr>
        <w:t>adopted</w:t>
      </w:r>
      <w:r w:rsidRPr="00927B3D">
        <w:rPr>
          <w:color w:val="auto"/>
        </w:rPr>
        <w:t xml:space="preserve"> </w:t>
      </w:r>
      <w:r w:rsidR="008C4C5F" w:rsidRPr="00927B3D">
        <w:rPr>
          <w:color w:val="auto"/>
        </w:rPr>
        <w:t>as modified by</w:t>
      </w:r>
      <w:r w:rsidRPr="00927B3D">
        <w:rPr>
          <w:color w:val="auto"/>
        </w:rPr>
        <w:t xml:space="preserve"> this Opinion and Order.</w:t>
      </w:r>
    </w:p>
    <w:p w:rsidR="002B37FD" w:rsidRPr="00927B3D" w:rsidRDefault="002B37FD" w:rsidP="006376CE">
      <w:pPr>
        <w:tabs>
          <w:tab w:val="left" w:pos="0"/>
        </w:tabs>
        <w:suppressAutoHyphens/>
        <w:spacing w:line="360" w:lineRule="auto"/>
        <w:rPr>
          <w:color w:val="auto"/>
          <w:spacing w:val="-3"/>
          <w:sz w:val="26"/>
          <w:szCs w:val="26"/>
        </w:rPr>
      </w:pPr>
    </w:p>
    <w:p w:rsidR="00927B3D" w:rsidRPr="00927B3D" w:rsidRDefault="00927B3D" w:rsidP="00927B3D">
      <w:pPr>
        <w:tabs>
          <w:tab w:val="left" w:pos="0"/>
        </w:tabs>
        <w:suppressAutoHyphens/>
        <w:spacing w:line="360" w:lineRule="auto"/>
        <w:rPr>
          <w:color w:val="auto"/>
          <w:spacing w:val="-3"/>
          <w:sz w:val="26"/>
          <w:szCs w:val="24"/>
        </w:rPr>
      </w:pPr>
      <w:r w:rsidRPr="00927B3D">
        <w:rPr>
          <w:color w:val="auto"/>
          <w:spacing w:val="-3"/>
          <w:sz w:val="26"/>
          <w:szCs w:val="26"/>
        </w:rPr>
        <w:tab/>
      </w:r>
      <w:r w:rsidRPr="00927B3D">
        <w:rPr>
          <w:color w:val="auto"/>
          <w:spacing w:val="-3"/>
          <w:sz w:val="26"/>
          <w:szCs w:val="26"/>
        </w:rPr>
        <w:tab/>
        <w:t>2.</w:t>
      </w:r>
      <w:r w:rsidRPr="00927B3D">
        <w:rPr>
          <w:color w:val="auto"/>
          <w:spacing w:val="-3"/>
          <w:sz w:val="26"/>
          <w:szCs w:val="26"/>
        </w:rPr>
        <w:tab/>
      </w:r>
      <w:r w:rsidRPr="00927B3D">
        <w:rPr>
          <w:color w:val="auto"/>
          <w:spacing w:val="-3"/>
          <w:sz w:val="26"/>
          <w:szCs w:val="24"/>
        </w:rPr>
        <w:t>That the Complaint of David Moore against PECO Energy Company at Docket No. C-2009-</w:t>
      </w:r>
      <w:proofErr w:type="gramStart"/>
      <w:r w:rsidRPr="00927B3D">
        <w:rPr>
          <w:color w:val="auto"/>
          <w:spacing w:val="-3"/>
          <w:sz w:val="26"/>
          <w:szCs w:val="24"/>
        </w:rPr>
        <w:t>2111161,</w:t>
      </w:r>
      <w:proofErr w:type="gramEnd"/>
      <w:r w:rsidRPr="00927B3D">
        <w:rPr>
          <w:color w:val="auto"/>
          <w:spacing w:val="-3"/>
          <w:sz w:val="26"/>
          <w:szCs w:val="24"/>
        </w:rPr>
        <w:t xml:space="preserve"> is hereby dismissed.</w:t>
      </w:r>
    </w:p>
    <w:p w:rsidR="00927B3D" w:rsidRPr="00927B3D" w:rsidRDefault="00927B3D" w:rsidP="00927B3D">
      <w:pPr>
        <w:tabs>
          <w:tab w:val="left" w:pos="0"/>
        </w:tabs>
        <w:suppressAutoHyphens/>
        <w:autoSpaceDE w:val="0"/>
        <w:autoSpaceDN w:val="0"/>
        <w:spacing w:line="360" w:lineRule="auto"/>
        <w:rPr>
          <w:color w:val="auto"/>
          <w:spacing w:val="-3"/>
          <w:sz w:val="26"/>
          <w:szCs w:val="24"/>
        </w:rPr>
      </w:pPr>
    </w:p>
    <w:p w:rsidR="00927B3D" w:rsidRPr="00927B3D" w:rsidRDefault="00927B3D" w:rsidP="006376CE">
      <w:pPr>
        <w:tabs>
          <w:tab w:val="left" w:pos="0"/>
        </w:tabs>
        <w:suppressAutoHyphens/>
        <w:spacing w:line="360" w:lineRule="auto"/>
        <w:rPr>
          <w:color w:val="auto"/>
          <w:spacing w:val="-3"/>
          <w:sz w:val="26"/>
          <w:szCs w:val="26"/>
        </w:rPr>
      </w:pPr>
    </w:p>
    <w:p w:rsidR="006376CE" w:rsidRPr="00927B3D" w:rsidRDefault="00353A95" w:rsidP="00106280">
      <w:pPr>
        <w:keepNext/>
        <w:tabs>
          <w:tab w:val="left" w:pos="0"/>
        </w:tabs>
        <w:suppressAutoHyphens/>
        <w:spacing w:line="360" w:lineRule="auto"/>
        <w:rPr>
          <w:color w:val="auto"/>
          <w:spacing w:val="-3"/>
          <w:sz w:val="26"/>
          <w:szCs w:val="26"/>
        </w:rPr>
      </w:pPr>
      <w:r w:rsidRPr="00927B3D">
        <w:rPr>
          <w:color w:val="auto"/>
          <w:spacing w:val="-3"/>
          <w:sz w:val="26"/>
          <w:szCs w:val="26"/>
        </w:rPr>
        <w:lastRenderedPageBreak/>
        <w:tab/>
      </w:r>
      <w:r w:rsidRPr="00927B3D">
        <w:rPr>
          <w:color w:val="auto"/>
          <w:spacing w:val="-3"/>
          <w:sz w:val="26"/>
          <w:szCs w:val="26"/>
        </w:rPr>
        <w:tab/>
      </w:r>
      <w:r w:rsidR="00927B3D" w:rsidRPr="00927B3D">
        <w:rPr>
          <w:color w:val="auto"/>
          <w:spacing w:val="-3"/>
          <w:sz w:val="26"/>
          <w:szCs w:val="26"/>
        </w:rPr>
        <w:t>3.</w:t>
      </w:r>
      <w:r w:rsidR="00927B3D" w:rsidRPr="00927B3D">
        <w:rPr>
          <w:color w:val="auto"/>
          <w:spacing w:val="-3"/>
          <w:sz w:val="26"/>
          <w:szCs w:val="26"/>
        </w:rPr>
        <w:tab/>
        <w:t>That the record in this proceeding</w:t>
      </w:r>
      <w:r w:rsidR="00D6148C" w:rsidRPr="00927B3D">
        <w:rPr>
          <w:color w:val="auto"/>
          <w:spacing w:val="-3"/>
          <w:sz w:val="26"/>
          <w:szCs w:val="26"/>
        </w:rPr>
        <w:t xml:space="preserve"> be marked closed.</w:t>
      </w:r>
    </w:p>
    <w:p w:rsidR="008004C1" w:rsidRPr="00927B3D" w:rsidRDefault="008004C1" w:rsidP="00106280">
      <w:pPr>
        <w:pStyle w:val="BodyText"/>
        <w:keepNext/>
        <w:tabs>
          <w:tab w:val="clear" w:pos="-720"/>
        </w:tabs>
        <w:ind w:firstLine="720"/>
        <w:rPr>
          <w:color w:val="auto"/>
          <w:spacing w:val="-3"/>
        </w:rPr>
      </w:pPr>
    </w:p>
    <w:p w:rsidR="003F5590" w:rsidRPr="00927B3D" w:rsidRDefault="00EE30AC" w:rsidP="00106280">
      <w:pPr>
        <w:pStyle w:val="BodyText"/>
        <w:keepNext/>
        <w:keepLines/>
        <w:tabs>
          <w:tab w:val="clear" w:pos="-720"/>
        </w:tabs>
        <w:ind w:firstLine="720"/>
        <w:rPr>
          <w:color w:val="auto"/>
        </w:rPr>
      </w:pPr>
      <w:r>
        <w:rPr>
          <w:noProof/>
          <w:color w:val="auto"/>
          <w:spacing w:val="-3"/>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163830</wp:posOffset>
            </wp:positionV>
            <wp:extent cx="2200275" cy="838200"/>
            <wp:effectExtent l="1905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2183E" w:rsidRPr="00927B3D">
        <w:rPr>
          <w:color w:val="auto"/>
          <w:spacing w:val="-3"/>
        </w:rPr>
        <w:tab/>
      </w:r>
      <w:r w:rsidR="0062183E" w:rsidRPr="00927B3D">
        <w:rPr>
          <w:color w:val="auto"/>
          <w:spacing w:val="-3"/>
        </w:rPr>
        <w:tab/>
      </w:r>
      <w:r w:rsidR="0062183E" w:rsidRPr="00927B3D">
        <w:rPr>
          <w:color w:val="auto"/>
          <w:spacing w:val="-3"/>
        </w:rPr>
        <w:tab/>
      </w:r>
      <w:r w:rsidR="0062183E" w:rsidRPr="00927B3D">
        <w:rPr>
          <w:color w:val="auto"/>
          <w:spacing w:val="-3"/>
        </w:rPr>
        <w:tab/>
      </w:r>
      <w:r w:rsidR="003F5590" w:rsidRPr="00927B3D">
        <w:rPr>
          <w:color w:val="auto"/>
        </w:rPr>
        <w:tab/>
      </w:r>
      <w:r w:rsidR="00106280" w:rsidRPr="00927B3D">
        <w:rPr>
          <w:color w:val="auto"/>
        </w:rPr>
        <w:tab/>
      </w:r>
      <w:r w:rsidR="003F5590" w:rsidRPr="00927B3D">
        <w:rPr>
          <w:b/>
          <w:color w:val="auto"/>
        </w:rPr>
        <w:t>BY THE COMMISSION</w:t>
      </w:r>
      <w:r w:rsidR="003F5590" w:rsidRPr="00927B3D">
        <w:rPr>
          <w:color w:val="auto"/>
        </w:rPr>
        <w:t>,</w:t>
      </w:r>
    </w:p>
    <w:p w:rsidR="003F5590" w:rsidRPr="00927B3D" w:rsidRDefault="003F5590" w:rsidP="00106280">
      <w:pPr>
        <w:keepNext/>
        <w:keepLines/>
        <w:tabs>
          <w:tab w:val="left" w:pos="4320"/>
        </w:tabs>
        <w:spacing w:line="360" w:lineRule="auto"/>
        <w:rPr>
          <w:color w:val="auto"/>
          <w:sz w:val="26"/>
        </w:rPr>
      </w:pPr>
    </w:p>
    <w:p w:rsidR="00106280" w:rsidRPr="00927B3D" w:rsidRDefault="00106280" w:rsidP="00106280">
      <w:pPr>
        <w:keepNext/>
        <w:keepLines/>
        <w:tabs>
          <w:tab w:val="left" w:pos="4320"/>
        </w:tabs>
        <w:spacing w:line="360" w:lineRule="auto"/>
        <w:rPr>
          <w:color w:val="auto"/>
          <w:sz w:val="26"/>
        </w:rPr>
      </w:pPr>
    </w:p>
    <w:p w:rsidR="003F5590" w:rsidRPr="00927B3D" w:rsidRDefault="003F5590" w:rsidP="00106280">
      <w:pPr>
        <w:keepNext/>
        <w:keepLines/>
        <w:rPr>
          <w:color w:val="auto"/>
          <w:sz w:val="26"/>
        </w:rPr>
      </w:pPr>
      <w:r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8C4C5F" w:rsidRPr="00927B3D">
        <w:rPr>
          <w:color w:val="auto"/>
          <w:sz w:val="26"/>
        </w:rPr>
        <w:t>Rosemary Chiavetta</w:t>
      </w:r>
    </w:p>
    <w:p w:rsidR="003F5590" w:rsidRPr="00927B3D" w:rsidRDefault="003F5590" w:rsidP="00106280">
      <w:pPr>
        <w:rPr>
          <w:color w:val="auto"/>
          <w:sz w:val="26"/>
        </w:rPr>
      </w:pPr>
      <w:r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00106280" w:rsidRPr="00927B3D">
        <w:rPr>
          <w:color w:val="auto"/>
          <w:sz w:val="26"/>
        </w:rPr>
        <w:tab/>
      </w:r>
      <w:r w:rsidRPr="00927B3D">
        <w:rPr>
          <w:color w:val="auto"/>
          <w:sz w:val="26"/>
        </w:rPr>
        <w:t>Secretary</w:t>
      </w:r>
    </w:p>
    <w:p w:rsidR="006D2AF2" w:rsidRPr="00927B3D" w:rsidRDefault="006D2AF2" w:rsidP="00957290">
      <w:pPr>
        <w:tabs>
          <w:tab w:val="left" w:pos="4320"/>
        </w:tabs>
        <w:rPr>
          <w:color w:val="auto"/>
          <w:sz w:val="26"/>
        </w:rPr>
      </w:pPr>
    </w:p>
    <w:p w:rsidR="00373A10" w:rsidRPr="00927B3D" w:rsidRDefault="00373A10" w:rsidP="00957290">
      <w:pPr>
        <w:tabs>
          <w:tab w:val="left" w:pos="4320"/>
        </w:tabs>
        <w:rPr>
          <w:color w:val="auto"/>
          <w:sz w:val="26"/>
        </w:rPr>
      </w:pPr>
    </w:p>
    <w:p w:rsidR="003F5590" w:rsidRPr="00927B3D" w:rsidRDefault="003F5590" w:rsidP="00957290">
      <w:pPr>
        <w:tabs>
          <w:tab w:val="left" w:pos="4320"/>
        </w:tabs>
        <w:rPr>
          <w:color w:val="auto"/>
          <w:sz w:val="26"/>
        </w:rPr>
      </w:pPr>
      <w:r w:rsidRPr="00927B3D">
        <w:rPr>
          <w:color w:val="auto"/>
          <w:sz w:val="26"/>
        </w:rPr>
        <w:t>(SEAL)</w:t>
      </w:r>
    </w:p>
    <w:p w:rsidR="0062183E" w:rsidRPr="00927B3D" w:rsidRDefault="0062183E" w:rsidP="00957290">
      <w:pPr>
        <w:tabs>
          <w:tab w:val="left" w:pos="4320"/>
        </w:tabs>
        <w:rPr>
          <w:color w:val="auto"/>
          <w:sz w:val="26"/>
        </w:rPr>
      </w:pPr>
    </w:p>
    <w:p w:rsidR="003F5590" w:rsidRPr="00927B3D" w:rsidRDefault="003F5590" w:rsidP="00957290">
      <w:pPr>
        <w:tabs>
          <w:tab w:val="left" w:pos="4320"/>
        </w:tabs>
        <w:rPr>
          <w:color w:val="auto"/>
          <w:sz w:val="26"/>
        </w:rPr>
      </w:pPr>
      <w:r w:rsidRPr="00927B3D">
        <w:rPr>
          <w:color w:val="auto"/>
          <w:sz w:val="26"/>
        </w:rPr>
        <w:t xml:space="preserve">ORDER ADOPTED: </w:t>
      </w:r>
      <w:r w:rsidR="00EA5434" w:rsidRPr="00927B3D">
        <w:rPr>
          <w:color w:val="auto"/>
          <w:sz w:val="26"/>
        </w:rPr>
        <w:t>March 31, 2011</w:t>
      </w:r>
    </w:p>
    <w:p w:rsidR="0062183E" w:rsidRPr="00927B3D" w:rsidRDefault="0062183E" w:rsidP="00957290">
      <w:pPr>
        <w:tabs>
          <w:tab w:val="left" w:pos="4320"/>
        </w:tabs>
        <w:rPr>
          <w:color w:val="auto"/>
          <w:sz w:val="26"/>
        </w:rPr>
      </w:pPr>
    </w:p>
    <w:p w:rsidR="00957290" w:rsidRPr="00927B3D" w:rsidRDefault="003F5590" w:rsidP="004077FD">
      <w:pPr>
        <w:tabs>
          <w:tab w:val="left" w:pos="4320"/>
        </w:tabs>
        <w:rPr>
          <w:color w:val="auto"/>
          <w:sz w:val="26"/>
        </w:rPr>
      </w:pPr>
      <w:r w:rsidRPr="00927B3D">
        <w:rPr>
          <w:color w:val="auto"/>
          <w:sz w:val="26"/>
        </w:rPr>
        <w:t xml:space="preserve">ORDER ENTERED: </w:t>
      </w:r>
      <w:r w:rsidR="00EE30AC">
        <w:rPr>
          <w:color w:val="auto"/>
          <w:sz w:val="26"/>
        </w:rPr>
        <w:t>May 3, 2011</w:t>
      </w:r>
    </w:p>
    <w:sectPr w:rsidR="00957290" w:rsidRPr="00927B3D" w:rsidSect="006E7D40">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BF1" w:rsidRDefault="00573BF1">
      <w:r>
        <w:separator/>
      </w:r>
    </w:p>
  </w:endnote>
  <w:endnote w:type="continuationSeparator" w:id="0">
    <w:p w:rsidR="00573BF1" w:rsidRDefault="00573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22" w:rsidRDefault="00BB1B81">
    <w:pPr>
      <w:pStyle w:val="Footer"/>
      <w:framePr w:wrap="around" w:vAnchor="text" w:hAnchor="margin" w:xAlign="center" w:y="1"/>
      <w:rPr>
        <w:rStyle w:val="PageNumber"/>
      </w:rPr>
    </w:pPr>
    <w:r>
      <w:rPr>
        <w:rStyle w:val="PageNumber"/>
      </w:rPr>
      <w:fldChar w:fldCharType="begin"/>
    </w:r>
    <w:r w:rsidR="00890022">
      <w:rPr>
        <w:rStyle w:val="PageNumber"/>
      </w:rPr>
      <w:instrText xml:space="preserve">PAGE  </w:instrText>
    </w:r>
    <w:r>
      <w:rPr>
        <w:rStyle w:val="PageNumber"/>
      </w:rPr>
      <w:fldChar w:fldCharType="separate"/>
    </w:r>
    <w:r w:rsidR="00890022">
      <w:rPr>
        <w:rStyle w:val="PageNumber"/>
        <w:noProof/>
      </w:rPr>
      <w:t>2</w:t>
    </w:r>
    <w:r>
      <w:rPr>
        <w:rStyle w:val="PageNumber"/>
      </w:rPr>
      <w:fldChar w:fldCharType="end"/>
    </w:r>
  </w:p>
  <w:p w:rsidR="00890022" w:rsidRDefault="008900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022" w:rsidRDefault="00BB1B81">
    <w:pPr>
      <w:pStyle w:val="Footer"/>
      <w:framePr w:wrap="around" w:vAnchor="text" w:hAnchor="margin" w:xAlign="center" w:y="1"/>
      <w:rPr>
        <w:rStyle w:val="PageNumber"/>
      </w:rPr>
    </w:pPr>
    <w:r>
      <w:rPr>
        <w:rStyle w:val="PageNumber"/>
      </w:rPr>
      <w:fldChar w:fldCharType="begin"/>
    </w:r>
    <w:r w:rsidR="00890022">
      <w:rPr>
        <w:rStyle w:val="PageNumber"/>
      </w:rPr>
      <w:instrText xml:space="preserve">PAGE  </w:instrText>
    </w:r>
    <w:r>
      <w:rPr>
        <w:rStyle w:val="PageNumber"/>
      </w:rPr>
      <w:fldChar w:fldCharType="separate"/>
    </w:r>
    <w:r w:rsidR="00EE30AC">
      <w:rPr>
        <w:rStyle w:val="PageNumber"/>
        <w:noProof/>
      </w:rPr>
      <w:t>6</w:t>
    </w:r>
    <w:r>
      <w:rPr>
        <w:rStyle w:val="PageNumber"/>
      </w:rPr>
      <w:fldChar w:fldCharType="end"/>
    </w:r>
  </w:p>
  <w:p w:rsidR="00890022" w:rsidRDefault="008900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BF1" w:rsidRDefault="00573BF1">
      <w:r>
        <w:separator/>
      </w:r>
    </w:p>
  </w:footnote>
  <w:footnote w:type="continuationSeparator" w:id="0">
    <w:p w:rsidR="00573BF1" w:rsidRDefault="00573BF1">
      <w:r>
        <w:continuationSeparator/>
      </w:r>
    </w:p>
  </w:footnote>
  <w:footnote w:id="1">
    <w:p w:rsidR="00986389" w:rsidRPr="00927B3D" w:rsidRDefault="006F16FB">
      <w:pPr>
        <w:pStyle w:val="FootnoteText"/>
        <w:ind w:firstLine="720"/>
        <w:rPr>
          <w:rFonts w:ascii="Times New (W1)" w:hAnsi="Times New (W1)"/>
          <w:color w:val="auto"/>
          <w:sz w:val="26"/>
          <w:szCs w:val="26"/>
        </w:rPr>
      </w:pPr>
      <w:r w:rsidRPr="00927B3D">
        <w:rPr>
          <w:rStyle w:val="FootnoteReference"/>
          <w:rFonts w:ascii="Times New (W1)" w:hAnsi="Times New (W1)"/>
          <w:color w:val="auto"/>
          <w:sz w:val="26"/>
        </w:rPr>
        <w:footnoteRef/>
      </w:r>
      <w:r w:rsidRPr="00927B3D">
        <w:rPr>
          <w:rFonts w:ascii="Times New (W1)" w:hAnsi="Times New (W1)"/>
          <w:color w:val="auto"/>
          <w:sz w:val="26"/>
        </w:rPr>
        <w:tab/>
      </w:r>
      <w:proofErr w:type="gramStart"/>
      <w:r w:rsidRPr="00927B3D">
        <w:rPr>
          <w:rFonts w:ascii="Times New (W1)" w:hAnsi="Times New (W1)"/>
          <w:color w:val="auto"/>
          <w:sz w:val="26"/>
          <w:szCs w:val="26"/>
        </w:rPr>
        <w:t>Finding of Fact 13 and I.D. at 6.</w:t>
      </w:r>
      <w:proofErr w:type="gramEnd"/>
    </w:p>
  </w:footnote>
  <w:footnote w:id="2">
    <w:p w:rsidR="00986389" w:rsidRPr="00927B3D" w:rsidRDefault="000838A2">
      <w:pPr>
        <w:pStyle w:val="FootnoteText"/>
        <w:ind w:firstLine="720"/>
        <w:rPr>
          <w:rFonts w:ascii="Times New (W1)" w:hAnsi="Times New (W1)"/>
          <w:sz w:val="26"/>
          <w:szCs w:val="26"/>
        </w:rPr>
      </w:pPr>
      <w:r w:rsidRPr="00927B3D">
        <w:rPr>
          <w:rStyle w:val="FootnoteReference"/>
          <w:rFonts w:ascii="Times New (W1)" w:hAnsi="Times New (W1)"/>
          <w:color w:val="auto"/>
          <w:sz w:val="26"/>
        </w:rPr>
        <w:footnoteRef/>
      </w:r>
      <w:r w:rsidRPr="00927B3D">
        <w:rPr>
          <w:rFonts w:ascii="Times New (W1)" w:hAnsi="Times New (W1)"/>
          <w:color w:val="auto"/>
          <w:sz w:val="26"/>
        </w:rPr>
        <w:tab/>
      </w:r>
      <w:r w:rsidRPr="00927B3D">
        <w:rPr>
          <w:rFonts w:ascii="Times New (W1)" w:hAnsi="Times New (W1)"/>
          <w:color w:val="auto"/>
          <w:sz w:val="26"/>
          <w:szCs w:val="26"/>
        </w:rPr>
        <w:t>Tr. at 32-33.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0CD5"/>
    <w:multiLevelType w:val="hybridMultilevel"/>
    <w:tmpl w:val="41EC7BBA"/>
    <w:lvl w:ilvl="0" w:tplc="599AF49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DF282A"/>
    <w:multiLevelType w:val="hybridMultilevel"/>
    <w:tmpl w:val="E6642D3C"/>
    <w:lvl w:ilvl="0" w:tplc="6E786CF8">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62E26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9420A2"/>
    <w:multiLevelType w:val="hybridMultilevel"/>
    <w:tmpl w:val="24D2D8BA"/>
    <w:lvl w:ilvl="0" w:tplc="592C7112">
      <w:start w:val="1"/>
      <w:numFmt w:val="decimal"/>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4812149"/>
    <w:multiLevelType w:val="hybridMultilevel"/>
    <w:tmpl w:val="ADC61050"/>
    <w:lvl w:ilvl="0" w:tplc="FE3E2C3E">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F82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2D61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C8A2A66"/>
    <w:multiLevelType w:val="hybridMultilevel"/>
    <w:tmpl w:val="C6B46BC2"/>
    <w:lvl w:ilvl="0" w:tplc="1C2AC55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6"/>
  </w:num>
  <w:num w:numId="3">
    <w:abstractNumId w:val="2"/>
  </w:num>
  <w:num w:numId="4">
    <w:abstractNumId w:val="3"/>
  </w:num>
  <w:num w:numId="5">
    <w:abstractNumId w:val="7"/>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F5590"/>
    <w:rsid w:val="000038A7"/>
    <w:rsid w:val="00010F8F"/>
    <w:rsid w:val="0002065D"/>
    <w:rsid w:val="00022205"/>
    <w:rsid w:val="000222F1"/>
    <w:rsid w:val="000253B0"/>
    <w:rsid w:val="00035416"/>
    <w:rsid w:val="0004310A"/>
    <w:rsid w:val="00043775"/>
    <w:rsid w:val="00046474"/>
    <w:rsid w:val="00046933"/>
    <w:rsid w:val="00050357"/>
    <w:rsid w:val="00052237"/>
    <w:rsid w:val="000522B6"/>
    <w:rsid w:val="00056ABD"/>
    <w:rsid w:val="00060937"/>
    <w:rsid w:val="00060B8E"/>
    <w:rsid w:val="00061E43"/>
    <w:rsid w:val="00064D42"/>
    <w:rsid w:val="00067A0C"/>
    <w:rsid w:val="000838A2"/>
    <w:rsid w:val="00084A40"/>
    <w:rsid w:val="00085FCE"/>
    <w:rsid w:val="00086F3A"/>
    <w:rsid w:val="000908D9"/>
    <w:rsid w:val="00092219"/>
    <w:rsid w:val="000A439D"/>
    <w:rsid w:val="000B103E"/>
    <w:rsid w:val="000B4EB0"/>
    <w:rsid w:val="000C319C"/>
    <w:rsid w:val="000C5050"/>
    <w:rsid w:val="000D58DD"/>
    <w:rsid w:val="000D6189"/>
    <w:rsid w:val="000E23D3"/>
    <w:rsid w:val="000E33B3"/>
    <w:rsid w:val="000E448B"/>
    <w:rsid w:val="000E5EC7"/>
    <w:rsid w:val="000E7E46"/>
    <w:rsid w:val="000F78F9"/>
    <w:rsid w:val="00104851"/>
    <w:rsid w:val="00106280"/>
    <w:rsid w:val="00110647"/>
    <w:rsid w:val="0011321B"/>
    <w:rsid w:val="00114B17"/>
    <w:rsid w:val="0011503D"/>
    <w:rsid w:val="00116B20"/>
    <w:rsid w:val="00126825"/>
    <w:rsid w:val="001323FF"/>
    <w:rsid w:val="00135252"/>
    <w:rsid w:val="00135581"/>
    <w:rsid w:val="00142EC4"/>
    <w:rsid w:val="0014634E"/>
    <w:rsid w:val="00164FE8"/>
    <w:rsid w:val="00166B41"/>
    <w:rsid w:val="0017134F"/>
    <w:rsid w:val="00171713"/>
    <w:rsid w:val="00184B1C"/>
    <w:rsid w:val="00191355"/>
    <w:rsid w:val="00193DEB"/>
    <w:rsid w:val="00194DA5"/>
    <w:rsid w:val="00195E15"/>
    <w:rsid w:val="00196545"/>
    <w:rsid w:val="00196719"/>
    <w:rsid w:val="0019789A"/>
    <w:rsid w:val="001A147A"/>
    <w:rsid w:val="001A2F1B"/>
    <w:rsid w:val="001A76ED"/>
    <w:rsid w:val="001B33C9"/>
    <w:rsid w:val="001B3B6B"/>
    <w:rsid w:val="001C1724"/>
    <w:rsid w:val="001C2B22"/>
    <w:rsid w:val="001D3227"/>
    <w:rsid w:val="001D4A58"/>
    <w:rsid w:val="001D7012"/>
    <w:rsid w:val="001E281D"/>
    <w:rsid w:val="001E351C"/>
    <w:rsid w:val="001E7C3D"/>
    <w:rsid w:val="001F5BBF"/>
    <w:rsid w:val="001F6248"/>
    <w:rsid w:val="001F748B"/>
    <w:rsid w:val="001F748D"/>
    <w:rsid w:val="00202B16"/>
    <w:rsid w:val="002039E4"/>
    <w:rsid w:val="0020563D"/>
    <w:rsid w:val="00211E65"/>
    <w:rsid w:val="002148B6"/>
    <w:rsid w:val="00215DE4"/>
    <w:rsid w:val="002262D7"/>
    <w:rsid w:val="00227063"/>
    <w:rsid w:val="00230ACF"/>
    <w:rsid w:val="002322E0"/>
    <w:rsid w:val="00236063"/>
    <w:rsid w:val="00240FE6"/>
    <w:rsid w:val="00241BA4"/>
    <w:rsid w:val="00241DD2"/>
    <w:rsid w:val="00245BBE"/>
    <w:rsid w:val="00264779"/>
    <w:rsid w:val="00266C66"/>
    <w:rsid w:val="002676F9"/>
    <w:rsid w:val="00271774"/>
    <w:rsid w:val="00273271"/>
    <w:rsid w:val="00275865"/>
    <w:rsid w:val="0028276A"/>
    <w:rsid w:val="00285C9E"/>
    <w:rsid w:val="00293299"/>
    <w:rsid w:val="00295FD1"/>
    <w:rsid w:val="002A43A3"/>
    <w:rsid w:val="002A4717"/>
    <w:rsid w:val="002A514F"/>
    <w:rsid w:val="002A5A75"/>
    <w:rsid w:val="002A7ECB"/>
    <w:rsid w:val="002B37FD"/>
    <w:rsid w:val="002B5E0A"/>
    <w:rsid w:val="002B66D7"/>
    <w:rsid w:val="002C3F1A"/>
    <w:rsid w:val="002D2E78"/>
    <w:rsid w:val="002D3CB5"/>
    <w:rsid w:val="002D57AD"/>
    <w:rsid w:val="002D79DE"/>
    <w:rsid w:val="002E017D"/>
    <w:rsid w:val="002E175F"/>
    <w:rsid w:val="002E37D3"/>
    <w:rsid w:val="002E57F2"/>
    <w:rsid w:val="002E7E66"/>
    <w:rsid w:val="002F1487"/>
    <w:rsid w:val="00300197"/>
    <w:rsid w:val="0030359D"/>
    <w:rsid w:val="003100FE"/>
    <w:rsid w:val="003166DC"/>
    <w:rsid w:val="00316BD1"/>
    <w:rsid w:val="00323348"/>
    <w:rsid w:val="00324864"/>
    <w:rsid w:val="00326436"/>
    <w:rsid w:val="00330893"/>
    <w:rsid w:val="00330E54"/>
    <w:rsid w:val="00335537"/>
    <w:rsid w:val="00345319"/>
    <w:rsid w:val="003461A1"/>
    <w:rsid w:val="003473A3"/>
    <w:rsid w:val="00353A95"/>
    <w:rsid w:val="003551A3"/>
    <w:rsid w:val="00355722"/>
    <w:rsid w:val="0036044C"/>
    <w:rsid w:val="0036166F"/>
    <w:rsid w:val="00373A10"/>
    <w:rsid w:val="00377965"/>
    <w:rsid w:val="00377FB9"/>
    <w:rsid w:val="00383A38"/>
    <w:rsid w:val="00383B55"/>
    <w:rsid w:val="003860B4"/>
    <w:rsid w:val="003935FB"/>
    <w:rsid w:val="00394DC9"/>
    <w:rsid w:val="00395FE0"/>
    <w:rsid w:val="003979D8"/>
    <w:rsid w:val="003A11C0"/>
    <w:rsid w:val="003A1D87"/>
    <w:rsid w:val="003A3A5D"/>
    <w:rsid w:val="003A5343"/>
    <w:rsid w:val="003A581C"/>
    <w:rsid w:val="003A59C6"/>
    <w:rsid w:val="003A6EC2"/>
    <w:rsid w:val="003B091D"/>
    <w:rsid w:val="003B247B"/>
    <w:rsid w:val="003C01E8"/>
    <w:rsid w:val="003C25A3"/>
    <w:rsid w:val="003C25B6"/>
    <w:rsid w:val="003C48C6"/>
    <w:rsid w:val="003C5D95"/>
    <w:rsid w:val="003C66A1"/>
    <w:rsid w:val="003C7FAB"/>
    <w:rsid w:val="003D2B37"/>
    <w:rsid w:val="003D6512"/>
    <w:rsid w:val="003D66FB"/>
    <w:rsid w:val="003E297C"/>
    <w:rsid w:val="003E35A3"/>
    <w:rsid w:val="003E551B"/>
    <w:rsid w:val="003F51EC"/>
    <w:rsid w:val="003F5590"/>
    <w:rsid w:val="003F6218"/>
    <w:rsid w:val="003F7BBF"/>
    <w:rsid w:val="004077FD"/>
    <w:rsid w:val="00410554"/>
    <w:rsid w:val="00410B64"/>
    <w:rsid w:val="00411836"/>
    <w:rsid w:val="00412431"/>
    <w:rsid w:val="004160DA"/>
    <w:rsid w:val="0041681A"/>
    <w:rsid w:val="004175FE"/>
    <w:rsid w:val="00417895"/>
    <w:rsid w:val="00424EB4"/>
    <w:rsid w:val="00430D71"/>
    <w:rsid w:val="00432451"/>
    <w:rsid w:val="0044124A"/>
    <w:rsid w:val="0044654B"/>
    <w:rsid w:val="00450965"/>
    <w:rsid w:val="004552B6"/>
    <w:rsid w:val="004579D6"/>
    <w:rsid w:val="0046001B"/>
    <w:rsid w:val="0047712D"/>
    <w:rsid w:val="0048262C"/>
    <w:rsid w:val="004827E7"/>
    <w:rsid w:val="004828AD"/>
    <w:rsid w:val="004857F2"/>
    <w:rsid w:val="00487F6F"/>
    <w:rsid w:val="0049159A"/>
    <w:rsid w:val="00495D2B"/>
    <w:rsid w:val="004A10CB"/>
    <w:rsid w:val="004A2838"/>
    <w:rsid w:val="004A3024"/>
    <w:rsid w:val="004A3038"/>
    <w:rsid w:val="004B3F0D"/>
    <w:rsid w:val="004B4529"/>
    <w:rsid w:val="004B5872"/>
    <w:rsid w:val="004B6758"/>
    <w:rsid w:val="004B6FB5"/>
    <w:rsid w:val="004C6922"/>
    <w:rsid w:val="004C7DD7"/>
    <w:rsid w:val="004D7CF0"/>
    <w:rsid w:val="004E0FB5"/>
    <w:rsid w:val="004E1343"/>
    <w:rsid w:val="004E7038"/>
    <w:rsid w:val="004E736A"/>
    <w:rsid w:val="004E7CAB"/>
    <w:rsid w:val="004F01DB"/>
    <w:rsid w:val="004F1A7F"/>
    <w:rsid w:val="004F22D4"/>
    <w:rsid w:val="004F731F"/>
    <w:rsid w:val="005009EF"/>
    <w:rsid w:val="00501609"/>
    <w:rsid w:val="00503B9A"/>
    <w:rsid w:val="00504085"/>
    <w:rsid w:val="00510252"/>
    <w:rsid w:val="0051099A"/>
    <w:rsid w:val="005141FE"/>
    <w:rsid w:val="00521064"/>
    <w:rsid w:val="005222A6"/>
    <w:rsid w:val="00525A31"/>
    <w:rsid w:val="005278D7"/>
    <w:rsid w:val="0053284F"/>
    <w:rsid w:val="00540C56"/>
    <w:rsid w:val="00544E3F"/>
    <w:rsid w:val="0055031E"/>
    <w:rsid w:val="00550D21"/>
    <w:rsid w:val="00551506"/>
    <w:rsid w:val="005531F2"/>
    <w:rsid w:val="00553B02"/>
    <w:rsid w:val="0055754D"/>
    <w:rsid w:val="005666FA"/>
    <w:rsid w:val="00570E3A"/>
    <w:rsid w:val="00573BF1"/>
    <w:rsid w:val="00574C64"/>
    <w:rsid w:val="00575AD1"/>
    <w:rsid w:val="0058219D"/>
    <w:rsid w:val="00582867"/>
    <w:rsid w:val="00582B38"/>
    <w:rsid w:val="00583DCA"/>
    <w:rsid w:val="00586DFF"/>
    <w:rsid w:val="00587FD0"/>
    <w:rsid w:val="005944DE"/>
    <w:rsid w:val="00596C9E"/>
    <w:rsid w:val="005A0945"/>
    <w:rsid w:val="005A42AD"/>
    <w:rsid w:val="005B58D9"/>
    <w:rsid w:val="005B7EAD"/>
    <w:rsid w:val="005B7F61"/>
    <w:rsid w:val="005C211A"/>
    <w:rsid w:val="005C5108"/>
    <w:rsid w:val="005C7A41"/>
    <w:rsid w:val="005C7D65"/>
    <w:rsid w:val="005D01AC"/>
    <w:rsid w:val="005D1E08"/>
    <w:rsid w:val="005E2B12"/>
    <w:rsid w:val="005E53E0"/>
    <w:rsid w:val="005E666A"/>
    <w:rsid w:val="005E7B84"/>
    <w:rsid w:val="005F188A"/>
    <w:rsid w:val="005F3632"/>
    <w:rsid w:val="005F61C5"/>
    <w:rsid w:val="005F7779"/>
    <w:rsid w:val="00603E96"/>
    <w:rsid w:val="00605CEF"/>
    <w:rsid w:val="0061119D"/>
    <w:rsid w:val="006147DF"/>
    <w:rsid w:val="00614B23"/>
    <w:rsid w:val="0062183E"/>
    <w:rsid w:val="00622397"/>
    <w:rsid w:val="006278A6"/>
    <w:rsid w:val="00627AFD"/>
    <w:rsid w:val="00632D44"/>
    <w:rsid w:val="006356BE"/>
    <w:rsid w:val="006376CE"/>
    <w:rsid w:val="006405F9"/>
    <w:rsid w:val="0064369A"/>
    <w:rsid w:val="006437AC"/>
    <w:rsid w:val="0065568F"/>
    <w:rsid w:val="00655754"/>
    <w:rsid w:val="0065576C"/>
    <w:rsid w:val="00657512"/>
    <w:rsid w:val="006601FF"/>
    <w:rsid w:val="006659F9"/>
    <w:rsid w:val="006668FB"/>
    <w:rsid w:val="006708A7"/>
    <w:rsid w:val="006777B8"/>
    <w:rsid w:val="0068198A"/>
    <w:rsid w:val="00683086"/>
    <w:rsid w:val="0068395F"/>
    <w:rsid w:val="0068661E"/>
    <w:rsid w:val="006928A3"/>
    <w:rsid w:val="00694434"/>
    <w:rsid w:val="006A0A03"/>
    <w:rsid w:val="006A130F"/>
    <w:rsid w:val="006A1BC1"/>
    <w:rsid w:val="006A3B5B"/>
    <w:rsid w:val="006A6A9E"/>
    <w:rsid w:val="006A744E"/>
    <w:rsid w:val="006B2066"/>
    <w:rsid w:val="006B29C6"/>
    <w:rsid w:val="006B3346"/>
    <w:rsid w:val="006B33A0"/>
    <w:rsid w:val="006B35AC"/>
    <w:rsid w:val="006C1D70"/>
    <w:rsid w:val="006C4576"/>
    <w:rsid w:val="006C4D0A"/>
    <w:rsid w:val="006C5796"/>
    <w:rsid w:val="006D05DC"/>
    <w:rsid w:val="006D2AF2"/>
    <w:rsid w:val="006D3AD2"/>
    <w:rsid w:val="006E2C41"/>
    <w:rsid w:val="006E3AC7"/>
    <w:rsid w:val="006E6109"/>
    <w:rsid w:val="006E7D40"/>
    <w:rsid w:val="006F16FB"/>
    <w:rsid w:val="006F2769"/>
    <w:rsid w:val="006F624B"/>
    <w:rsid w:val="007008B5"/>
    <w:rsid w:val="00700C5E"/>
    <w:rsid w:val="00700F19"/>
    <w:rsid w:val="0070239F"/>
    <w:rsid w:val="00707818"/>
    <w:rsid w:val="00707A20"/>
    <w:rsid w:val="007147F2"/>
    <w:rsid w:val="0071530E"/>
    <w:rsid w:val="00720DF1"/>
    <w:rsid w:val="00724296"/>
    <w:rsid w:val="00724BA4"/>
    <w:rsid w:val="00725FAB"/>
    <w:rsid w:val="00726066"/>
    <w:rsid w:val="0073217A"/>
    <w:rsid w:val="00734CDD"/>
    <w:rsid w:val="00734FE1"/>
    <w:rsid w:val="00735042"/>
    <w:rsid w:val="00736C35"/>
    <w:rsid w:val="00736FD8"/>
    <w:rsid w:val="00737D45"/>
    <w:rsid w:val="007406ED"/>
    <w:rsid w:val="0074693C"/>
    <w:rsid w:val="00762C46"/>
    <w:rsid w:val="00771D3F"/>
    <w:rsid w:val="007729DC"/>
    <w:rsid w:val="00772F81"/>
    <w:rsid w:val="007766CC"/>
    <w:rsid w:val="00777A64"/>
    <w:rsid w:val="00780E0B"/>
    <w:rsid w:val="00786687"/>
    <w:rsid w:val="00795599"/>
    <w:rsid w:val="007B4044"/>
    <w:rsid w:val="007C37D2"/>
    <w:rsid w:val="007C7201"/>
    <w:rsid w:val="007C7804"/>
    <w:rsid w:val="007D2718"/>
    <w:rsid w:val="007D289E"/>
    <w:rsid w:val="007D77D4"/>
    <w:rsid w:val="007E1742"/>
    <w:rsid w:val="007E6692"/>
    <w:rsid w:val="007F2645"/>
    <w:rsid w:val="007F2693"/>
    <w:rsid w:val="007F482C"/>
    <w:rsid w:val="007F72F5"/>
    <w:rsid w:val="008004C1"/>
    <w:rsid w:val="0080298F"/>
    <w:rsid w:val="0080342A"/>
    <w:rsid w:val="008036DF"/>
    <w:rsid w:val="00803C54"/>
    <w:rsid w:val="00804334"/>
    <w:rsid w:val="0080527A"/>
    <w:rsid w:val="008055D0"/>
    <w:rsid w:val="00811AC3"/>
    <w:rsid w:val="0081328B"/>
    <w:rsid w:val="00822719"/>
    <w:rsid w:val="00824C45"/>
    <w:rsid w:val="00825B4C"/>
    <w:rsid w:val="00826BFF"/>
    <w:rsid w:val="00827FD4"/>
    <w:rsid w:val="00834ABC"/>
    <w:rsid w:val="00837A04"/>
    <w:rsid w:val="0084208D"/>
    <w:rsid w:val="00842856"/>
    <w:rsid w:val="008430A3"/>
    <w:rsid w:val="00847C01"/>
    <w:rsid w:val="00854DA6"/>
    <w:rsid w:val="00855AE2"/>
    <w:rsid w:val="00857303"/>
    <w:rsid w:val="00874196"/>
    <w:rsid w:val="00875F1D"/>
    <w:rsid w:val="008813A5"/>
    <w:rsid w:val="00884B08"/>
    <w:rsid w:val="00890022"/>
    <w:rsid w:val="0089126C"/>
    <w:rsid w:val="0089377B"/>
    <w:rsid w:val="00895D09"/>
    <w:rsid w:val="008A1195"/>
    <w:rsid w:val="008B3FB3"/>
    <w:rsid w:val="008B408B"/>
    <w:rsid w:val="008B4727"/>
    <w:rsid w:val="008C0E25"/>
    <w:rsid w:val="008C4C5F"/>
    <w:rsid w:val="008D5BEE"/>
    <w:rsid w:val="008E20E1"/>
    <w:rsid w:val="008E2AF5"/>
    <w:rsid w:val="008E4F15"/>
    <w:rsid w:val="008E5A61"/>
    <w:rsid w:val="008F1B12"/>
    <w:rsid w:val="008F3E85"/>
    <w:rsid w:val="00902902"/>
    <w:rsid w:val="009054D9"/>
    <w:rsid w:val="00905805"/>
    <w:rsid w:val="0091026D"/>
    <w:rsid w:val="009113ED"/>
    <w:rsid w:val="00915062"/>
    <w:rsid w:val="009158C5"/>
    <w:rsid w:val="00927B3D"/>
    <w:rsid w:val="00930E3E"/>
    <w:rsid w:val="00930E4B"/>
    <w:rsid w:val="00932BE8"/>
    <w:rsid w:val="00934E81"/>
    <w:rsid w:val="00940DB2"/>
    <w:rsid w:val="00940E9C"/>
    <w:rsid w:val="00946552"/>
    <w:rsid w:val="00947376"/>
    <w:rsid w:val="00952CA1"/>
    <w:rsid w:val="0095399E"/>
    <w:rsid w:val="0095466D"/>
    <w:rsid w:val="00954A75"/>
    <w:rsid w:val="00957202"/>
    <w:rsid w:val="00957290"/>
    <w:rsid w:val="009648B8"/>
    <w:rsid w:val="009660D7"/>
    <w:rsid w:val="0096662A"/>
    <w:rsid w:val="009716B5"/>
    <w:rsid w:val="00971E98"/>
    <w:rsid w:val="0098147C"/>
    <w:rsid w:val="00982711"/>
    <w:rsid w:val="00983295"/>
    <w:rsid w:val="009856D6"/>
    <w:rsid w:val="00986389"/>
    <w:rsid w:val="00987F02"/>
    <w:rsid w:val="009915A1"/>
    <w:rsid w:val="00991F05"/>
    <w:rsid w:val="00991FBD"/>
    <w:rsid w:val="0099208B"/>
    <w:rsid w:val="009A6917"/>
    <w:rsid w:val="009A6DC5"/>
    <w:rsid w:val="009A786A"/>
    <w:rsid w:val="009A78BF"/>
    <w:rsid w:val="009B0A4D"/>
    <w:rsid w:val="009B1131"/>
    <w:rsid w:val="009B2399"/>
    <w:rsid w:val="009B2A92"/>
    <w:rsid w:val="009B5C6E"/>
    <w:rsid w:val="009C2C50"/>
    <w:rsid w:val="009C47E0"/>
    <w:rsid w:val="009C5C0C"/>
    <w:rsid w:val="009D1704"/>
    <w:rsid w:val="009D5FFA"/>
    <w:rsid w:val="009E3A7D"/>
    <w:rsid w:val="009E48DD"/>
    <w:rsid w:val="009F1ECA"/>
    <w:rsid w:val="009F714C"/>
    <w:rsid w:val="00A01E3C"/>
    <w:rsid w:val="00A058B2"/>
    <w:rsid w:val="00A10FE0"/>
    <w:rsid w:val="00A1262D"/>
    <w:rsid w:val="00A16ABE"/>
    <w:rsid w:val="00A21213"/>
    <w:rsid w:val="00A2487E"/>
    <w:rsid w:val="00A3137A"/>
    <w:rsid w:val="00A313C5"/>
    <w:rsid w:val="00A31539"/>
    <w:rsid w:val="00A32695"/>
    <w:rsid w:val="00A35D44"/>
    <w:rsid w:val="00A41B3F"/>
    <w:rsid w:val="00A4253B"/>
    <w:rsid w:val="00A52288"/>
    <w:rsid w:val="00A55836"/>
    <w:rsid w:val="00A64E34"/>
    <w:rsid w:val="00A733B3"/>
    <w:rsid w:val="00A7344D"/>
    <w:rsid w:val="00A751F2"/>
    <w:rsid w:val="00A76B98"/>
    <w:rsid w:val="00A81ADD"/>
    <w:rsid w:val="00A8428E"/>
    <w:rsid w:val="00A84D2E"/>
    <w:rsid w:val="00A96167"/>
    <w:rsid w:val="00AB3B08"/>
    <w:rsid w:val="00AB5F17"/>
    <w:rsid w:val="00AC15A5"/>
    <w:rsid w:val="00AC3376"/>
    <w:rsid w:val="00AC3A60"/>
    <w:rsid w:val="00AC515E"/>
    <w:rsid w:val="00AC7BAA"/>
    <w:rsid w:val="00AD0A5F"/>
    <w:rsid w:val="00AD5EE1"/>
    <w:rsid w:val="00AD667B"/>
    <w:rsid w:val="00AE10C1"/>
    <w:rsid w:val="00AE2452"/>
    <w:rsid w:val="00AE2E43"/>
    <w:rsid w:val="00AF53B3"/>
    <w:rsid w:val="00B0122A"/>
    <w:rsid w:val="00B023F2"/>
    <w:rsid w:val="00B04202"/>
    <w:rsid w:val="00B1579F"/>
    <w:rsid w:val="00B203C7"/>
    <w:rsid w:val="00B2528F"/>
    <w:rsid w:val="00B31627"/>
    <w:rsid w:val="00B32770"/>
    <w:rsid w:val="00B506A1"/>
    <w:rsid w:val="00B5174E"/>
    <w:rsid w:val="00B52C86"/>
    <w:rsid w:val="00B52FCD"/>
    <w:rsid w:val="00B60275"/>
    <w:rsid w:val="00B606DC"/>
    <w:rsid w:val="00B6268E"/>
    <w:rsid w:val="00B632A4"/>
    <w:rsid w:val="00B63AAB"/>
    <w:rsid w:val="00B67577"/>
    <w:rsid w:val="00B70062"/>
    <w:rsid w:val="00B74284"/>
    <w:rsid w:val="00B807F9"/>
    <w:rsid w:val="00B81210"/>
    <w:rsid w:val="00B84EEE"/>
    <w:rsid w:val="00B87E1F"/>
    <w:rsid w:val="00B958B8"/>
    <w:rsid w:val="00B97D23"/>
    <w:rsid w:val="00BA02C8"/>
    <w:rsid w:val="00BA0527"/>
    <w:rsid w:val="00BA1D63"/>
    <w:rsid w:val="00BB093D"/>
    <w:rsid w:val="00BB153D"/>
    <w:rsid w:val="00BB1B81"/>
    <w:rsid w:val="00BB40F9"/>
    <w:rsid w:val="00BB6A40"/>
    <w:rsid w:val="00BB6B86"/>
    <w:rsid w:val="00BC4319"/>
    <w:rsid w:val="00BC5FBC"/>
    <w:rsid w:val="00BD0AE0"/>
    <w:rsid w:val="00BE33FA"/>
    <w:rsid w:val="00BE4B81"/>
    <w:rsid w:val="00BE55A2"/>
    <w:rsid w:val="00BE61C3"/>
    <w:rsid w:val="00BF327D"/>
    <w:rsid w:val="00BF472C"/>
    <w:rsid w:val="00BF4CF3"/>
    <w:rsid w:val="00C02AF6"/>
    <w:rsid w:val="00C02EE9"/>
    <w:rsid w:val="00C10463"/>
    <w:rsid w:val="00C10B25"/>
    <w:rsid w:val="00C12F85"/>
    <w:rsid w:val="00C1638F"/>
    <w:rsid w:val="00C1644F"/>
    <w:rsid w:val="00C211A0"/>
    <w:rsid w:val="00C2392F"/>
    <w:rsid w:val="00C24CF8"/>
    <w:rsid w:val="00C2667A"/>
    <w:rsid w:val="00C3054A"/>
    <w:rsid w:val="00C3085D"/>
    <w:rsid w:val="00C31C35"/>
    <w:rsid w:val="00C32DEA"/>
    <w:rsid w:val="00C32E50"/>
    <w:rsid w:val="00C3328D"/>
    <w:rsid w:val="00C34AE5"/>
    <w:rsid w:val="00C41732"/>
    <w:rsid w:val="00C44433"/>
    <w:rsid w:val="00C465B8"/>
    <w:rsid w:val="00C537D2"/>
    <w:rsid w:val="00C5461F"/>
    <w:rsid w:val="00C5530E"/>
    <w:rsid w:val="00C726E3"/>
    <w:rsid w:val="00C747AB"/>
    <w:rsid w:val="00C90D01"/>
    <w:rsid w:val="00C959F4"/>
    <w:rsid w:val="00CA1876"/>
    <w:rsid w:val="00CA2428"/>
    <w:rsid w:val="00CA40BF"/>
    <w:rsid w:val="00CA5EB8"/>
    <w:rsid w:val="00CB08F2"/>
    <w:rsid w:val="00CB29AF"/>
    <w:rsid w:val="00CB2E46"/>
    <w:rsid w:val="00CB42F3"/>
    <w:rsid w:val="00CC26BA"/>
    <w:rsid w:val="00CC6DA4"/>
    <w:rsid w:val="00CD3660"/>
    <w:rsid w:val="00CD4F92"/>
    <w:rsid w:val="00CD50EB"/>
    <w:rsid w:val="00CD72BE"/>
    <w:rsid w:val="00CE0D3F"/>
    <w:rsid w:val="00CE45AA"/>
    <w:rsid w:val="00CE4683"/>
    <w:rsid w:val="00CE4747"/>
    <w:rsid w:val="00CF5563"/>
    <w:rsid w:val="00CF61A8"/>
    <w:rsid w:val="00CF6755"/>
    <w:rsid w:val="00CF7B07"/>
    <w:rsid w:val="00D00CC3"/>
    <w:rsid w:val="00D015DE"/>
    <w:rsid w:val="00D022C9"/>
    <w:rsid w:val="00D02A3E"/>
    <w:rsid w:val="00D109CA"/>
    <w:rsid w:val="00D1230A"/>
    <w:rsid w:val="00D1255C"/>
    <w:rsid w:val="00D149A0"/>
    <w:rsid w:val="00D156CF"/>
    <w:rsid w:val="00D17FBD"/>
    <w:rsid w:val="00D2336B"/>
    <w:rsid w:val="00D24577"/>
    <w:rsid w:val="00D25275"/>
    <w:rsid w:val="00D30112"/>
    <w:rsid w:val="00D30A7B"/>
    <w:rsid w:val="00D31B95"/>
    <w:rsid w:val="00D3405B"/>
    <w:rsid w:val="00D34B7E"/>
    <w:rsid w:val="00D35C04"/>
    <w:rsid w:val="00D40735"/>
    <w:rsid w:val="00D42F15"/>
    <w:rsid w:val="00D53FD4"/>
    <w:rsid w:val="00D541BB"/>
    <w:rsid w:val="00D57172"/>
    <w:rsid w:val="00D60C03"/>
    <w:rsid w:val="00D6148C"/>
    <w:rsid w:val="00D639CD"/>
    <w:rsid w:val="00D6723A"/>
    <w:rsid w:val="00D725BF"/>
    <w:rsid w:val="00D73C95"/>
    <w:rsid w:val="00D7495A"/>
    <w:rsid w:val="00D822DA"/>
    <w:rsid w:val="00D82BFF"/>
    <w:rsid w:val="00D84E5D"/>
    <w:rsid w:val="00D873B0"/>
    <w:rsid w:val="00D9328A"/>
    <w:rsid w:val="00D932A8"/>
    <w:rsid w:val="00D93598"/>
    <w:rsid w:val="00D96C00"/>
    <w:rsid w:val="00DA62AF"/>
    <w:rsid w:val="00DB007E"/>
    <w:rsid w:val="00DB2B8A"/>
    <w:rsid w:val="00DB3547"/>
    <w:rsid w:val="00DB5DEF"/>
    <w:rsid w:val="00DC0B5A"/>
    <w:rsid w:val="00DC2265"/>
    <w:rsid w:val="00DC6F18"/>
    <w:rsid w:val="00DC74BB"/>
    <w:rsid w:val="00DD1B25"/>
    <w:rsid w:val="00DD3750"/>
    <w:rsid w:val="00DE0BAF"/>
    <w:rsid w:val="00DE41E7"/>
    <w:rsid w:val="00DE4B58"/>
    <w:rsid w:val="00DE6A72"/>
    <w:rsid w:val="00DF10E6"/>
    <w:rsid w:val="00E00785"/>
    <w:rsid w:val="00E007BA"/>
    <w:rsid w:val="00E00B0E"/>
    <w:rsid w:val="00E0211C"/>
    <w:rsid w:val="00E03331"/>
    <w:rsid w:val="00E16D3E"/>
    <w:rsid w:val="00E17023"/>
    <w:rsid w:val="00E2037D"/>
    <w:rsid w:val="00E25997"/>
    <w:rsid w:val="00E32269"/>
    <w:rsid w:val="00E36C42"/>
    <w:rsid w:val="00E40DE6"/>
    <w:rsid w:val="00E41AD6"/>
    <w:rsid w:val="00E463E8"/>
    <w:rsid w:val="00E5241E"/>
    <w:rsid w:val="00E53AAD"/>
    <w:rsid w:val="00E56A2E"/>
    <w:rsid w:val="00E62FEB"/>
    <w:rsid w:val="00E67D18"/>
    <w:rsid w:val="00E800D2"/>
    <w:rsid w:val="00E82ED6"/>
    <w:rsid w:val="00E91502"/>
    <w:rsid w:val="00E94970"/>
    <w:rsid w:val="00E961AF"/>
    <w:rsid w:val="00E97EE0"/>
    <w:rsid w:val="00EA4CBF"/>
    <w:rsid w:val="00EA5434"/>
    <w:rsid w:val="00EA764F"/>
    <w:rsid w:val="00EB1761"/>
    <w:rsid w:val="00EC2072"/>
    <w:rsid w:val="00EC4E16"/>
    <w:rsid w:val="00ED2C57"/>
    <w:rsid w:val="00ED42CF"/>
    <w:rsid w:val="00EE18FD"/>
    <w:rsid w:val="00EE2E9E"/>
    <w:rsid w:val="00EE30AC"/>
    <w:rsid w:val="00EE6181"/>
    <w:rsid w:val="00EE7766"/>
    <w:rsid w:val="00EF1545"/>
    <w:rsid w:val="00F0487F"/>
    <w:rsid w:val="00F135FD"/>
    <w:rsid w:val="00F1436F"/>
    <w:rsid w:val="00F1476D"/>
    <w:rsid w:val="00F15A7C"/>
    <w:rsid w:val="00F15CDB"/>
    <w:rsid w:val="00F20BE8"/>
    <w:rsid w:val="00F2562E"/>
    <w:rsid w:val="00F27DA7"/>
    <w:rsid w:val="00F3589C"/>
    <w:rsid w:val="00F35CC6"/>
    <w:rsid w:val="00F4468E"/>
    <w:rsid w:val="00F44C09"/>
    <w:rsid w:val="00F50DC4"/>
    <w:rsid w:val="00F50E0E"/>
    <w:rsid w:val="00F52458"/>
    <w:rsid w:val="00F5247A"/>
    <w:rsid w:val="00F53DE7"/>
    <w:rsid w:val="00F5509E"/>
    <w:rsid w:val="00F55688"/>
    <w:rsid w:val="00F64BA0"/>
    <w:rsid w:val="00F65428"/>
    <w:rsid w:val="00F71E0D"/>
    <w:rsid w:val="00F71F0F"/>
    <w:rsid w:val="00F74ED0"/>
    <w:rsid w:val="00F7752F"/>
    <w:rsid w:val="00F813B6"/>
    <w:rsid w:val="00F82E16"/>
    <w:rsid w:val="00F83AAA"/>
    <w:rsid w:val="00F85BFE"/>
    <w:rsid w:val="00F85D96"/>
    <w:rsid w:val="00F91BAA"/>
    <w:rsid w:val="00F95F5C"/>
    <w:rsid w:val="00FA1ADB"/>
    <w:rsid w:val="00FA256F"/>
    <w:rsid w:val="00FA39BA"/>
    <w:rsid w:val="00FA5DD5"/>
    <w:rsid w:val="00FB0A20"/>
    <w:rsid w:val="00FB2191"/>
    <w:rsid w:val="00FB4D19"/>
    <w:rsid w:val="00FB4FB2"/>
    <w:rsid w:val="00FC1930"/>
    <w:rsid w:val="00FC3D4B"/>
    <w:rsid w:val="00FC5554"/>
    <w:rsid w:val="00FC6530"/>
    <w:rsid w:val="00FD18E0"/>
    <w:rsid w:val="00FD1CE0"/>
    <w:rsid w:val="00FD731D"/>
    <w:rsid w:val="00FE1628"/>
    <w:rsid w:val="00FE202C"/>
    <w:rsid w:val="00FE2671"/>
    <w:rsid w:val="00FE5948"/>
    <w:rsid w:val="00FE671E"/>
    <w:rsid w:val="00FE7AA4"/>
    <w:rsid w:val="00FF0ADB"/>
    <w:rsid w:val="00FF1711"/>
    <w:rsid w:val="00FF1922"/>
    <w:rsid w:val="00FF1B67"/>
    <w:rsid w:val="00FF4FC3"/>
    <w:rsid w:val="00FF7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0FE"/>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0FE"/>
    <w:pPr>
      <w:tabs>
        <w:tab w:val="center" w:pos="4320"/>
        <w:tab w:val="right" w:pos="8640"/>
      </w:tabs>
    </w:pPr>
  </w:style>
  <w:style w:type="paragraph" w:styleId="Footer">
    <w:name w:val="footer"/>
    <w:basedOn w:val="Normal"/>
    <w:rsid w:val="003100FE"/>
    <w:pPr>
      <w:tabs>
        <w:tab w:val="center" w:pos="4320"/>
        <w:tab w:val="right" w:pos="8640"/>
      </w:tabs>
    </w:pPr>
  </w:style>
  <w:style w:type="character" w:styleId="PageNumber">
    <w:name w:val="page number"/>
    <w:basedOn w:val="DefaultParagraphFont"/>
    <w:rsid w:val="003100FE"/>
  </w:style>
  <w:style w:type="paragraph" w:styleId="BlockText">
    <w:name w:val="Block Text"/>
    <w:basedOn w:val="Normal"/>
    <w:rsid w:val="003100FE"/>
    <w:pPr>
      <w:ind w:left="1440" w:right="720"/>
    </w:pPr>
    <w:rPr>
      <w:sz w:val="26"/>
    </w:rPr>
  </w:style>
  <w:style w:type="paragraph" w:styleId="BodyText">
    <w:name w:val="Body Text"/>
    <w:basedOn w:val="Normal"/>
    <w:rsid w:val="003100FE"/>
    <w:pPr>
      <w:tabs>
        <w:tab w:val="left" w:pos="-720"/>
      </w:tabs>
      <w:suppressAutoHyphens/>
      <w:spacing w:line="360" w:lineRule="auto"/>
    </w:pPr>
    <w:rPr>
      <w:kern w:val="1"/>
      <w:sz w:val="26"/>
    </w:rPr>
  </w:style>
  <w:style w:type="paragraph" w:styleId="BalloonText">
    <w:name w:val="Balloon Text"/>
    <w:basedOn w:val="Normal"/>
    <w:semiHidden/>
    <w:rsid w:val="0099208B"/>
    <w:rPr>
      <w:rFonts w:ascii="Tahoma" w:hAnsi="Tahoma" w:cs="Tahoma"/>
      <w:sz w:val="16"/>
      <w:szCs w:val="16"/>
    </w:rPr>
  </w:style>
  <w:style w:type="paragraph" w:styleId="FootnoteText">
    <w:name w:val="footnote text"/>
    <w:basedOn w:val="Normal"/>
    <w:semiHidden/>
    <w:rsid w:val="002C3F1A"/>
    <w:rPr>
      <w:sz w:val="20"/>
    </w:rPr>
  </w:style>
  <w:style w:type="character" w:styleId="FootnoteReference">
    <w:name w:val="footnote reference"/>
    <w:basedOn w:val="DefaultParagraphFont"/>
    <w:semiHidden/>
    <w:rsid w:val="002C3F1A"/>
    <w:rPr>
      <w:vertAlign w:val="superscript"/>
    </w:rPr>
  </w:style>
  <w:style w:type="character" w:styleId="Hyperlink">
    <w:name w:val="Hyperlink"/>
    <w:basedOn w:val="DefaultParagraphFont"/>
    <w:rsid w:val="00E00785"/>
    <w:rPr>
      <w:color w:val="0000FF"/>
      <w:u w:val="single"/>
    </w:rPr>
  </w:style>
  <w:style w:type="character" w:styleId="Emphasis">
    <w:name w:val="Emphasis"/>
    <w:basedOn w:val="DefaultParagraphFont"/>
    <w:qFormat/>
    <w:rsid w:val="00E00785"/>
    <w:rPr>
      <w:i/>
      <w:iCs/>
    </w:rPr>
  </w:style>
  <w:style w:type="character" w:styleId="CommentReference">
    <w:name w:val="annotation reference"/>
    <w:basedOn w:val="DefaultParagraphFont"/>
    <w:rsid w:val="00F813B6"/>
    <w:rPr>
      <w:sz w:val="16"/>
      <w:szCs w:val="16"/>
    </w:rPr>
  </w:style>
  <w:style w:type="paragraph" w:styleId="CommentText">
    <w:name w:val="annotation text"/>
    <w:basedOn w:val="Normal"/>
    <w:link w:val="CommentTextChar"/>
    <w:rsid w:val="00F813B6"/>
    <w:rPr>
      <w:sz w:val="20"/>
    </w:rPr>
  </w:style>
  <w:style w:type="character" w:customStyle="1" w:styleId="CommentTextChar">
    <w:name w:val="Comment Text Char"/>
    <w:basedOn w:val="DefaultParagraphFont"/>
    <w:link w:val="CommentText"/>
    <w:rsid w:val="00F813B6"/>
    <w:rPr>
      <w:color w:val="0000FF"/>
    </w:rPr>
  </w:style>
  <w:style w:type="paragraph" w:styleId="CommentSubject">
    <w:name w:val="annotation subject"/>
    <w:basedOn w:val="CommentText"/>
    <w:next w:val="CommentText"/>
    <w:link w:val="CommentSubjectChar"/>
    <w:rsid w:val="00F813B6"/>
    <w:rPr>
      <w:b/>
      <w:bCs/>
    </w:rPr>
  </w:style>
  <w:style w:type="character" w:customStyle="1" w:styleId="CommentSubjectChar">
    <w:name w:val="Comment Subject Char"/>
    <w:basedOn w:val="CommentTextChar"/>
    <w:link w:val="CommentSubject"/>
    <w:rsid w:val="00F813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DE2D-E1EB-428D-83B6-F5E5B904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DEICHMILLERH</dc:creator>
  <cp:keywords/>
  <cp:lastModifiedBy>Administrator</cp:lastModifiedBy>
  <cp:revision>3</cp:revision>
  <cp:lastPrinted>2011-05-03T14:23:00Z</cp:lastPrinted>
  <dcterms:created xsi:type="dcterms:W3CDTF">2011-04-14T22:13:00Z</dcterms:created>
  <dcterms:modified xsi:type="dcterms:W3CDTF">2011-05-03T14:23:00Z</dcterms:modified>
</cp:coreProperties>
</file>