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833A8F" w:rsidRPr="00482CB5">
        <w:rPr>
          <w:b/>
          <w:spacing w:val="-3"/>
        </w:rPr>
        <w:fldChar w:fldCharType="begin"/>
      </w:r>
      <w:r w:rsidRPr="00482CB5">
        <w:rPr>
          <w:b/>
          <w:spacing w:val="-3"/>
        </w:rPr>
        <w:instrText xml:space="preserve">PRIVATE </w:instrText>
      </w:r>
      <w:r w:rsidR="00833A8F"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Public Meeting held</w:t>
      </w:r>
      <w:r w:rsidR="00030169">
        <w:t xml:space="preserve"> May 5</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r>
      <w:r w:rsidR="000B6BDD">
        <w:t>Tyrone J. Christy</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r w:rsidR="00187FE3">
        <w:t>, Concurring in result only</w:t>
      </w:r>
    </w:p>
    <w:p w:rsidR="00475AC7" w:rsidRDefault="00475AC7" w:rsidP="00475AC7">
      <w:pPr>
        <w:tabs>
          <w:tab w:val="left" w:pos="-720"/>
        </w:tabs>
        <w:suppressAutoHyphens/>
      </w:pPr>
    </w:p>
    <w:p w:rsidR="00475AC7" w:rsidRDefault="00475AC7" w:rsidP="00475AC7">
      <w:pPr>
        <w:jc w:val="center"/>
        <w:rPr>
          <w:b/>
        </w:rPr>
      </w:pPr>
    </w:p>
    <w:p w:rsidR="00842BAD" w:rsidRDefault="00842BAD" w:rsidP="00842BAD">
      <w:pPr>
        <w:pStyle w:val="Heading1"/>
        <w:rPr>
          <w:rFonts w:ascii="Times New Roman" w:hAnsi="Times New Roman"/>
          <w:b w:val="0"/>
          <w:szCs w:val="24"/>
        </w:rPr>
      </w:pPr>
      <w:r>
        <w:rPr>
          <w:rFonts w:ascii="Times New Roman" w:hAnsi="Times New Roman"/>
          <w:b w:val="0"/>
          <w:szCs w:val="24"/>
        </w:rPr>
        <w:t>PPL Electric Utilities Corporation</w:t>
      </w:r>
    </w:p>
    <w:p w:rsidR="00842BAD" w:rsidRDefault="00842BAD" w:rsidP="00842BAD">
      <w:pPr>
        <w:pStyle w:val="Heading1"/>
        <w:rPr>
          <w:rFonts w:ascii="Times New Roman" w:hAnsi="Times New Roman"/>
          <w:b w:val="0"/>
          <w:szCs w:val="24"/>
        </w:rPr>
      </w:pPr>
      <w:r>
        <w:rPr>
          <w:rFonts w:ascii="Times New Roman" w:hAnsi="Times New Roman"/>
          <w:b w:val="0"/>
          <w:szCs w:val="24"/>
        </w:rPr>
        <w:t>Universal Service and Energy Conservation</w:t>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t>M-2010-2179796</w:t>
      </w:r>
    </w:p>
    <w:p w:rsidR="00842BAD" w:rsidRDefault="00842BAD" w:rsidP="00842BAD">
      <w:pPr>
        <w:pStyle w:val="Heading1"/>
        <w:rPr>
          <w:rFonts w:ascii="Times New Roman" w:hAnsi="Times New Roman"/>
          <w:b w:val="0"/>
          <w:szCs w:val="24"/>
        </w:rPr>
      </w:pPr>
      <w:r>
        <w:rPr>
          <w:rFonts w:ascii="Times New Roman" w:hAnsi="Times New Roman"/>
          <w:b w:val="0"/>
          <w:szCs w:val="24"/>
        </w:rPr>
        <w:t>Plan for 2011 through 2013</w:t>
      </w:r>
    </w:p>
    <w:p w:rsidR="00842BAD" w:rsidRDefault="00842BAD" w:rsidP="00842BAD">
      <w:pPr>
        <w:pStyle w:val="Heading1"/>
        <w:spacing w:line="360" w:lineRule="auto"/>
        <w:rPr>
          <w:rFonts w:ascii="Times New Roman" w:hAnsi="Times New Roman"/>
          <w:b w:val="0"/>
          <w:szCs w:val="24"/>
        </w:rPr>
      </w:pPr>
    </w:p>
    <w:p w:rsidR="00475AC7" w:rsidRPr="00F81D18" w:rsidRDefault="00475AC7" w:rsidP="00842BAD">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842BAD">
      <w:pPr>
        <w:pStyle w:val="Heading1"/>
        <w:spacing w:line="360" w:lineRule="auto"/>
      </w:pPr>
      <w:r w:rsidRPr="00482CB5">
        <w:rPr>
          <w:rFonts w:ascii="Times New Roman" w:hAnsi="Times New Roman"/>
          <w:szCs w:val="26"/>
        </w:rPr>
        <w:tab/>
        <w:t>OPINION AND ORDER</w:t>
      </w:r>
    </w:p>
    <w:p w:rsidR="006F02C9" w:rsidRDefault="006F02C9" w:rsidP="00842BAD">
      <w:pPr>
        <w:spacing w:line="360" w:lineRule="auto"/>
        <w:jc w:val="center"/>
        <w:rPr>
          <w:sz w:val="24"/>
          <w:szCs w:val="24"/>
        </w:rPr>
      </w:pPr>
    </w:p>
    <w:p w:rsidR="009348B8" w:rsidRDefault="00475AC7" w:rsidP="00842BAD">
      <w:pPr>
        <w:pStyle w:val="BodyText"/>
        <w:ind w:firstLine="1440"/>
        <w:rPr>
          <w:szCs w:val="26"/>
        </w:rPr>
      </w:pPr>
      <w:r w:rsidRPr="000057EA">
        <w:rPr>
          <w:szCs w:val="26"/>
        </w:rPr>
        <w:t xml:space="preserve">Before the Commission for consideration and disposition </w:t>
      </w:r>
      <w:r w:rsidR="005D3C42">
        <w:rPr>
          <w:szCs w:val="26"/>
        </w:rPr>
        <w:t>are</w:t>
      </w:r>
      <w:r w:rsidRPr="000057EA">
        <w:rPr>
          <w:szCs w:val="26"/>
        </w:rPr>
        <w:t xml:space="preserve"> the Initial Decision</w:t>
      </w:r>
      <w:r w:rsidR="003A272F">
        <w:rPr>
          <w:szCs w:val="26"/>
        </w:rPr>
        <w:t xml:space="preserve"> (I.D.)</w:t>
      </w:r>
      <w:r w:rsidRPr="000057EA">
        <w:rPr>
          <w:szCs w:val="26"/>
        </w:rPr>
        <w:t xml:space="preserve"> of Administrative Law Judge (ALJ) </w:t>
      </w:r>
      <w:r w:rsidR="00842BAD">
        <w:rPr>
          <w:szCs w:val="26"/>
        </w:rPr>
        <w:t>Susan D. Colwell</w:t>
      </w:r>
      <w:r w:rsidR="005D3C42">
        <w:rPr>
          <w:szCs w:val="26"/>
        </w:rPr>
        <w:t xml:space="preserve">, issued on </w:t>
      </w:r>
      <w:r w:rsidR="00842BAD">
        <w:rPr>
          <w:szCs w:val="26"/>
        </w:rPr>
        <w:t xml:space="preserve">December 10, 2010, </w:t>
      </w:r>
      <w:r w:rsidR="001B42EE">
        <w:rPr>
          <w:szCs w:val="26"/>
        </w:rPr>
        <w:t xml:space="preserve">the Exceptions of </w:t>
      </w:r>
      <w:r w:rsidR="00842BAD">
        <w:rPr>
          <w:szCs w:val="26"/>
        </w:rPr>
        <w:t>the Pennsylvania Communities Organizing for Change d/b/a Action United</w:t>
      </w:r>
      <w:r w:rsidR="004D7670">
        <w:rPr>
          <w:szCs w:val="26"/>
        </w:rPr>
        <w:t>, Inc.</w:t>
      </w:r>
      <w:r w:rsidR="00842BAD">
        <w:rPr>
          <w:szCs w:val="26"/>
        </w:rPr>
        <w:t xml:space="preserve"> (PCOC)</w:t>
      </w:r>
      <w:r w:rsidR="00D13F54">
        <w:rPr>
          <w:szCs w:val="26"/>
        </w:rPr>
        <w:t>,</w:t>
      </w:r>
      <w:r w:rsidR="00842BAD">
        <w:rPr>
          <w:szCs w:val="26"/>
        </w:rPr>
        <w:t xml:space="preserve"> filed on </w:t>
      </w:r>
      <w:r w:rsidR="00CF3F63">
        <w:rPr>
          <w:szCs w:val="26"/>
        </w:rPr>
        <w:t>December 30, 2010</w:t>
      </w:r>
      <w:r w:rsidR="001B42EE">
        <w:rPr>
          <w:szCs w:val="26"/>
        </w:rPr>
        <w:t xml:space="preserve">, </w:t>
      </w:r>
      <w:r w:rsidR="005D3C42">
        <w:rPr>
          <w:szCs w:val="26"/>
        </w:rPr>
        <w:t>the Exceptions of</w:t>
      </w:r>
      <w:r w:rsidR="00CF3F63">
        <w:rPr>
          <w:szCs w:val="26"/>
        </w:rPr>
        <w:t xml:space="preserve"> the Office of Consumer Advocate (OCA)</w:t>
      </w:r>
      <w:r w:rsidR="00D13F54">
        <w:rPr>
          <w:szCs w:val="26"/>
        </w:rPr>
        <w:t>,</w:t>
      </w:r>
      <w:r w:rsidR="00CF3F63">
        <w:rPr>
          <w:szCs w:val="26"/>
        </w:rPr>
        <w:t xml:space="preserve"> filed on December 30, 2010</w:t>
      </w:r>
      <w:r w:rsidR="005668C9">
        <w:rPr>
          <w:szCs w:val="26"/>
        </w:rPr>
        <w:t>,</w:t>
      </w:r>
      <w:r w:rsidR="00CF3F63">
        <w:rPr>
          <w:szCs w:val="26"/>
        </w:rPr>
        <w:t xml:space="preserve"> and the Reply Exceptions </w:t>
      </w:r>
      <w:r w:rsidR="00F404A0">
        <w:rPr>
          <w:szCs w:val="26"/>
        </w:rPr>
        <w:t>of PPL</w:t>
      </w:r>
      <w:r w:rsidR="005D3C42">
        <w:rPr>
          <w:szCs w:val="26"/>
        </w:rPr>
        <w:t xml:space="preserve"> Elect</w:t>
      </w:r>
      <w:r w:rsidR="00CF3F63">
        <w:rPr>
          <w:szCs w:val="26"/>
        </w:rPr>
        <w:t>ric Utilities Corporation (PPL)</w:t>
      </w:r>
      <w:r w:rsidR="00D13F54">
        <w:rPr>
          <w:szCs w:val="26"/>
        </w:rPr>
        <w:t>,</w:t>
      </w:r>
      <w:r w:rsidR="00CF3F63">
        <w:rPr>
          <w:szCs w:val="26"/>
        </w:rPr>
        <w:t xml:space="preserve"> filed on January 10, 2011</w:t>
      </w:r>
      <w:r w:rsidR="00360F52">
        <w:rPr>
          <w:szCs w:val="26"/>
        </w:rPr>
        <w:t xml:space="preserve">.  </w:t>
      </w:r>
    </w:p>
    <w:p w:rsidR="005D3C42" w:rsidRDefault="005D3C42" w:rsidP="009348B8">
      <w:pPr>
        <w:pStyle w:val="BodyText"/>
        <w:ind w:firstLine="1440"/>
      </w:pPr>
    </w:p>
    <w:p w:rsidR="00985385" w:rsidRDefault="00985385" w:rsidP="00985385">
      <w:pPr>
        <w:spacing w:line="360" w:lineRule="auto"/>
        <w:jc w:val="center"/>
        <w:outlineLvl w:val="0"/>
      </w:pPr>
      <w:r>
        <w:rPr>
          <w:b/>
          <w:szCs w:val="24"/>
        </w:rPr>
        <w:t>History of the Proceeding</w:t>
      </w:r>
    </w:p>
    <w:p w:rsidR="009348B8" w:rsidRPr="008004C1" w:rsidRDefault="009348B8" w:rsidP="009348B8">
      <w:pPr>
        <w:pStyle w:val="BodyText"/>
        <w:ind w:firstLine="1440"/>
      </w:pPr>
    </w:p>
    <w:p w:rsidR="0041096F" w:rsidRDefault="0041096F" w:rsidP="0041096F">
      <w:pPr>
        <w:spacing w:line="360" w:lineRule="auto"/>
      </w:pPr>
      <w:r>
        <w:tab/>
      </w:r>
      <w:r>
        <w:tab/>
        <w:t xml:space="preserve">On June 1, 2010, PPL filed its Universal Service and Energy Conservation Plan pursuant to 52 Pa. Code §§ 54.71-54.78.  On July 12, 2010, Eric Joseph Epstein filed a Petition to Intervene, and on July 13, 2010, the Sustainable Energy Fund of </w:t>
      </w:r>
      <w:r>
        <w:lastRenderedPageBreak/>
        <w:t xml:space="preserve">Central Eastern Pennsylvania (SEF) filed a Petition to Intervene.  On July 29, 2010, the Office of Consumer Advocate (OCA) filed a Notice of Intervention.  </w:t>
      </w:r>
    </w:p>
    <w:p w:rsidR="0041096F" w:rsidRDefault="0041096F" w:rsidP="0041096F">
      <w:pPr>
        <w:spacing w:line="360" w:lineRule="auto"/>
      </w:pPr>
    </w:p>
    <w:p w:rsidR="0041096F" w:rsidRDefault="0041096F" w:rsidP="0041096F">
      <w:pPr>
        <w:spacing w:line="360" w:lineRule="auto"/>
      </w:pPr>
      <w:r>
        <w:tab/>
      </w:r>
      <w:r>
        <w:tab/>
        <w:t xml:space="preserve">By Order entered September 24, 2010, the Commission granted the two </w:t>
      </w:r>
      <w:r w:rsidR="00782E46">
        <w:t>P</w:t>
      </w:r>
      <w:r>
        <w:t xml:space="preserve">etitions to </w:t>
      </w:r>
      <w:r w:rsidR="00782E46">
        <w:t>I</w:t>
      </w:r>
      <w:r>
        <w:t xml:space="preserve">ntervene and assigned the matter to the Office of Administrative Law Judge for hearing and issuance of a </w:t>
      </w:r>
      <w:r w:rsidR="00782E46">
        <w:t>R</w:t>
      </w:r>
      <w:r>
        <w:t xml:space="preserve">ecommended </w:t>
      </w:r>
      <w:r w:rsidR="00782E46">
        <w:t>D</w:t>
      </w:r>
      <w:r>
        <w:t xml:space="preserve">ecision.  </w:t>
      </w:r>
    </w:p>
    <w:p w:rsidR="0041096F" w:rsidRDefault="0041096F" w:rsidP="0041096F">
      <w:pPr>
        <w:spacing w:line="360" w:lineRule="auto"/>
      </w:pPr>
    </w:p>
    <w:p w:rsidR="0041096F" w:rsidRDefault="0041096F" w:rsidP="0041096F">
      <w:pPr>
        <w:spacing w:line="360" w:lineRule="auto"/>
      </w:pPr>
      <w:r>
        <w:tab/>
      </w:r>
      <w:r>
        <w:tab/>
        <w:t xml:space="preserve">Petitions to </w:t>
      </w:r>
      <w:r w:rsidR="0091664E">
        <w:t>I</w:t>
      </w:r>
      <w:r>
        <w:t xml:space="preserve">ntervene were </w:t>
      </w:r>
      <w:r w:rsidR="005668C9">
        <w:t xml:space="preserve">also </w:t>
      </w:r>
      <w:r>
        <w:t>filed by the Commission on Economic Opportunity (CEO)</w:t>
      </w:r>
      <w:r w:rsidR="00817491">
        <w:t xml:space="preserve"> on</w:t>
      </w:r>
      <w:r>
        <w:t xml:space="preserve"> October 22, 2010; PP&amp;L Industrial Customer Alliance (PPLICA)</w:t>
      </w:r>
      <w:r w:rsidR="00817491">
        <w:t xml:space="preserve"> on</w:t>
      </w:r>
      <w:r>
        <w:t xml:space="preserve"> October 25, 2010; and PCOC</w:t>
      </w:r>
      <w:r w:rsidR="007F4391">
        <w:rPr>
          <w:rStyle w:val="FootnoteReference"/>
        </w:rPr>
        <w:footnoteReference w:id="1"/>
      </w:r>
      <w:r w:rsidR="00817491">
        <w:t xml:space="preserve"> on</w:t>
      </w:r>
      <w:r>
        <w:t xml:space="preserve"> October 24, 2010.</w:t>
      </w:r>
      <w:r w:rsidR="00D04C5E">
        <w:t xml:space="preserve">  </w:t>
      </w:r>
      <w:r>
        <w:t>Prehearing memos were filed by CEO</w:t>
      </w:r>
      <w:r w:rsidR="00806A22">
        <w:t>,</w:t>
      </w:r>
      <w:r>
        <w:t xml:space="preserve"> SEF</w:t>
      </w:r>
      <w:r w:rsidR="00806A22">
        <w:t>,</w:t>
      </w:r>
      <w:r>
        <w:t xml:space="preserve"> Mr. Epstein</w:t>
      </w:r>
      <w:r w:rsidR="00806A22">
        <w:t>,</w:t>
      </w:r>
      <w:r>
        <w:t xml:space="preserve"> OTS</w:t>
      </w:r>
      <w:r w:rsidR="00806A22">
        <w:t>,</w:t>
      </w:r>
      <w:r>
        <w:t xml:space="preserve"> OCA</w:t>
      </w:r>
      <w:r w:rsidR="00806A22">
        <w:t>,</w:t>
      </w:r>
      <w:r>
        <w:t xml:space="preserve"> PPLICA</w:t>
      </w:r>
      <w:r w:rsidR="00806A22">
        <w:t>,</w:t>
      </w:r>
      <w:r>
        <w:t xml:space="preserve"> and PCOC.</w:t>
      </w:r>
      <w:r w:rsidR="00817491">
        <w:t xml:space="preserve">  </w:t>
      </w:r>
      <w:r w:rsidR="005668C9">
        <w:t xml:space="preserve">The </w:t>
      </w:r>
      <w:r w:rsidR="00817491">
        <w:t>P</w:t>
      </w:r>
      <w:r>
        <w:t xml:space="preserve">PLICA and CEO </w:t>
      </w:r>
      <w:r w:rsidR="00782E46">
        <w:t>P</w:t>
      </w:r>
      <w:r>
        <w:t xml:space="preserve">etitions to </w:t>
      </w:r>
      <w:r w:rsidR="00782E46">
        <w:t>I</w:t>
      </w:r>
      <w:r>
        <w:t xml:space="preserve">ntervene were granted as unopposed.  </w:t>
      </w:r>
    </w:p>
    <w:p w:rsidR="0041096F" w:rsidRDefault="0041096F" w:rsidP="0041096F">
      <w:pPr>
        <w:spacing w:line="360" w:lineRule="auto"/>
      </w:pPr>
    </w:p>
    <w:p w:rsidR="0041096F" w:rsidRDefault="0041096F" w:rsidP="0041096F">
      <w:pPr>
        <w:spacing w:line="360" w:lineRule="auto"/>
      </w:pPr>
      <w:r>
        <w:tab/>
      </w:r>
      <w:r>
        <w:tab/>
        <w:t xml:space="preserve">PCOC’s </w:t>
      </w:r>
      <w:r w:rsidR="00444120">
        <w:t>P</w:t>
      </w:r>
      <w:r>
        <w:t xml:space="preserve">etition to </w:t>
      </w:r>
      <w:r w:rsidR="00444120">
        <w:t>I</w:t>
      </w:r>
      <w:r>
        <w:t xml:space="preserve">ntervene was challenged by </w:t>
      </w:r>
      <w:r w:rsidR="00D04C5E">
        <w:t>PPL</w:t>
      </w:r>
      <w:r>
        <w:t xml:space="preserve"> </w:t>
      </w:r>
      <w:r w:rsidR="005668C9">
        <w:t xml:space="preserve">based on the argument that it </w:t>
      </w:r>
      <w:r>
        <w:t>lack</w:t>
      </w:r>
      <w:r w:rsidR="005668C9">
        <w:t>ed</w:t>
      </w:r>
      <w:r>
        <w:t xml:space="preserve"> </w:t>
      </w:r>
      <w:r w:rsidR="00B01B48">
        <w:t>n</w:t>
      </w:r>
      <w:r>
        <w:t xml:space="preserve">ecessary information, such as a description of the type of organization, </w:t>
      </w:r>
      <w:r w:rsidR="00444120">
        <w:t xml:space="preserve">an identification of members, and a statement of </w:t>
      </w:r>
      <w:r>
        <w:t>whether the organization is a customer</w:t>
      </w:r>
      <w:r w:rsidR="00444120">
        <w:t xml:space="preserve"> of PPL</w:t>
      </w:r>
      <w:r>
        <w:t>, whether</w:t>
      </w:r>
      <w:r w:rsidR="00444120">
        <w:t xml:space="preserve"> its</w:t>
      </w:r>
      <w:r>
        <w:t xml:space="preserve"> members are customers</w:t>
      </w:r>
      <w:r w:rsidR="00444120">
        <w:t xml:space="preserve"> of PPL</w:t>
      </w:r>
      <w:r>
        <w:t xml:space="preserve">, and whether the verification was signed by someone in PCOC.  Counsel for PCOC indicated that the information could be obtained and submitted within a week.  The Scheduling Order, issued October 29, 2010, directed PCOC to submit the information within a week, and </w:t>
      </w:r>
      <w:r w:rsidR="00D04C5E">
        <w:t>PPL</w:t>
      </w:r>
      <w:r>
        <w:t xml:space="preserve"> was given an additional week to respond to the new information</w:t>
      </w:r>
      <w:r w:rsidR="005668C9">
        <w:t>.</w:t>
      </w:r>
      <w:r>
        <w:t xml:space="preserve"> </w:t>
      </w:r>
    </w:p>
    <w:p w:rsidR="0041096F" w:rsidRDefault="0041096F" w:rsidP="0041096F">
      <w:pPr>
        <w:spacing w:line="360" w:lineRule="auto"/>
      </w:pPr>
    </w:p>
    <w:p w:rsidR="0041096F" w:rsidRDefault="0041096F" w:rsidP="0041096F">
      <w:pPr>
        <w:spacing w:line="360" w:lineRule="auto"/>
      </w:pPr>
      <w:r>
        <w:tab/>
      </w:r>
      <w:r>
        <w:tab/>
        <w:t>On November 5, 2010, PCOC filed an Amended Petition to Intervene, and on Novem</w:t>
      </w:r>
      <w:r w:rsidR="00D04C5E">
        <w:t>ber 12, 2010, PPL filed</w:t>
      </w:r>
      <w:r>
        <w:t xml:space="preserve"> its Answer in </w:t>
      </w:r>
      <w:r w:rsidR="00AF5073">
        <w:t>O</w:t>
      </w:r>
      <w:r>
        <w:t xml:space="preserve">pposition.  </w:t>
      </w:r>
    </w:p>
    <w:p w:rsidR="0041096F" w:rsidRDefault="0041096F" w:rsidP="0041096F">
      <w:pPr>
        <w:spacing w:line="360" w:lineRule="auto"/>
      </w:pPr>
    </w:p>
    <w:p w:rsidR="000D4B21" w:rsidRDefault="0041096F" w:rsidP="005668C9">
      <w:pPr>
        <w:spacing w:line="360" w:lineRule="auto"/>
      </w:pPr>
      <w:r>
        <w:lastRenderedPageBreak/>
        <w:tab/>
      </w:r>
      <w:r>
        <w:tab/>
        <w:t>On December 2, 2010, PCOC filed a document entitled Additional Amendment and Supplemental Matter in Response to the Answer of PPL Electric Utilities to the Amended Petition to Intervene</w:t>
      </w:r>
      <w:r w:rsidR="005668C9">
        <w:t xml:space="preserve">.  The </w:t>
      </w:r>
      <w:r>
        <w:t xml:space="preserve">OCA </w:t>
      </w:r>
      <w:r w:rsidR="005668C9">
        <w:t xml:space="preserve">also </w:t>
      </w:r>
      <w:r>
        <w:t>filed a Response to PPL Electric’s Answer in Opposition to the Amended Petition to Intervene</w:t>
      </w:r>
      <w:r w:rsidR="005668C9">
        <w:t>.</w:t>
      </w:r>
    </w:p>
    <w:p w:rsidR="005668C9" w:rsidRDefault="005668C9" w:rsidP="005668C9">
      <w:pPr>
        <w:spacing w:line="360" w:lineRule="auto"/>
      </w:pPr>
    </w:p>
    <w:p w:rsidR="005668C9" w:rsidRDefault="005668C9" w:rsidP="005668C9">
      <w:pPr>
        <w:spacing w:line="360" w:lineRule="auto"/>
      </w:pPr>
      <w:r>
        <w:tab/>
      </w:r>
      <w:r>
        <w:tab/>
        <w:t>On December 10, 2010, the Initial Decision of ALJ Colwell was issued</w:t>
      </w:r>
      <w:r w:rsidR="00857C11">
        <w:t>,</w:t>
      </w:r>
      <w:r>
        <w:t xml:space="preserve"> which found that PCOC lacked standing.  PCOC and the OCA filed Exceptions on December 30, 2010.  PPL filed Reply Exceptions on January 10, 2010.</w:t>
      </w:r>
    </w:p>
    <w:p w:rsidR="00925455" w:rsidRDefault="00925455" w:rsidP="005668C9">
      <w:pPr>
        <w:spacing w:line="360" w:lineRule="auto"/>
      </w:pPr>
    </w:p>
    <w:p w:rsidR="00925455" w:rsidRDefault="00925455" w:rsidP="005668C9">
      <w:pPr>
        <w:spacing w:line="360" w:lineRule="auto"/>
      </w:pPr>
      <w:r>
        <w:tab/>
      </w:r>
      <w:r>
        <w:tab/>
        <w:t>On December 14, 2010, Lorrie Koons, a customer</w:t>
      </w:r>
      <w:r w:rsidR="00857C11">
        <w:t xml:space="preserve"> of PPL</w:t>
      </w:r>
      <w:r>
        <w:t>, filed a Petition to Intervene</w:t>
      </w:r>
      <w:r w:rsidR="00857C11">
        <w:t>,</w:t>
      </w:r>
      <w:r>
        <w:t xml:space="preserve"> which was granted by Order issued on January 6, 2011.</w:t>
      </w:r>
    </w:p>
    <w:p w:rsidR="00925455" w:rsidRDefault="00925455" w:rsidP="005668C9">
      <w:pPr>
        <w:spacing w:line="360" w:lineRule="auto"/>
      </w:pPr>
    </w:p>
    <w:p w:rsidR="00925455" w:rsidRDefault="00925455" w:rsidP="005668C9">
      <w:pPr>
        <w:spacing w:line="360" w:lineRule="auto"/>
      </w:pPr>
      <w:r>
        <w:tab/>
      </w:r>
      <w:r>
        <w:tab/>
        <w:t xml:space="preserve">On March 15, 2011, the Recommended Decision of ALJ Colwell was issued </w:t>
      </w:r>
      <w:r w:rsidR="001B2C49">
        <w:t xml:space="preserve">at this Docket (Recommended Decision) </w:t>
      </w:r>
      <w:r w:rsidR="00C8228D">
        <w:t>(R.D.)</w:t>
      </w:r>
      <w:r w:rsidR="00857C11">
        <w:t>,</w:t>
      </w:r>
      <w:r w:rsidR="00C8228D">
        <w:t xml:space="preserve"> </w:t>
      </w:r>
      <w:r>
        <w:t>which recom</w:t>
      </w:r>
      <w:r w:rsidR="001B2C49">
        <w:t>mends</w:t>
      </w:r>
      <w:r>
        <w:t xml:space="preserve"> approval of a Joint Petition for Settlement</w:t>
      </w:r>
      <w:r w:rsidR="004B6836">
        <w:t xml:space="preserve"> filed on February 18, 2011, which resolved all issues in this proceeding.</w:t>
      </w:r>
    </w:p>
    <w:p w:rsidR="005668C9" w:rsidRDefault="005668C9" w:rsidP="005668C9">
      <w:pPr>
        <w:spacing w:line="360" w:lineRule="auto"/>
      </w:pPr>
    </w:p>
    <w:p w:rsidR="006F02C9" w:rsidRDefault="0094764C" w:rsidP="00284547">
      <w:pPr>
        <w:spacing w:line="360" w:lineRule="auto"/>
        <w:jc w:val="center"/>
        <w:rPr>
          <w:b/>
          <w:szCs w:val="24"/>
        </w:rPr>
      </w:pPr>
      <w:r w:rsidRPr="0094764C">
        <w:rPr>
          <w:b/>
          <w:szCs w:val="24"/>
        </w:rPr>
        <w:t>Discussion</w:t>
      </w:r>
    </w:p>
    <w:p w:rsidR="00DD4FED" w:rsidRDefault="00DD4FED" w:rsidP="00284547">
      <w:pPr>
        <w:spacing w:line="360" w:lineRule="auto"/>
        <w:jc w:val="center"/>
        <w:rPr>
          <w:b/>
          <w:szCs w:val="24"/>
        </w:rPr>
      </w:pPr>
    </w:p>
    <w:p w:rsidR="00DD4FED" w:rsidRDefault="00DD4FED" w:rsidP="00DD4FED">
      <w:pPr>
        <w:spacing w:line="360" w:lineRule="auto"/>
        <w:ind w:firstLine="1440"/>
      </w:pPr>
      <w:r w:rsidRPr="004A753B">
        <w:t>As a preliminary matter, we note that any issue</w:t>
      </w:r>
      <w:r w:rsidR="00282CE2">
        <w:t xml:space="preserve"> or exception</w:t>
      </w:r>
      <w:r w:rsidRPr="004A753B">
        <w:t xml:space="preserve"> that we do not specifically address has been duly considered and will be denied without further discussion.  It is well settled that we are not required to consider, expressly or at length, each contention or argument raised by the parties.  </w:t>
      </w:r>
      <w:r w:rsidRPr="004A753B">
        <w:rPr>
          <w:i/>
        </w:rPr>
        <w:t>Consolidated Rail Corporation v. Pennsylvania Public Utility Commission</w:t>
      </w:r>
      <w:r w:rsidRPr="004A753B">
        <w:t xml:space="preserve">, 625 A.2d 741 (Pa. Cmwlth. 1993); </w:t>
      </w:r>
      <w:r w:rsidRPr="004A753B">
        <w:rPr>
          <w:i/>
        </w:rPr>
        <w:t>see also</w:t>
      </w:r>
      <w:r w:rsidRPr="004A753B">
        <w:t xml:space="preserve">, </w:t>
      </w:r>
      <w:r w:rsidRPr="004A753B">
        <w:rPr>
          <w:i/>
        </w:rPr>
        <w:t>generally</w:t>
      </w:r>
      <w:r w:rsidRPr="004A753B">
        <w:t xml:space="preserve">, </w:t>
      </w:r>
      <w:r w:rsidRPr="004A753B">
        <w:rPr>
          <w:i/>
        </w:rPr>
        <w:t>University of Pennsylvania v. Pennsylvania Public Utility Commission</w:t>
      </w:r>
      <w:r w:rsidRPr="004A753B">
        <w:t>, 485 A.2d 1217 (Pa. Cmwlth. 1984</w:t>
      </w:r>
      <w:r>
        <w:t>).</w:t>
      </w:r>
    </w:p>
    <w:p w:rsidR="00B674B6" w:rsidRDefault="00B674B6" w:rsidP="00DD4FED">
      <w:pPr>
        <w:spacing w:line="360" w:lineRule="auto"/>
        <w:ind w:firstLine="1440"/>
      </w:pPr>
    </w:p>
    <w:p w:rsidR="004F4DB9" w:rsidRDefault="00B674B6" w:rsidP="004F4DB9">
      <w:pPr>
        <w:spacing w:line="360" w:lineRule="auto"/>
        <w:ind w:firstLine="1440"/>
      </w:pPr>
      <w:r>
        <w:t>ALJ Colwell made fifteen Findings of Fact</w:t>
      </w:r>
      <w:r w:rsidR="00537830">
        <w:t>,</w:t>
      </w:r>
      <w:r>
        <w:t xml:space="preserve"> I.D. at 3-5</w:t>
      </w:r>
      <w:r w:rsidR="00537830">
        <w:t>,</w:t>
      </w:r>
      <w:r>
        <w:t xml:space="preserve"> and reached nine Conclusions of Law</w:t>
      </w:r>
      <w:r w:rsidR="00537830">
        <w:t>,</w:t>
      </w:r>
      <w:r>
        <w:t xml:space="preserve"> I.D. at 10-12.  </w:t>
      </w:r>
      <w:r w:rsidR="004F4DB9">
        <w:t xml:space="preserve">We shall adopt and incorporate herein by reference </w:t>
      </w:r>
      <w:r w:rsidR="004F4DB9">
        <w:lastRenderedPageBreak/>
        <w:t>the ALJ’</w:t>
      </w:r>
      <w:r w:rsidR="000F490F">
        <w:t>s</w:t>
      </w:r>
      <w:r w:rsidR="004F4DB9">
        <w:t xml:space="preserve"> Findings of Fact and Conclusions of Law unless they are either expressly or by necessary implication overruled or modified by this Opinion and Order.</w:t>
      </w:r>
    </w:p>
    <w:p w:rsidR="008B4010" w:rsidRDefault="008B4010" w:rsidP="004F4DB9">
      <w:pPr>
        <w:spacing w:line="360" w:lineRule="auto"/>
        <w:ind w:firstLine="1440"/>
      </w:pPr>
    </w:p>
    <w:p w:rsidR="008B4010" w:rsidRPr="008B4010" w:rsidRDefault="008B4010" w:rsidP="008B4010">
      <w:pPr>
        <w:spacing w:line="360" w:lineRule="auto"/>
        <w:rPr>
          <w:b/>
        </w:rPr>
      </w:pPr>
      <w:r>
        <w:rPr>
          <w:b/>
        </w:rPr>
        <w:t>Initial Decision</w:t>
      </w:r>
    </w:p>
    <w:p w:rsidR="00653140" w:rsidRDefault="00653140" w:rsidP="004F4DB9">
      <w:pPr>
        <w:spacing w:line="360" w:lineRule="auto"/>
        <w:ind w:firstLine="1440"/>
      </w:pPr>
    </w:p>
    <w:p w:rsidR="00653140" w:rsidRDefault="00653140" w:rsidP="004F4DB9">
      <w:pPr>
        <w:spacing w:line="360" w:lineRule="auto"/>
        <w:ind w:firstLine="1440"/>
      </w:pPr>
      <w:r>
        <w:t xml:space="preserve">In her Initial Decision, ALJ Colwell noted that PCOC had petitioned to intervene.  She stated that while </w:t>
      </w:r>
      <w:r w:rsidR="008B4010">
        <w:t xml:space="preserve">matters involving </w:t>
      </w:r>
      <w:r>
        <w:t xml:space="preserve">intervention </w:t>
      </w:r>
      <w:r w:rsidR="008B4010">
        <w:t>are</w:t>
      </w:r>
      <w:r>
        <w:t xml:space="preserve"> at the discretion of the Commission, the Commission’s </w:t>
      </w:r>
      <w:r w:rsidR="00537830">
        <w:t>R</w:t>
      </w:r>
      <w:r>
        <w:t xml:space="preserve">egulations </w:t>
      </w:r>
      <w:r w:rsidR="00537830">
        <w:t xml:space="preserve">at 52 Pa. Code § 5.72 </w:t>
      </w:r>
      <w:r>
        <w:t>provide for eligibility standards:</w:t>
      </w:r>
    </w:p>
    <w:p w:rsidR="00C07E97" w:rsidRDefault="00C07E97" w:rsidP="004F4DB9">
      <w:pPr>
        <w:spacing w:line="360" w:lineRule="auto"/>
        <w:ind w:firstLine="1440"/>
      </w:pPr>
    </w:p>
    <w:p w:rsidR="00C07E97" w:rsidRDefault="00C07E97" w:rsidP="008B4010">
      <w:pPr>
        <w:keepNext/>
        <w:keepLines/>
        <w:ind w:left="1440" w:right="1440"/>
        <w:rPr>
          <w:b/>
        </w:rPr>
      </w:pPr>
      <w:r w:rsidRPr="007F5BE9">
        <w:rPr>
          <w:b/>
        </w:rPr>
        <w:t>§ 5.72.  Eligibility to intervene.</w:t>
      </w:r>
    </w:p>
    <w:p w:rsidR="00C07E97" w:rsidRPr="007F5BE9" w:rsidRDefault="00C07E97" w:rsidP="008B4010">
      <w:pPr>
        <w:keepNext/>
        <w:keepLines/>
        <w:ind w:left="1440" w:right="1440"/>
        <w:rPr>
          <w:b/>
        </w:rPr>
      </w:pPr>
    </w:p>
    <w:p w:rsidR="00C07E97" w:rsidRDefault="00C07E97" w:rsidP="008B4010">
      <w:pPr>
        <w:keepNext/>
        <w:keepLines/>
        <w:ind w:left="1440" w:right="1440"/>
      </w:pPr>
      <w:r>
        <w:tab/>
        <w:t>(a)</w:t>
      </w:r>
      <w:r>
        <w:tab/>
      </w:r>
      <w:r>
        <w:rPr>
          <w:i/>
        </w:rPr>
        <w:t xml:space="preserve">Persons. </w:t>
      </w:r>
      <w: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w:t>
      </w:r>
    </w:p>
    <w:p w:rsidR="00C07E97" w:rsidRDefault="00C07E97" w:rsidP="00C07E97">
      <w:pPr>
        <w:ind w:left="1440" w:right="1440"/>
      </w:pPr>
    </w:p>
    <w:p w:rsidR="00C07E97" w:rsidRDefault="00C07E97" w:rsidP="00C07E97">
      <w:pPr>
        <w:ind w:left="2160" w:right="2160"/>
      </w:pPr>
      <w:r>
        <w:tab/>
        <w:t xml:space="preserve">(1) </w:t>
      </w:r>
      <w:r>
        <w:tab/>
        <w:t>A right conferred by statute of the United States or of the Commonwealth.</w:t>
      </w:r>
    </w:p>
    <w:p w:rsidR="00C07E97" w:rsidRDefault="00C07E97" w:rsidP="00C07E97">
      <w:pPr>
        <w:ind w:left="2160" w:right="2160"/>
      </w:pPr>
    </w:p>
    <w:p w:rsidR="00C07E97" w:rsidRDefault="00C07E97" w:rsidP="00C07E97">
      <w:pPr>
        <w:ind w:left="2160" w:right="2160"/>
      </w:pPr>
      <w:r>
        <w:tab/>
        <w:t>(2)</w:t>
      </w:r>
      <w:r>
        <w:tab/>
        <w:t>An interest which may be directly affected and which is not adequately represented by existing participants, and as to which the petitioner may be bound by the action of the Commission in the proceeding.</w:t>
      </w:r>
    </w:p>
    <w:p w:rsidR="00C07E97" w:rsidRDefault="00C07E97" w:rsidP="00C07E97">
      <w:pPr>
        <w:ind w:left="2160" w:right="2160"/>
      </w:pPr>
    </w:p>
    <w:p w:rsidR="00C07E97" w:rsidRDefault="00C07E97" w:rsidP="00C07E97">
      <w:pPr>
        <w:ind w:left="2160" w:right="2160"/>
      </w:pPr>
      <w:r>
        <w:tab/>
        <w:t>(3)</w:t>
      </w:r>
      <w:r>
        <w:tab/>
        <w:t>Another interest of such nature that participation of the petitioner may be in the public interest.</w:t>
      </w:r>
    </w:p>
    <w:p w:rsidR="00C07E97" w:rsidRDefault="00C07E97" w:rsidP="00C07E97">
      <w:pPr>
        <w:ind w:left="2160" w:right="2160"/>
      </w:pPr>
    </w:p>
    <w:p w:rsidR="00537830" w:rsidRDefault="00537830" w:rsidP="00C07E97">
      <w:pPr>
        <w:ind w:left="2160" w:right="2160"/>
      </w:pPr>
    </w:p>
    <w:p w:rsidR="00486CD4" w:rsidRDefault="00C07E97" w:rsidP="001B44D5">
      <w:pPr>
        <w:spacing w:line="360" w:lineRule="auto"/>
      </w:pPr>
      <w:r>
        <w:tab/>
      </w:r>
      <w:r>
        <w:tab/>
        <w:t xml:space="preserve">The ALJ described concerns relating to PCOC’s initial attempts to provide information relating to its status and PCOC’s </w:t>
      </w:r>
      <w:r w:rsidR="001B44D5">
        <w:t>eligibility to</w:t>
      </w:r>
      <w:r>
        <w:t xml:space="preserve"> intervene in this proceeding.  </w:t>
      </w:r>
      <w:r w:rsidR="00E127D5">
        <w:t xml:space="preserve">PCOC’s initial filing on October 24, 2010, failed to disclose any information which would enable an analysis of the basis for PCOC’s standing to participate.  I.D. at 5.  Upon </w:t>
      </w:r>
      <w:r w:rsidR="00E127D5">
        <w:lastRenderedPageBreak/>
        <w:t>the direction of the ALJ, PCOC filed an Amended Petition to Intervene on November 5, 2010</w:t>
      </w:r>
      <w:r w:rsidR="008562D3">
        <w:t xml:space="preserve"> (Amended Petition)</w:t>
      </w:r>
      <w:r w:rsidR="00E127D5">
        <w:t>, which</w:t>
      </w:r>
      <w:r w:rsidR="008562D3">
        <w:t xml:space="preserve"> changed the identity of the entity seeking intervention</w:t>
      </w:r>
      <w:r w:rsidR="00E127D5">
        <w:t xml:space="preserve"> from </w:t>
      </w:r>
      <w:r w:rsidR="00D87E8D">
        <w:t xml:space="preserve">Action United </w:t>
      </w:r>
      <w:r w:rsidR="00E127D5">
        <w:t>to P</w:t>
      </w:r>
      <w:r w:rsidR="00D87E8D">
        <w:t xml:space="preserve">ennsylvania </w:t>
      </w:r>
      <w:r w:rsidR="00E127D5">
        <w:t>C</w:t>
      </w:r>
      <w:r w:rsidR="00D87E8D">
        <w:t xml:space="preserve">ommunities </w:t>
      </w:r>
      <w:r w:rsidR="00E127D5">
        <w:t>O</w:t>
      </w:r>
      <w:r w:rsidR="00D87E8D">
        <w:t xml:space="preserve">rganizing for </w:t>
      </w:r>
      <w:r w:rsidR="00E127D5">
        <w:t>C</w:t>
      </w:r>
      <w:r w:rsidR="00D87E8D">
        <w:t>hange</w:t>
      </w:r>
      <w:r w:rsidR="00E127D5">
        <w:t xml:space="preserve"> d/b/a A</w:t>
      </w:r>
      <w:r w:rsidR="008562D3">
        <w:t xml:space="preserve">ction United, Inc.  </w:t>
      </w:r>
      <w:r w:rsidR="00E127D5" w:rsidRPr="00E127D5">
        <w:rPr>
          <w:i/>
        </w:rPr>
        <w:t>Id</w:t>
      </w:r>
      <w:r w:rsidR="00E127D5">
        <w:t>. at 6.</w:t>
      </w:r>
      <w:r w:rsidR="001B44D5">
        <w:t xml:space="preserve">  </w:t>
      </w:r>
      <w:r w:rsidR="009E359D">
        <w:t xml:space="preserve">The Amended Petition </w:t>
      </w:r>
      <w:r w:rsidR="008B4010">
        <w:t>s</w:t>
      </w:r>
      <w:r w:rsidR="009E359D">
        <w:t>tate</w:t>
      </w:r>
      <w:r w:rsidR="008B4010">
        <w:t>d</w:t>
      </w:r>
      <w:r w:rsidR="009E359D">
        <w:t xml:space="preserve"> that PCOC </w:t>
      </w:r>
      <w:r w:rsidR="00D87E8D">
        <w:t>i</w:t>
      </w:r>
      <w:r w:rsidR="009E359D">
        <w:t>s a not-for-profit Pennsylvania corporation, noting that its application for 501(c)(4) classification was pending at the time.  PCOC stated that its mission “is to advocate on behalf of low and lower income persons on numerous consumer issues, including access to and affordability of utility service.”  PCOC Amended Petition</w:t>
      </w:r>
      <w:r w:rsidR="00D32946">
        <w:t xml:space="preserve"> at</w:t>
      </w:r>
      <w:r w:rsidR="009E359D">
        <w:t xml:space="preserve"> ¶ 7.  </w:t>
      </w:r>
      <w:r w:rsidR="009352C8">
        <w:t>PCOC explained that</w:t>
      </w:r>
      <w:r w:rsidR="00ED071B">
        <w:t>,</w:t>
      </w:r>
      <w:r w:rsidR="009352C8">
        <w:t xml:space="preserve"> while PCOC itself d</w:t>
      </w:r>
      <w:r w:rsidR="00D87E8D">
        <w:t>oes</w:t>
      </w:r>
      <w:r w:rsidR="009352C8">
        <w:t xml:space="preserve"> not have an office in PPL’s service territory, several members of PCOC reside in PPL’s service territory and PCOC identified four such members.  </w:t>
      </w:r>
    </w:p>
    <w:p w:rsidR="008123BD" w:rsidRDefault="009352C8" w:rsidP="001B44D5">
      <w:pPr>
        <w:spacing w:line="360" w:lineRule="auto"/>
      </w:pPr>
      <w:r w:rsidRPr="009352C8">
        <w:rPr>
          <w:i/>
        </w:rPr>
        <w:t>Id</w:t>
      </w:r>
      <w:r>
        <w:t>. at ¶ 8, I.D. at 6.</w:t>
      </w:r>
      <w:r w:rsidR="008B4010">
        <w:t xml:space="preserve">  </w:t>
      </w:r>
    </w:p>
    <w:p w:rsidR="002102CE" w:rsidRDefault="002102CE" w:rsidP="001B44D5">
      <w:pPr>
        <w:spacing w:line="360" w:lineRule="auto"/>
      </w:pPr>
    </w:p>
    <w:p w:rsidR="008123BD" w:rsidRDefault="008123BD" w:rsidP="001B44D5">
      <w:pPr>
        <w:spacing w:line="360" w:lineRule="auto"/>
      </w:pPr>
      <w:r>
        <w:tab/>
      </w:r>
      <w:r>
        <w:tab/>
        <w:t>PPL challenged the Amended Petition</w:t>
      </w:r>
      <w:r w:rsidR="00ED071B">
        <w:t>,</w:t>
      </w:r>
      <w:r>
        <w:t xml:space="preserve"> asserting that PCOC still failed to comply with the Commission’s regulations regarding intervention</w:t>
      </w:r>
      <w:r w:rsidR="00ED071B">
        <w:t xml:space="preserve">, </w:t>
      </w:r>
      <w:r>
        <w:t xml:space="preserve">failed to provide a list of members and </w:t>
      </w:r>
      <w:r w:rsidR="00ED071B">
        <w:t xml:space="preserve">failed to </w:t>
      </w:r>
      <w:r>
        <w:t>indicate which members are customers of PPL</w:t>
      </w:r>
      <w:r w:rsidR="002102CE">
        <w:t>.  On that basis, PPL argued that PCOC l</w:t>
      </w:r>
      <w:r>
        <w:t xml:space="preserve">acked standing to intervene.  PPL acknowledged that PCOC identified four members who are PPL customers, but failed to indicate whether those members were actual low-income users or </w:t>
      </w:r>
      <w:r w:rsidR="00ED071B">
        <w:t xml:space="preserve">whether </w:t>
      </w:r>
      <w:r>
        <w:t xml:space="preserve">those members authorized PCOC to represent their interest in this proceeding.  I.D. at 7.  </w:t>
      </w:r>
      <w:r w:rsidR="001A1A54">
        <w:t xml:space="preserve">PPL also challenged PCOC’s statement that its mission is to advocate for low and lower income persons.  PPL asserted that there is no income requirement for membership in PCOC.  Also, based upon PCOC’s actual mission statement, PPL argued that PCOC cannot be found to represent exclusively the interests of low and lower income citizens.  </w:t>
      </w:r>
      <w:r w:rsidR="001A1A54" w:rsidRPr="001A1A54">
        <w:rPr>
          <w:i/>
        </w:rPr>
        <w:t>Id.</w:t>
      </w:r>
    </w:p>
    <w:p w:rsidR="001A1A54" w:rsidRDefault="001A1A54" w:rsidP="001B44D5">
      <w:pPr>
        <w:spacing w:line="360" w:lineRule="auto"/>
      </w:pPr>
    </w:p>
    <w:p w:rsidR="001A1A54" w:rsidRDefault="001A1A54" w:rsidP="001B44D5">
      <w:pPr>
        <w:spacing w:line="360" w:lineRule="auto"/>
      </w:pPr>
      <w:r>
        <w:tab/>
      </w:r>
      <w:r>
        <w:tab/>
        <w:t xml:space="preserve">The ALJ </w:t>
      </w:r>
      <w:r w:rsidR="00D50363">
        <w:t>stated that PCOC had the option to form itself as a representational association or as a corporation.  Noting that corporations stand as separate and distinct legal entities fr</w:t>
      </w:r>
      <w:r w:rsidR="00240B12">
        <w:t>o</w:t>
      </w:r>
      <w:r w:rsidR="00D50363">
        <w:t xml:space="preserve">m their shareholders, the ALJ held that “PCOC must itself, as a corporation, have standing to intervene.”  I.D. at 8 </w:t>
      </w:r>
      <w:r w:rsidR="00240B12">
        <w:t>(</w:t>
      </w:r>
      <w:r w:rsidR="00D50363">
        <w:t>footnote omitted</w:t>
      </w:r>
      <w:r w:rsidR="00240B12">
        <w:t>)</w:t>
      </w:r>
      <w:r w:rsidR="00D50363">
        <w:t xml:space="preserve">.  The ALJ provided a substantial discussion regarding the differences between representational </w:t>
      </w:r>
      <w:r w:rsidR="00D50363">
        <w:lastRenderedPageBreak/>
        <w:t>associations, such as trade associations</w:t>
      </w:r>
      <w:r w:rsidR="002102CE">
        <w:t>,</w:t>
      </w:r>
      <w:r w:rsidR="00D50363">
        <w:t xml:space="preserve"> and corporations.  She concluded that the standing of a sharehold</w:t>
      </w:r>
      <w:r w:rsidR="003C5E4F">
        <w:t xml:space="preserve">er, or member of a corporation, “will not translate into standing of the corporation itself.”  </w:t>
      </w:r>
      <w:r w:rsidR="003C5E4F" w:rsidRPr="003C5E4F">
        <w:rPr>
          <w:i/>
        </w:rPr>
        <w:t>Id</w:t>
      </w:r>
      <w:r w:rsidR="003C5E4F">
        <w:t>. at 9.</w:t>
      </w:r>
      <w:r w:rsidR="00D46448">
        <w:t xml:space="preserve">  The ALJ stated, “As an entity independent of its representational capacity, a corporation must itself have standing to intervene in a proceeding.”  </w:t>
      </w:r>
      <w:r w:rsidR="00237C11" w:rsidRPr="00237C11">
        <w:rPr>
          <w:i/>
        </w:rPr>
        <w:t>Id</w:t>
      </w:r>
      <w:r w:rsidR="00D46448">
        <w:t>.</w:t>
      </w:r>
    </w:p>
    <w:p w:rsidR="00D46448" w:rsidRDefault="00D46448" w:rsidP="001B44D5">
      <w:pPr>
        <w:spacing w:line="360" w:lineRule="auto"/>
      </w:pPr>
    </w:p>
    <w:p w:rsidR="00D46448" w:rsidRDefault="00D46448" w:rsidP="001B44D5">
      <w:pPr>
        <w:spacing w:line="360" w:lineRule="auto"/>
      </w:pPr>
      <w:r>
        <w:tab/>
      </w:r>
      <w:r>
        <w:tab/>
        <w:t xml:space="preserve">Noting that Section 5.72 of the Commission’s </w:t>
      </w:r>
      <w:r w:rsidR="00F94471">
        <w:t>R</w:t>
      </w:r>
      <w:r>
        <w:t xml:space="preserve">egulations (quoted above) require that an intervenor present some “interest” in the proceeding, the ALJ discussed </w:t>
      </w:r>
      <w:r w:rsidR="00090740">
        <w:t>what such an interest should be.  The ALJ stated that</w:t>
      </w:r>
      <w:r w:rsidR="00F97574">
        <w:t>,</w:t>
      </w:r>
      <w:r w:rsidR="00090740">
        <w:t xml:space="preserve"> to confer standing, that interest must “be a substantial, immediate and direct interest, as interpreted by Pennsylvania appellate courts . . . .”  I.D. at 9, </w:t>
      </w:r>
      <w:r w:rsidR="00090740" w:rsidRPr="002102CE">
        <w:rPr>
          <w:i/>
        </w:rPr>
        <w:t>citing</w:t>
      </w:r>
      <w:r w:rsidR="00090740">
        <w:t xml:space="preserve"> </w:t>
      </w:r>
      <w:r w:rsidR="008C73F6" w:rsidRPr="008C73F6">
        <w:rPr>
          <w:i/>
        </w:rPr>
        <w:t>William Penn Parking Garage v. City of Pittsburgh</w:t>
      </w:r>
      <w:r w:rsidR="00090740">
        <w:t>, 464 Pa. 168, 346 A.2d 269</w:t>
      </w:r>
      <w:r w:rsidR="000B6D35">
        <w:t xml:space="preserve"> (1975).  The ALJ observed that the following description guides the determination of whether an interest is substantial, immediate and direct:</w:t>
      </w:r>
    </w:p>
    <w:p w:rsidR="007541E9" w:rsidRDefault="007541E9" w:rsidP="000B6D35">
      <w:pPr>
        <w:ind w:left="1440" w:right="1440"/>
      </w:pPr>
    </w:p>
    <w:p w:rsidR="000B6D35" w:rsidRDefault="000B6D35" w:rsidP="000B6D35">
      <w:pPr>
        <w:ind w:left="1440" w:right="1440"/>
      </w:pPr>
      <w:r>
        <w:t xml:space="preserve">A “substantial” interest is an interest in the outcome of the litigation which surpasses the common interest of all citizens in procuring obedience to the law.  A “direct” interest requires a showing that the matter complained of </w:t>
      </w:r>
      <w:r w:rsidR="00F404A0">
        <w:t>caused</w:t>
      </w:r>
      <w:r>
        <w:t xml:space="preserve"> harm to the party’s interest.  An “immediate” interest involves the nature of the causal connection between the action complained of and the injury to the party challenging it and is shown where the interest the party seeks to protect is within the zone of interest sought to be protected by the statute or the constitutional guarantee in question.</w:t>
      </w:r>
    </w:p>
    <w:p w:rsidR="000B6D35" w:rsidRDefault="000B6D35" w:rsidP="000B6D35">
      <w:pPr>
        <w:ind w:left="1440" w:right="1440"/>
      </w:pPr>
    </w:p>
    <w:p w:rsidR="007541E9" w:rsidRDefault="007541E9" w:rsidP="000B6D35">
      <w:pPr>
        <w:ind w:left="1440" w:right="1440"/>
      </w:pPr>
    </w:p>
    <w:p w:rsidR="005420D0" w:rsidRDefault="000B6D35" w:rsidP="000B6D35">
      <w:pPr>
        <w:spacing w:line="360" w:lineRule="auto"/>
      </w:pPr>
      <w:r>
        <w:t xml:space="preserve">I.D. at 9-10, </w:t>
      </w:r>
      <w:r w:rsidRPr="005420D0">
        <w:rPr>
          <w:i/>
        </w:rPr>
        <w:t>citing George v. Pa. Public Utility Commission</w:t>
      </w:r>
      <w:r>
        <w:t>, 735 A.2d 1282 (Pa. Cmwlth. 1999).</w:t>
      </w:r>
    </w:p>
    <w:p w:rsidR="005420D0" w:rsidRDefault="005420D0" w:rsidP="000B6D35">
      <w:pPr>
        <w:spacing w:line="360" w:lineRule="auto"/>
      </w:pPr>
    </w:p>
    <w:p w:rsidR="005420D0" w:rsidRDefault="005420D0" w:rsidP="000B6D35">
      <w:pPr>
        <w:spacing w:line="360" w:lineRule="auto"/>
      </w:pPr>
      <w:r>
        <w:tab/>
      </w:r>
      <w:r>
        <w:tab/>
        <w:t xml:space="preserve">The ALJ </w:t>
      </w:r>
      <w:r w:rsidR="002102CE">
        <w:t>determined</w:t>
      </w:r>
      <w:r>
        <w:t xml:space="preserve"> the following with regard to PCOC:</w:t>
      </w:r>
    </w:p>
    <w:p w:rsidR="003875A3" w:rsidRDefault="003875A3" w:rsidP="005420D0">
      <w:pPr>
        <w:ind w:left="1440" w:right="1440"/>
      </w:pPr>
    </w:p>
    <w:p w:rsidR="005420D0" w:rsidRDefault="005420D0" w:rsidP="005420D0">
      <w:pPr>
        <w:ind w:left="1440" w:right="1440"/>
      </w:pPr>
      <w:r>
        <w:t xml:space="preserve">PCOC admits that it has no office in PPL Electric’s service territory, and is not a customer of PPL Electric.  PCOC claims </w:t>
      </w:r>
      <w:r>
        <w:lastRenderedPageBreak/>
        <w:t xml:space="preserve">no interest other than that of those individuals which have “joined” and it states are its “members.”  The pleadings filed by PCOC indicate that its purpose is to represent the interests of low-income customers of utilities, and while the Commission encourages the participation of low-income customers, PCOC is not a low-income customer but is an independent legal entity with no ties to the PPL Electric service territory to justify a finding of standing.  PCOC has failed to sustain its burden of proving its entitlement to standing to participate in this Commission proceeding. </w:t>
      </w:r>
    </w:p>
    <w:p w:rsidR="005420D0" w:rsidRDefault="005420D0" w:rsidP="005420D0">
      <w:pPr>
        <w:spacing w:line="360" w:lineRule="auto"/>
      </w:pPr>
    </w:p>
    <w:p w:rsidR="005420D0" w:rsidRDefault="005420D0" w:rsidP="005420D0">
      <w:pPr>
        <w:spacing w:line="360" w:lineRule="auto"/>
      </w:pPr>
      <w:r>
        <w:t>I.D. at 10.</w:t>
      </w:r>
    </w:p>
    <w:p w:rsidR="002102CE" w:rsidRDefault="002102CE" w:rsidP="005420D0">
      <w:pPr>
        <w:spacing w:line="360" w:lineRule="auto"/>
      </w:pPr>
    </w:p>
    <w:p w:rsidR="002102CE" w:rsidRDefault="002102CE" w:rsidP="005420D0">
      <w:pPr>
        <w:spacing w:line="360" w:lineRule="auto"/>
      </w:pPr>
      <w:r>
        <w:tab/>
      </w:r>
      <w:r>
        <w:tab/>
        <w:t xml:space="preserve">For the reasons stated above, the ALJ held that PCOC lacked standing to participate in this proceeding and denied the Petition to Intervene.  </w:t>
      </w:r>
    </w:p>
    <w:p w:rsidR="002102CE" w:rsidRDefault="002102CE" w:rsidP="005420D0">
      <w:pPr>
        <w:spacing w:line="360" w:lineRule="auto"/>
      </w:pPr>
    </w:p>
    <w:p w:rsidR="002102CE" w:rsidRDefault="002102CE" w:rsidP="005420D0">
      <w:pPr>
        <w:spacing w:line="360" w:lineRule="auto"/>
        <w:rPr>
          <w:b/>
        </w:rPr>
      </w:pPr>
      <w:r w:rsidRPr="002102CE">
        <w:rPr>
          <w:b/>
        </w:rPr>
        <w:t>Exceptions</w:t>
      </w:r>
    </w:p>
    <w:p w:rsidR="00FE7C94" w:rsidRDefault="00FE7C94" w:rsidP="005420D0">
      <w:pPr>
        <w:spacing w:line="360" w:lineRule="auto"/>
        <w:rPr>
          <w:b/>
        </w:rPr>
      </w:pPr>
    </w:p>
    <w:p w:rsidR="001335E0" w:rsidRDefault="00FE7C94" w:rsidP="005420D0">
      <w:pPr>
        <w:spacing w:line="360" w:lineRule="auto"/>
      </w:pPr>
      <w:r>
        <w:rPr>
          <w:b/>
        </w:rPr>
        <w:tab/>
      </w:r>
      <w:r>
        <w:rPr>
          <w:b/>
        </w:rPr>
        <w:tab/>
      </w:r>
      <w:r>
        <w:t xml:space="preserve">PCOC filed three Exceptions to the Initial Decision.  First, PCOC argues that the ALJ erred by finding that PCOC, as a corporation, must have standing independent of its members in order to intervene in this proceeding.  PCOC’s second Exception asserts that the ALJ erred by finding that PCOC failed to prove that it has a direct, substantial and immediate interest in this proceeding so as to justify standing.  PCOC’s third Exception argues that the ALJ erred by failing to find that PCOC’s participation in this matter would be in the public interest and </w:t>
      </w:r>
      <w:r w:rsidR="001E0B3F">
        <w:t>i</w:t>
      </w:r>
      <w:r w:rsidR="00025C81">
        <w:t xml:space="preserve">s appropriate pursuant to the Commission’s </w:t>
      </w:r>
      <w:r w:rsidR="001E0B3F">
        <w:t>R</w:t>
      </w:r>
      <w:r w:rsidR="00025C81">
        <w:t>egulation at 52 Pa. Code § 5.72(a)(3).</w:t>
      </w:r>
      <w:r w:rsidR="00BF27AF">
        <w:t xml:space="preserve">  </w:t>
      </w:r>
    </w:p>
    <w:p w:rsidR="001335E0" w:rsidRDefault="001335E0" w:rsidP="005420D0">
      <w:pPr>
        <w:spacing w:line="360" w:lineRule="auto"/>
      </w:pPr>
    </w:p>
    <w:p w:rsidR="008F1C50" w:rsidRDefault="001335E0" w:rsidP="005420D0">
      <w:pPr>
        <w:spacing w:line="360" w:lineRule="auto"/>
      </w:pPr>
      <w:r>
        <w:tab/>
      </w:r>
      <w:r>
        <w:tab/>
      </w:r>
      <w:r w:rsidR="003A37A8">
        <w:t xml:space="preserve">In support of its first Exception, PCOC argues that the ALJ erred when she focused on the structural form of PCOC, a nonprofit corporation, and distinguished that form from a trade association for purposes of determining representational standing.  PCOC Exc. at 5.  PCOC </w:t>
      </w:r>
      <w:r w:rsidR="00A30CA3">
        <w:t xml:space="preserve">asserts that the determination of representational standing does not hinge on the business form of an entity, but rather on the interests of its members </w:t>
      </w:r>
      <w:r w:rsidR="00A30CA3">
        <w:lastRenderedPageBreak/>
        <w:t xml:space="preserve">which it seeks to represent.  </w:t>
      </w:r>
      <w:r w:rsidR="002063D4" w:rsidRPr="002063D4">
        <w:rPr>
          <w:i/>
        </w:rPr>
        <w:t>Id</w:t>
      </w:r>
      <w:r w:rsidR="00A30CA3">
        <w:t>.  PCOC identifies several examples of entities permitted to intervene in proceedings before the Commission based upon representational standing which, in fact, are co</w:t>
      </w:r>
      <w:r w:rsidR="00A643BD">
        <w:t>r</w:t>
      </w:r>
      <w:r w:rsidR="00A30CA3">
        <w:t>porations.  PCOC points to the Pennsylvania Telephone Association</w:t>
      </w:r>
      <w:r w:rsidR="008F1C50">
        <w:t xml:space="preserve"> and the Independent Oil and Gas Association of Pennsylvania as corporate entities granted intervention based upon representational standing.  </w:t>
      </w:r>
      <w:r w:rsidR="002063D4" w:rsidRPr="002063D4">
        <w:rPr>
          <w:i/>
        </w:rPr>
        <w:t>Id</w:t>
      </w:r>
      <w:r w:rsidR="008F1C50">
        <w:t>. at 7.</w:t>
      </w:r>
    </w:p>
    <w:p w:rsidR="008F1C50" w:rsidRDefault="008F1C50" w:rsidP="005420D0">
      <w:pPr>
        <w:spacing w:line="360" w:lineRule="auto"/>
      </w:pPr>
    </w:p>
    <w:p w:rsidR="0054591D" w:rsidRDefault="008F1C50" w:rsidP="005420D0">
      <w:pPr>
        <w:spacing w:line="360" w:lineRule="auto"/>
      </w:pPr>
      <w:r>
        <w:tab/>
      </w:r>
      <w:r w:rsidR="00193C7F">
        <w:tab/>
        <w:t xml:space="preserve">In its second Exception, PCOC argues that the ALJ </w:t>
      </w:r>
      <w:r w:rsidR="00A643BD">
        <w:t xml:space="preserve">erred in </w:t>
      </w:r>
      <w:r w:rsidR="00193C7F">
        <w:t>conclud</w:t>
      </w:r>
      <w:r w:rsidR="00A643BD">
        <w:t>ing</w:t>
      </w:r>
      <w:r w:rsidR="00193C7F">
        <w:t xml:space="preserve"> that PCOC </w:t>
      </w:r>
      <w:r w:rsidR="00080E2A">
        <w:t>failed to show that it has an interest in this proceeding that is direct, substantial and immediate sufficient to justify intervention.  PCOC argues that this proceeding will substantial</w:t>
      </w:r>
      <w:r w:rsidR="00C32F4F">
        <w:t>ly</w:t>
      </w:r>
      <w:r w:rsidR="00080E2A">
        <w:t xml:space="preserve"> </w:t>
      </w:r>
      <w:r w:rsidR="00806A22">
        <w:t>a</w:t>
      </w:r>
      <w:r w:rsidR="00080E2A">
        <w:t xml:space="preserve">ffect PPL’s Universal Service design.  PCOC also asserts that many of its members participate in or are potentially eligible to participate in PPL’s Universal Service Program.  </w:t>
      </w:r>
      <w:r w:rsidR="002B7FA9">
        <w:t xml:space="preserve">In addition, PCOC argues that many of its members are regular PPL customers.  Those customers, as well as PCOC members who participate in or may participate in PPL’s Universal Service Program will be directly impacted by the results of this proceeding.  PCOC Exc. at 8-9.  PCOC argues that given the nature of its </w:t>
      </w:r>
      <w:r w:rsidR="00AC4C2B">
        <w:t>membership</w:t>
      </w:r>
      <w:r w:rsidR="002B7FA9">
        <w:t xml:space="preserve"> and their interests in this proceeding, PCOC should have been permitted to intervene in a rep</w:t>
      </w:r>
      <w:r w:rsidR="00B82A86">
        <w:t>re</w:t>
      </w:r>
      <w:r w:rsidR="002B7FA9">
        <w:t>sentational capacity on their behalf.</w:t>
      </w:r>
    </w:p>
    <w:p w:rsidR="0054591D" w:rsidRDefault="0054591D" w:rsidP="005420D0">
      <w:pPr>
        <w:spacing w:line="360" w:lineRule="auto"/>
      </w:pPr>
    </w:p>
    <w:p w:rsidR="00025C81" w:rsidRDefault="0054591D" w:rsidP="005420D0">
      <w:pPr>
        <w:spacing w:line="360" w:lineRule="auto"/>
      </w:pPr>
      <w:r>
        <w:tab/>
      </w:r>
      <w:r>
        <w:tab/>
        <w:t>PCOC also argues that it should have been granted standing on the basis of 52 Pa. Code § 5.72(a)</w:t>
      </w:r>
      <w:r w:rsidR="009A5666">
        <w:t>(3)</w:t>
      </w:r>
      <w:r>
        <w:t>, relating to an interest which is of such nature that participation is in the public interest.  PCOC argues that its mission is to advocate on behalf of low and lower income persons on issues such as access to and affordability of ut</w:t>
      </w:r>
      <w:r w:rsidR="00D76FFD">
        <w:t xml:space="preserve">ility service.   PCOC further states that no other Party in the proceeding has indicated a similar intent, specifically noting that the OCA represents all </w:t>
      </w:r>
      <w:r w:rsidR="009A5666">
        <w:t xml:space="preserve">residential </w:t>
      </w:r>
      <w:r w:rsidR="00D76FFD">
        <w:t>ratepayer</w:t>
      </w:r>
      <w:r w:rsidR="009A5666">
        <w:t>s</w:t>
      </w:r>
      <w:r w:rsidR="00D76FFD">
        <w:t>, not low-income ratepayers exclusively.  Given that this proceeding will have substantial and direct impacts on PPL’s Universal Service Program, PCOC argues that the public interest supports PCOC’s intervention as the one entity which will exclusively represent the interests of low income ratepayers.  PCOC Exc. at 9-12.</w:t>
      </w:r>
      <w:r w:rsidR="00BF27AF">
        <w:br/>
      </w:r>
    </w:p>
    <w:p w:rsidR="00025C81" w:rsidRDefault="00025C81" w:rsidP="005420D0">
      <w:pPr>
        <w:spacing w:line="360" w:lineRule="auto"/>
      </w:pPr>
      <w:r>
        <w:lastRenderedPageBreak/>
        <w:tab/>
      </w:r>
      <w:r>
        <w:tab/>
        <w:t>The OCA filed a single Exception which asserts that the ALJ erred by finding that a corporation must, itself, have ties to the matter being litigated sufficient to provide the direct, substantial and immediate interest necessary to confer standing.  The OCA argues that it is an error of law to conclude that a corporation cannot act in a representative capacity on behalf of its members.</w:t>
      </w:r>
      <w:r w:rsidR="001335E0">
        <w:t xml:space="preserve">  On that basis, the OCA argues that the ALJ erred by failing to recognize that PCOC had standing and by denying the Petition to Intervene.</w:t>
      </w:r>
    </w:p>
    <w:p w:rsidR="00F16D80" w:rsidRDefault="00F16D80" w:rsidP="005420D0">
      <w:pPr>
        <w:spacing w:line="360" w:lineRule="auto"/>
      </w:pPr>
    </w:p>
    <w:p w:rsidR="00546817" w:rsidRDefault="00F16D80" w:rsidP="005420D0">
      <w:pPr>
        <w:spacing w:line="360" w:lineRule="auto"/>
      </w:pPr>
      <w:r>
        <w:tab/>
      </w:r>
      <w:r>
        <w:tab/>
      </w:r>
      <w:r w:rsidR="00355D2F">
        <w:t xml:space="preserve">The OCA also argues that PCOC should have been granted standing under the public interest standard found in 52 Pa. Code § 5.72(a)(3).  </w:t>
      </w:r>
      <w:r w:rsidR="00563489">
        <w:t xml:space="preserve">The OCA asserts that “the Commission frequently permits participation of a wide variety of non-profit corporate entities that do not have direct links to utility service territories (apart from their mission and membership) as the participation of these entities in these proceedings furthers the public interest.”  OCA Exc. at 4.  </w:t>
      </w:r>
      <w:r w:rsidR="00676BAC">
        <w:t xml:space="preserve">The OCA points to the Retail Energy Supply Association and Citizens for </w:t>
      </w:r>
      <w:r w:rsidR="00F404A0">
        <w:t>Pennsylvania’s</w:t>
      </w:r>
      <w:r w:rsidR="00676BAC">
        <w:t xml:space="preserve"> Future, the Sierra Club, </w:t>
      </w:r>
      <w:r w:rsidR="00806A22">
        <w:t xml:space="preserve">the </w:t>
      </w:r>
      <w:r w:rsidR="00676BAC">
        <w:t>A</w:t>
      </w:r>
      <w:r w:rsidR="00806A22">
        <w:t>A</w:t>
      </w:r>
      <w:r w:rsidR="00676BAC">
        <w:t xml:space="preserve">RP, </w:t>
      </w:r>
      <w:r w:rsidR="00806A22">
        <w:t xml:space="preserve">the </w:t>
      </w:r>
      <w:r w:rsidR="00676BAC">
        <w:t>Pennsylvania Independent Oil and Gas Association</w:t>
      </w:r>
      <w:r w:rsidR="00EF4870">
        <w:t xml:space="preserve"> and the Energy Conservation Council</w:t>
      </w:r>
      <w:r w:rsidR="009A6A28">
        <w:t xml:space="preserve"> as examples of incorporated entities which have been granted intervenor status</w:t>
      </w:r>
      <w:r w:rsidR="00676BAC">
        <w:t>.  OCA Exc. at 4</w:t>
      </w:r>
      <w:r w:rsidR="00EF4870">
        <w:t>-5</w:t>
      </w:r>
      <w:r w:rsidR="00676BAC">
        <w:t xml:space="preserve">.  </w:t>
      </w:r>
      <w:r w:rsidR="009A6A28">
        <w:t xml:space="preserve"> </w:t>
      </w:r>
    </w:p>
    <w:p w:rsidR="00546817" w:rsidRDefault="00546817" w:rsidP="005420D0">
      <w:pPr>
        <w:spacing w:line="360" w:lineRule="auto"/>
      </w:pPr>
    </w:p>
    <w:p w:rsidR="003D1DEE" w:rsidRDefault="00546817" w:rsidP="005420D0">
      <w:pPr>
        <w:spacing w:line="360" w:lineRule="auto"/>
      </w:pPr>
      <w:r>
        <w:tab/>
      </w:r>
      <w:r>
        <w:tab/>
        <w:t xml:space="preserve">The OCA also submits that the ALJ has taken a very narrow reading of the intervention standards and fails to recognize the flexibility and discretion afforded the Commission on intervention issues.  Noting that intervention is a matter of discretion for the Commission, the OCA asserts that PCOC is uniquely positioned to address the issues presented in this case because of its membership and stated interest relating to low income ratepayers.  </w:t>
      </w:r>
      <w:r w:rsidR="007F09A7">
        <w:t>Accordingly, the OCA argues that PCOC’s Petition to Intervene in this matter should have been granted.  OCA Exc. at 5-8.</w:t>
      </w:r>
    </w:p>
    <w:p w:rsidR="00806A22" w:rsidRDefault="00806A22" w:rsidP="005420D0">
      <w:pPr>
        <w:spacing w:line="360" w:lineRule="auto"/>
      </w:pPr>
    </w:p>
    <w:p w:rsidR="00D80B79" w:rsidRDefault="003D1DEE" w:rsidP="005420D0">
      <w:pPr>
        <w:spacing w:line="360" w:lineRule="auto"/>
      </w:pPr>
      <w:r>
        <w:tab/>
      </w:r>
      <w:r>
        <w:tab/>
        <w:t>PPL responds to both the OCA and P</w:t>
      </w:r>
      <w:r w:rsidR="006B26B5">
        <w:t>C</w:t>
      </w:r>
      <w:r>
        <w:t>OC and</w:t>
      </w:r>
      <w:r w:rsidR="006B26B5">
        <w:t xml:space="preserve"> argues that it is unclear whether PCOC actually has “members,” or that any of the persons donating to PCOC </w:t>
      </w:r>
      <w:r w:rsidR="006B26B5">
        <w:lastRenderedPageBreak/>
        <w:t xml:space="preserve">have any rights in the direction, control or actions of PCOC.  PPL R.Exc. at 5-6.  PPL responds to the OCA and PCOC’s examples of previous interventions by nonprofit corporations and asserts that it is unclear whether those interventions were opposed.  PPL argues that once it opposed PCOC’s intervention, PCOC was required to </w:t>
      </w:r>
      <w:r w:rsidR="00D80B79">
        <w:t xml:space="preserve">show that it has standing regardless of the examples raised in their Exceptions.  </w:t>
      </w:r>
      <w:r w:rsidR="002063D4" w:rsidRPr="002063D4">
        <w:rPr>
          <w:i/>
        </w:rPr>
        <w:t>Id.</w:t>
      </w:r>
      <w:r w:rsidR="00D80B79">
        <w:t xml:space="preserve"> at 6-8.  According to PPL, PCOC has failed to establish that it has members under Pennsylvania law sufficient to confer standing.  </w:t>
      </w:r>
      <w:r w:rsidR="002063D4" w:rsidRPr="002063D4">
        <w:rPr>
          <w:i/>
        </w:rPr>
        <w:t>Id</w:t>
      </w:r>
      <w:r w:rsidR="00D80B79">
        <w:t>. at 8.</w:t>
      </w:r>
    </w:p>
    <w:p w:rsidR="00D80B79" w:rsidRDefault="00D80B79" w:rsidP="005420D0">
      <w:pPr>
        <w:spacing w:line="360" w:lineRule="auto"/>
      </w:pPr>
    </w:p>
    <w:p w:rsidR="003D1DEE" w:rsidRDefault="00D80B79" w:rsidP="005420D0">
      <w:pPr>
        <w:spacing w:line="360" w:lineRule="auto"/>
      </w:pPr>
      <w:r>
        <w:tab/>
      </w:r>
      <w:r>
        <w:tab/>
      </w:r>
      <w:r w:rsidR="00883514">
        <w:t xml:space="preserve">PPL also argues that PCOC has failed to provide a list of its members as required by 52 Pa. Code § 5.73(b).  </w:t>
      </w:r>
      <w:r w:rsidR="000708D0">
        <w:t xml:space="preserve">PPL </w:t>
      </w:r>
      <w:r w:rsidR="007508BD">
        <w:t xml:space="preserve">further </w:t>
      </w:r>
      <w:r w:rsidR="000708D0">
        <w:t xml:space="preserve">argues that PCOC fails to meet the public interest test of Section 5.73(a)(3) of our Regulations because it is unclear whether PCOC has members as defined under </w:t>
      </w:r>
      <w:r w:rsidR="00CE5E55">
        <w:t>Pennsylvania law, whether those members have authorized PCOC’s participation in this proceeding and whether PCOC exclusively represents low income ratepayer interests.  PPL Exc. at 8-13.</w:t>
      </w:r>
      <w:r>
        <w:t xml:space="preserve">  </w:t>
      </w:r>
    </w:p>
    <w:p w:rsidR="00BF27AF" w:rsidRDefault="00BF27AF" w:rsidP="005420D0">
      <w:pPr>
        <w:spacing w:line="360" w:lineRule="auto"/>
      </w:pPr>
    </w:p>
    <w:p w:rsidR="00BF27AF" w:rsidRPr="00BF27AF" w:rsidRDefault="00BF27AF" w:rsidP="005420D0">
      <w:pPr>
        <w:spacing w:line="360" w:lineRule="auto"/>
        <w:rPr>
          <w:b/>
        </w:rPr>
      </w:pPr>
      <w:r w:rsidRPr="00BF27AF">
        <w:rPr>
          <w:b/>
        </w:rPr>
        <w:t>Disposition</w:t>
      </w:r>
    </w:p>
    <w:p w:rsidR="00B940AA" w:rsidRDefault="00B940AA" w:rsidP="005420D0">
      <w:pPr>
        <w:spacing w:line="360" w:lineRule="auto"/>
      </w:pPr>
    </w:p>
    <w:p w:rsidR="00B940AA" w:rsidRDefault="00B940AA" w:rsidP="005420D0">
      <w:pPr>
        <w:spacing w:line="360" w:lineRule="auto"/>
      </w:pPr>
      <w:r>
        <w:tab/>
      </w:r>
      <w:r>
        <w:tab/>
        <w:t xml:space="preserve">In our view, the Initial Decision is in error </w:t>
      </w:r>
      <w:r w:rsidR="004B6836">
        <w:t>to the extent that it holds that</w:t>
      </w:r>
      <w:r>
        <w:t xml:space="preserve"> a corporation “must, itself, as a corporation, have standing to intervene.”  I.D. at 8.  We agree with the arguments of both the OCA and PCOC that this holding fails to consider a wide range of interventions granted by this Commission in the past.  </w:t>
      </w:r>
      <w:r w:rsidR="0007073B">
        <w:t>A recent appellate case discussed standing in the context of whether an appellant was an aggrieved party and, therefore, had standing to appeal.  During the course of that discussion, the Commonwealth Court stated:</w:t>
      </w:r>
    </w:p>
    <w:p w:rsidR="00B215AB" w:rsidRDefault="00B215AB" w:rsidP="008C5DE3">
      <w:pPr>
        <w:ind w:left="1440" w:right="1440"/>
      </w:pPr>
    </w:p>
    <w:p w:rsidR="0007073B" w:rsidRDefault="0007073B" w:rsidP="008C5DE3">
      <w:pPr>
        <w:ind w:left="1440" w:right="1440"/>
      </w:pPr>
      <w:r>
        <w:t xml:space="preserve">An association may have standing as a representative of its members.  </w:t>
      </w:r>
      <w:r w:rsidRPr="008C5DE3">
        <w:rPr>
          <w:i/>
        </w:rPr>
        <w:t>Tripps Park v. Pa. Public Utility Commission</w:t>
      </w:r>
      <w:r>
        <w:t>, 415 A.2d 967 (Pa. Comwlth. 1980).  Thus as long as an organization has at least one member who has or will suffer a direct, immediate, and substantial injury</w:t>
      </w:r>
      <w:r w:rsidR="00B311F5">
        <w:t xml:space="preserve"> to an interest as a result of the challenged action</w:t>
      </w:r>
      <w:r w:rsidR="002B4B4E">
        <w:t>, [</w:t>
      </w:r>
      <w:r w:rsidR="00B311F5" w:rsidRPr="00871418">
        <w:rPr>
          <w:i/>
        </w:rPr>
        <w:t>i.e</w:t>
      </w:r>
      <w:r w:rsidR="00B311F5">
        <w:t xml:space="preserve">., is aggrieved, the </w:t>
      </w:r>
      <w:r w:rsidR="00B311F5">
        <w:lastRenderedPageBreak/>
        <w:t xml:space="preserve">organization] has standing.  </w:t>
      </w:r>
      <w:r w:rsidR="00B311F5" w:rsidRPr="008C5DE3">
        <w:rPr>
          <w:i/>
        </w:rPr>
        <w:t>Parents United for Better Schools v. School District of Philadelphia</w:t>
      </w:r>
      <w:r w:rsidR="00B311F5">
        <w:t xml:space="preserve">, 614 A.2d 689 (Pa. Cmwlth. 1994) (PUBS).  For example, in PUBS, this Court held that a group of individuals, including parents of high school students, incorporated to challenge the implementation of a new school district policy making condoms available at school-based health clinics upon request of high school students, had standing because at least one </w:t>
      </w:r>
      <w:r w:rsidR="00C55A61">
        <w:t xml:space="preserve">of </w:t>
      </w:r>
      <w:r w:rsidR="00B311F5">
        <w:t xml:space="preserve">its members would be aggrieved by the school district’s actions.  </w:t>
      </w:r>
      <w:r w:rsidR="00B311F5" w:rsidRPr="00B311F5">
        <w:rPr>
          <w:i/>
        </w:rPr>
        <w:t>Id</w:t>
      </w:r>
      <w:r w:rsidR="00B311F5">
        <w:t xml:space="preserve">. Similarly, in </w:t>
      </w:r>
      <w:r w:rsidR="00237C11" w:rsidRPr="00237C11">
        <w:rPr>
          <w:i/>
        </w:rPr>
        <w:t>Tripps Park</w:t>
      </w:r>
      <w:r w:rsidR="00B311F5">
        <w:t>, we held that an organization of Pennsylvania Gas and Water customers and rate-payers</w:t>
      </w:r>
      <w:r w:rsidR="008C5DE3">
        <w:t xml:space="preserve">, had standing “even in the absence of injury to itself . . . solely as the representative of its members.”  </w:t>
      </w:r>
      <w:r w:rsidR="008C5DE3" w:rsidRPr="008C5DE3">
        <w:rPr>
          <w:i/>
        </w:rPr>
        <w:t>Tripps Park</w:t>
      </w:r>
      <w:r w:rsidR="008C5DE3">
        <w:t>, 415 A.2d at 970.</w:t>
      </w:r>
    </w:p>
    <w:p w:rsidR="008C5DE3" w:rsidRDefault="008C5DE3" w:rsidP="008C5DE3">
      <w:pPr>
        <w:spacing w:line="360" w:lineRule="auto"/>
      </w:pPr>
    </w:p>
    <w:p w:rsidR="00ED074F" w:rsidRDefault="008C5DE3" w:rsidP="008C5DE3">
      <w:pPr>
        <w:spacing w:line="360" w:lineRule="auto"/>
      </w:pPr>
      <w:r w:rsidRPr="00E5754D">
        <w:rPr>
          <w:i/>
        </w:rPr>
        <w:t>Energy Conservation Council of Pennsylvania v. Pa. Public Utility Commission</w:t>
      </w:r>
      <w:r w:rsidR="0088217D">
        <w:t>, 995 A.</w:t>
      </w:r>
      <w:r>
        <w:t>2d 445</w:t>
      </w:r>
      <w:r w:rsidR="00CD17FC">
        <w:t>, 476 (Pa. Cmwlth. 2010)</w:t>
      </w:r>
      <w:r w:rsidR="00802881">
        <w:t>,</w:t>
      </w:r>
      <w:r w:rsidR="00871418">
        <w:t xml:space="preserve"> </w:t>
      </w:r>
      <w:r w:rsidR="00871418" w:rsidRPr="00871418">
        <w:rPr>
          <w:i/>
        </w:rPr>
        <w:t>reargument denied</w:t>
      </w:r>
      <w:r w:rsidR="00802881">
        <w:t>,</w:t>
      </w:r>
      <w:r w:rsidR="00E5754D">
        <w:t xml:space="preserve"> 2010 Pa. Commw. LEXIS 318 (Pa. Cmwlth. 2010)</w:t>
      </w:r>
      <w:r w:rsidR="00B215AB">
        <w:t xml:space="preserve"> (</w:t>
      </w:r>
      <w:r w:rsidR="00B215AB" w:rsidRPr="00ED074F">
        <w:rPr>
          <w:i/>
        </w:rPr>
        <w:t>ECC</w:t>
      </w:r>
      <w:r w:rsidR="00B215AB">
        <w:t>)</w:t>
      </w:r>
      <w:r w:rsidR="00E5754D">
        <w:t>.</w:t>
      </w:r>
    </w:p>
    <w:p w:rsidR="00ED074F" w:rsidRDefault="00ED074F" w:rsidP="008C5DE3">
      <w:pPr>
        <w:spacing w:line="360" w:lineRule="auto"/>
      </w:pPr>
    </w:p>
    <w:p w:rsidR="00ED074F" w:rsidRDefault="00ED074F" w:rsidP="008C5DE3">
      <w:pPr>
        <w:spacing w:line="360" w:lineRule="auto"/>
      </w:pPr>
      <w:r>
        <w:tab/>
      </w:r>
      <w:r>
        <w:tab/>
        <w:t xml:space="preserve">We find it instructive that the Commonwealth Court in </w:t>
      </w:r>
      <w:r w:rsidRPr="00C55A61">
        <w:rPr>
          <w:i/>
        </w:rPr>
        <w:t>ECC</w:t>
      </w:r>
      <w:r>
        <w:t xml:space="preserve"> discussed both an association (Tripps Park) and a not-for-profit corporation (</w:t>
      </w:r>
      <w:r w:rsidR="00C55A61">
        <w:t>Parents United for Better Schools) without distinction regarding whether the entity itself could act in a representational capacity or must have standing independent of its members.  This is contrary to the discussion found in the Initial Decision</w:t>
      </w:r>
      <w:r w:rsidR="00BF27AF">
        <w:t xml:space="preserve"> under review</w:t>
      </w:r>
      <w:r w:rsidR="00C55A61">
        <w:t xml:space="preserve">.  The clear holding of </w:t>
      </w:r>
      <w:r w:rsidR="00C55A61" w:rsidRPr="00C55A61">
        <w:rPr>
          <w:i/>
        </w:rPr>
        <w:t>ECC</w:t>
      </w:r>
      <w:r w:rsidR="00C55A61">
        <w:t xml:space="preserve"> is that not-for-profit corporations can act in a representative capacity “</w:t>
      </w:r>
      <w:r w:rsidR="00882982">
        <w:t xml:space="preserve">if at least one of its members would be aggrieved” by the matter at hand.  </w:t>
      </w:r>
      <w:r w:rsidR="0088217D">
        <w:rPr>
          <w:i/>
        </w:rPr>
        <w:t>ECC</w:t>
      </w:r>
      <w:r w:rsidR="0088217D">
        <w:t>, 995 A.2d 445, 476.</w:t>
      </w:r>
    </w:p>
    <w:p w:rsidR="0088217D" w:rsidRDefault="0088217D" w:rsidP="008C5DE3">
      <w:pPr>
        <w:spacing w:line="360" w:lineRule="auto"/>
      </w:pPr>
    </w:p>
    <w:p w:rsidR="00F902BD" w:rsidRDefault="0088217D" w:rsidP="0030641D">
      <w:pPr>
        <w:spacing w:line="360" w:lineRule="auto"/>
        <w:rPr>
          <w:color w:val="333333"/>
        </w:rPr>
      </w:pPr>
      <w:r>
        <w:tab/>
      </w:r>
      <w:r>
        <w:tab/>
        <w:t xml:space="preserve">The Commonwealth Court in </w:t>
      </w:r>
      <w:r w:rsidRPr="0088217D">
        <w:rPr>
          <w:i/>
        </w:rPr>
        <w:t>ECC</w:t>
      </w:r>
      <w:r>
        <w:t xml:space="preserve"> cited </w:t>
      </w:r>
      <w:r w:rsidR="008B5582" w:rsidRPr="00ED074F">
        <w:rPr>
          <w:i/>
          <w:iCs/>
          <w:color w:val="333333"/>
        </w:rPr>
        <w:t>Concerned Taxpayers v. Commonwealth</w:t>
      </w:r>
      <w:r w:rsidR="008B5582" w:rsidRPr="00ED074F">
        <w:rPr>
          <w:color w:val="333333"/>
        </w:rPr>
        <w:t>, 382 A.2d 490</w:t>
      </w:r>
      <w:r w:rsidR="00ED074F">
        <w:rPr>
          <w:color w:val="333333"/>
        </w:rPr>
        <w:t xml:space="preserve"> </w:t>
      </w:r>
      <w:r w:rsidR="008B5582" w:rsidRPr="00ED074F">
        <w:rPr>
          <w:color w:val="333333"/>
        </w:rPr>
        <w:t>(</w:t>
      </w:r>
      <w:r w:rsidR="00ED074F">
        <w:rPr>
          <w:color w:val="333333"/>
        </w:rPr>
        <w:t xml:space="preserve">Pa. Cmwlth. </w:t>
      </w:r>
      <w:r w:rsidR="008B5582" w:rsidRPr="00ED074F">
        <w:rPr>
          <w:color w:val="333333"/>
        </w:rPr>
        <w:t>1978),</w:t>
      </w:r>
      <w:r>
        <w:rPr>
          <w:color w:val="333333"/>
        </w:rPr>
        <w:t xml:space="preserve"> in reaching its result.  </w:t>
      </w:r>
      <w:r w:rsidRPr="0088217D">
        <w:rPr>
          <w:i/>
          <w:color w:val="333333"/>
        </w:rPr>
        <w:t>Concerned Taxpayers</w:t>
      </w:r>
      <w:r>
        <w:rPr>
          <w:color w:val="333333"/>
        </w:rPr>
        <w:t xml:space="preserve"> involved a not-for-profit corporation which endeavored to act in a representational capacity on behalf of its members.  There, the Commonwealth Court also held that </w:t>
      </w:r>
      <w:r w:rsidR="003735FB">
        <w:rPr>
          <w:color w:val="333333"/>
        </w:rPr>
        <w:t xml:space="preserve">a not-for-profit corporation could act in a representational capacity, provided </w:t>
      </w:r>
      <w:r w:rsidR="003735FB">
        <w:rPr>
          <w:color w:val="333333"/>
        </w:rPr>
        <w:lastRenderedPageBreak/>
        <w:t>that the requisites for standing, an interest that is direct, substantial and immediate, are present on the part of its members.</w:t>
      </w:r>
    </w:p>
    <w:p w:rsidR="00082DEA" w:rsidRDefault="00082DEA" w:rsidP="0030641D">
      <w:pPr>
        <w:spacing w:line="360" w:lineRule="auto"/>
        <w:rPr>
          <w:color w:val="333333"/>
        </w:rPr>
      </w:pPr>
    </w:p>
    <w:p w:rsidR="00082DEA" w:rsidRDefault="00082DEA" w:rsidP="0030641D">
      <w:pPr>
        <w:spacing w:line="360" w:lineRule="auto"/>
        <w:rPr>
          <w:color w:val="333333"/>
        </w:rPr>
      </w:pPr>
      <w:r>
        <w:rPr>
          <w:color w:val="333333"/>
        </w:rPr>
        <w:tab/>
      </w:r>
      <w:r>
        <w:rPr>
          <w:color w:val="333333"/>
        </w:rPr>
        <w:tab/>
        <w:t xml:space="preserve">This Commission has also addressed the issue of representational standing on the part of not-for-profit corporations.  In </w:t>
      </w:r>
      <w:r w:rsidR="002063D4" w:rsidRPr="002063D4">
        <w:rPr>
          <w:i/>
          <w:color w:val="333333"/>
        </w:rPr>
        <w:t>Pa. Public Utility Commission v. Columbia Gas of Pennsylvania, et al</w:t>
      </w:r>
      <w:r>
        <w:rPr>
          <w:color w:val="333333"/>
        </w:rPr>
        <w:t>., R-00049783C0001-C0007 (Order entered November 4, 2005), we stated:</w:t>
      </w:r>
    </w:p>
    <w:p w:rsidR="007712C8" w:rsidRDefault="00082DEA">
      <w:pPr>
        <w:ind w:left="1440" w:right="1440"/>
        <w:rPr>
          <w:color w:val="333333"/>
        </w:rPr>
      </w:pPr>
      <w:r>
        <w:rPr>
          <w:color w:val="333333"/>
        </w:rPr>
        <w:t xml:space="preserve">NEM contends in its Exceptions that it is an advocacy group that, under its Internal Revenue Service 501(c)(3) non-profit status, functions in a representational capacity.  NEM opines that many of its members could </w:t>
      </w:r>
      <w:r w:rsidR="000D7608">
        <w:rPr>
          <w:color w:val="333333"/>
        </w:rPr>
        <w:t>n</w:t>
      </w:r>
      <w:r>
        <w:rPr>
          <w:color w:val="333333"/>
        </w:rPr>
        <w:t xml:space="preserve">ot afford to participate in </w:t>
      </w:r>
      <w:r w:rsidR="00090B39">
        <w:rPr>
          <w:color w:val="333333"/>
        </w:rPr>
        <w:t>proceedings of this nature due to prohibitive legal costs without NEM.  The Commission finds that it is virtually impossible to separate NEM’s interest from that of its membership.  We further find that since NEM’s primary corporate function is to serve as an advocacy group, and since NEM’s members are at potential risk of loss by Columbia’s request in this matter, there is a direct, substantial and immediate risk of harm if NEM is denied party status . . . .</w:t>
      </w:r>
    </w:p>
    <w:p w:rsidR="00090B39" w:rsidRDefault="00090B39" w:rsidP="0090057F">
      <w:pPr>
        <w:spacing w:line="360" w:lineRule="auto"/>
        <w:rPr>
          <w:color w:val="333333"/>
        </w:rPr>
      </w:pPr>
    </w:p>
    <w:p w:rsidR="0090057F" w:rsidRDefault="002063D4" w:rsidP="0090057F">
      <w:pPr>
        <w:spacing w:line="360" w:lineRule="auto"/>
        <w:rPr>
          <w:color w:val="333333"/>
        </w:rPr>
      </w:pPr>
      <w:r w:rsidRPr="002063D4">
        <w:rPr>
          <w:i/>
          <w:color w:val="333333"/>
        </w:rPr>
        <w:t>Columbia Gas</w:t>
      </w:r>
      <w:r w:rsidR="0090057F">
        <w:rPr>
          <w:color w:val="333333"/>
        </w:rPr>
        <w:t xml:space="preserve"> at 26.</w:t>
      </w:r>
    </w:p>
    <w:p w:rsidR="003735FB" w:rsidRDefault="003735FB" w:rsidP="008C5DE3">
      <w:pPr>
        <w:spacing w:line="360" w:lineRule="auto"/>
        <w:rPr>
          <w:color w:val="333333"/>
        </w:rPr>
      </w:pPr>
    </w:p>
    <w:p w:rsidR="003735FB" w:rsidRDefault="003735FB" w:rsidP="008C5DE3">
      <w:pPr>
        <w:spacing w:line="360" w:lineRule="auto"/>
        <w:rPr>
          <w:color w:val="333333"/>
        </w:rPr>
      </w:pPr>
      <w:r>
        <w:rPr>
          <w:color w:val="333333"/>
        </w:rPr>
        <w:tab/>
      </w:r>
      <w:r>
        <w:rPr>
          <w:color w:val="333333"/>
        </w:rPr>
        <w:tab/>
        <w:t xml:space="preserve">In the case before us, the ALJ acknowledged that at least four of PCOC’s members are customers of PPL and will be subject to the outcome of our determination on PPL’s Universal Service and Energy Conservation Plan.  I.D. at 6, </w:t>
      </w:r>
      <w:r w:rsidR="00237C11" w:rsidRPr="00237C11">
        <w:rPr>
          <w:color w:val="333333"/>
        </w:rPr>
        <w:t>n.</w:t>
      </w:r>
      <w:r>
        <w:rPr>
          <w:color w:val="333333"/>
        </w:rPr>
        <w:t xml:space="preserve"> 1.  In its Reply Exceptions, PPL states that at least one of those four identified </w:t>
      </w:r>
      <w:r w:rsidR="00BD71E4">
        <w:rPr>
          <w:color w:val="333333"/>
        </w:rPr>
        <w:t>members</w:t>
      </w:r>
      <w:r>
        <w:rPr>
          <w:color w:val="333333"/>
        </w:rPr>
        <w:t xml:space="preserve"> participates in PPL’s Universal Service program.  PPL R.Exc. at </w:t>
      </w:r>
      <w:r w:rsidR="00A40E03">
        <w:rPr>
          <w:color w:val="333333"/>
        </w:rPr>
        <w:t xml:space="preserve">10, </w:t>
      </w:r>
      <w:r w:rsidR="00237C11" w:rsidRPr="00237C11">
        <w:rPr>
          <w:color w:val="333333"/>
        </w:rPr>
        <w:t>n</w:t>
      </w:r>
      <w:r w:rsidR="00A40E03" w:rsidRPr="004A35F1">
        <w:rPr>
          <w:color w:val="333333"/>
        </w:rPr>
        <w:t>.</w:t>
      </w:r>
      <w:r w:rsidR="00A40E03">
        <w:rPr>
          <w:color w:val="333333"/>
        </w:rPr>
        <w:t xml:space="preserve"> 7.  Based upon our review of </w:t>
      </w:r>
      <w:r w:rsidR="00A40E03" w:rsidRPr="00A40E03">
        <w:rPr>
          <w:i/>
          <w:color w:val="333333"/>
        </w:rPr>
        <w:t>ECC</w:t>
      </w:r>
      <w:r w:rsidR="00A40E03">
        <w:rPr>
          <w:color w:val="333333"/>
        </w:rPr>
        <w:t xml:space="preserve">, </w:t>
      </w:r>
      <w:r w:rsidR="00A40E03" w:rsidRPr="00A40E03">
        <w:rPr>
          <w:i/>
          <w:color w:val="333333"/>
        </w:rPr>
        <w:t>Tripps Park</w:t>
      </w:r>
      <w:r w:rsidR="00A40E03">
        <w:rPr>
          <w:color w:val="333333"/>
        </w:rPr>
        <w:t xml:space="preserve">, </w:t>
      </w:r>
      <w:r w:rsidR="00A40E03" w:rsidRPr="00A40E03">
        <w:rPr>
          <w:i/>
          <w:color w:val="333333"/>
        </w:rPr>
        <w:t xml:space="preserve">Parents United </w:t>
      </w:r>
      <w:r w:rsidR="00A40E03">
        <w:rPr>
          <w:color w:val="333333"/>
        </w:rPr>
        <w:t xml:space="preserve">and </w:t>
      </w:r>
      <w:r w:rsidR="00A40E03" w:rsidRPr="00A40E03">
        <w:rPr>
          <w:i/>
          <w:color w:val="333333"/>
        </w:rPr>
        <w:t>Concerned Taxpayers</w:t>
      </w:r>
      <w:r w:rsidR="00A40E03">
        <w:rPr>
          <w:color w:val="333333"/>
        </w:rPr>
        <w:t xml:space="preserve">, </w:t>
      </w:r>
      <w:r w:rsidR="0090057F">
        <w:rPr>
          <w:color w:val="333333"/>
        </w:rPr>
        <w:t xml:space="preserve">as well as </w:t>
      </w:r>
      <w:r w:rsidR="002063D4" w:rsidRPr="002063D4">
        <w:rPr>
          <w:i/>
          <w:color w:val="333333"/>
        </w:rPr>
        <w:t>Columbia Gas</w:t>
      </w:r>
      <w:r w:rsidR="0090057F">
        <w:rPr>
          <w:color w:val="333333"/>
        </w:rPr>
        <w:t xml:space="preserve">, </w:t>
      </w:r>
      <w:r w:rsidR="00A40E03">
        <w:rPr>
          <w:color w:val="333333"/>
        </w:rPr>
        <w:t xml:space="preserve">we find that the weight of authority is directly contrary to the holding </w:t>
      </w:r>
      <w:r w:rsidR="00BE0F66">
        <w:rPr>
          <w:color w:val="333333"/>
        </w:rPr>
        <w:t>in</w:t>
      </w:r>
      <w:r w:rsidR="00A40E03">
        <w:rPr>
          <w:color w:val="333333"/>
        </w:rPr>
        <w:t xml:space="preserve"> the Initial Decision</w:t>
      </w:r>
      <w:r w:rsidR="004A0426">
        <w:rPr>
          <w:color w:val="333333"/>
        </w:rPr>
        <w:t xml:space="preserve"> relating to the standing of PCOC</w:t>
      </w:r>
      <w:r w:rsidR="00A40E03">
        <w:rPr>
          <w:color w:val="333333"/>
        </w:rPr>
        <w:t xml:space="preserve">.  We </w:t>
      </w:r>
      <w:r w:rsidR="00BE0F66">
        <w:rPr>
          <w:color w:val="333333"/>
        </w:rPr>
        <w:t>will modify the Initial Decision on that basis</w:t>
      </w:r>
      <w:r w:rsidR="00A40E03">
        <w:rPr>
          <w:color w:val="333333"/>
        </w:rPr>
        <w:t>.</w:t>
      </w:r>
    </w:p>
    <w:p w:rsidR="00A40E03" w:rsidRDefault="00A40E03" w:rsidP="008C5DE3">
      <w:pPr>
        <w:spacing w:line="360" w:lineRule="auto"/>
        <w:rPr>
          <w:color w:val="333333"/>
        </w:rPr>
      </w:pPr>
    </w:p>
    <w:p w:rsidR="004F4DB9" w:rsidRDefault="00A40E03" w:rsidP="00C07E97">
      <w:pPr>
        <w:spacing w:line="360" w:lineRule="auto"/>
        <w:rPr>
          <w:color w:val="333333"/>
        </w:rPr>
      </w:pPr>
      <w:r>
        <w:rPr>
          <w:color w:val="333333"/>
        </w:rPr>
        <w:lastRenderedPageBreak/>
        <w:tab/>
      </w:r>
      <w:r>
        <w:rPr>
          <w:color w:val="333333"/>
        </w:rPr>
        <w:tab/>
        <w:t xml:space="preserve">In its Reply Exceptions, PPL goes to some lengths to describe </w:t>
      </w:r>
      <w:r w:rsidR="0090057F">
        <w:rPr>
          <w:color w:val="333333"/>
        </w:rPr>
        <w:t>the meaning of co</w:t>
      </w:r>
      <w:r w:rsidR="004A35F1">
        <w:rPr>
          <w:color w:val="333333"/>
        </w:rPr>
        <w:t>r</w:t>
      </w:r>
      <w:r w:rsidR="0090057F">
        <w:rPr>
          <w:color w:val="333333"/>
        </w:rPr>
        <w:t>porate membership under Pennsylvania law</w:t>
      </w:r>
      <w:r w:rsidR="004A35F1">
        <w:rPr>
          <w:color w:val="333333"/>
        </w:rPr>
        <w:t xml:space="preserve">.  It also discusses </w:t>
      </w:r>
      <w:r>
        <w:rPr>
          <w:color w:val="333333"/>
        </w:rPr>
        <w:t xml:space="preserve">whether PCOC has members, whether those members are merely donors, and whether those members have authorized PCOC to act on their behalf.  </w:t>
      </w:r>
      <w:r w:rsidR="007F1D1C">
        <w:rPr>
          <w:color w:val="333333"/>
        </w:rPr>
        <w:t xml:space="preserve">PPL R.Exc. at 4-8.  </w:t>
      </w:r>
      <w:r>
        <w:rPr>
          <w:color w:val="333333"/>
        </w:rPr>
        <w:t xml:space="preserve">We find PPL’s arguments to be speculative at best and accord them no weight.  </w:t>
      </w:r>
      <w:r w:rsidR="007F1D1C">
        <w:rPr>
          <w:color w:val="333333"/>
        </w:rPr>
        <w:t xml:space="preserve">PCOC resolved these arguments through its Amended Petition in which PCOC identified at least four of its members as PPL customers.  </w:t>
      </w:r>
      <w:r w:rsidR="007F1D1C" w:rsidRPr="009F7C25">
        <w:rPr>
          <w:i/>
          <w:color w:val="333333"/>
        </w:rPr>
        <w:t>See</w:t>
      </w:r>
      <w:r w:rsidR="007F1D1C">
        <w:rPr>
          <w:color w:val="333333"/>
        </w:rPr>
        <w:t>, Amended Petition</w:t>
      </w:r>
      <w:r w:rsidR="004A0426">
        <w:rPr>
          <w:color w:val="333333"/>
        </w:rPr>
        <w:t xml:space="preserve"> at</w:t>
      </w:r>
      <w:r w:rsidR="007F1D1C">
        <w:rPr>
          <w:color w:val="333333"/>
        </w:rPr>
        <w:t xml:space="preserve"> ¶ 8 </w:t>
      </w:r>
      <w:r w:rsidR="009F7C25">
        <w:rPr>
          <w:color w:val="333333"/>
        </w:rPr>
        <w:t xml:space="preserve">and </w:t>
      </w:r>
      <w:r w:rsidR="00237C11" w:rsidRPr="00237C11">
        <w:rPr>
          <w:color w:val="333333"/>
        </w:rPr>
        <w:t>n</w:t>
      </w:r>
      <w:r w:rsidR="009F7C25" w:rsidRPr="004A35F1">
        <w:rPr>
          <w:color w:val="333333"/>
        </w:rPr>
        <w:t>.</w:t>
      </w:r>
      <w:r w:rsidR="009F7C25">
        <w:rPr>
          <w:color w:val="333333"/>
        </w:rPr>
        <w:t xml:space="preserve"> 1.  </w:t>
      </w:r>
      <w:r w:rsidR="00BD71E4">
        <w:rPr>
          <w:color w:val="333333"/>
        </w:rPr>
        <w:t xml:space="preserve">We are also persuaded by the OCA’s argument that several not-for-profit </w:t>
      </w:r>
      <w:r w:rsidR="00F404A0">
        <w:rPr>
          <w:color w:val="333333"/>
        </w:rPr>
        <w:t>intervenors “</w:t>
      </w:r>
      <w:r w:rsidR="00BD71E4">
        <w:rPr>
          <w:color w:val="333333"/>
        </w:rPr>
        <w:t xml:space="preserve">structured like PCOC” have been </w:t>
      </w:r>
      <w:r w:rsidR="00BF71FF">
        <w:rPr>
          <w:color w:val="333333"/>
        </w:rPr>
        <w:t>found to have</w:t>
      </w:r>
      <w:r w:rsidR="00BD71E4">
        <w:rPr>
          <w:color w:val="333333"/>
        </w:rPr>
        <w:t xml:space="preserve"> standing in a representational capacity before this Commission.  OCA Exc. at 4.  </w:t>
      </w:r>
    </w:p>
    <w:p w:rsidR="00BE0F66" w:rsidRDefault="00BE0F66" w:rsidP="00C07E97">
      <w:pPr>
        <w:spacing w:line="360" w:lineRule="auto"/>
        <w:rPr>
          <w:color w:val="333333"/>
        </w:rPr>
      </w:pPr>
    </w:p>
    <w:p w:rsidR="00237C11" w:rsidRDefault="00BE0F66">
      <w:pPr>
        <w:spacing w:line="360" w:lineRule="auto"/>
        <w:rPr>
          <w:color w:val="333333"/>
        </w:rPr>
      </w:pPr>
      <w:r>
        <w:rPr>
          <w:color w:val="333333"/>
        </w:rPr>
        <w:tab/>
      </w:r>
      <w:r>
        <w:rPr>
          <w:color w:val="333333"/>
        </w:rPr>
        <w:tab/>
        <w:t>While</w:t>
      </w:r>
      <w:r w:rsidR="00BF71FF">
        <w:rPr>
          <w:color w:val="333333"/>
        </w:rPr>
        <w:t xml:space="preserve"> we find that the ALJ erred in her</w:t>
      </w:r>
      <w:r>
        <w:rPr>
          <w:color w:val="333333"/>
        </w:rPr>
        <w:t xml:space="preserve"> discussion relating to PCOC’s </w:t>
      </w:r>
      <w:r w:rsidR="008C73F6" w:rsidRPr="008C73F6">
        <w:rPr>
          <w:i/>
          <w:color w:val="333333"/>
        </w:rPr>
        <w:t>standing</w:t>
      </w:r>
      <w:r>
        <w:rPr>
          <w:color w:val="333333"/>
        </w:rPr>
        <w:t xml:space="preserve">, we do not find that </w:t>
      </w:r>
      <w:r w:rsidR="008C73F6" w:rsidRPr="008C73F6">
        <w:rPr>
          <w:i/>
          <w:color w:val="333333"/>
        </w:rPr>
        <w:t>intervention</w:t>
      </w:r>
      <w:r>
        <w:rPr>
          <w:color w:val="333333"/>
        </w:rPr>
        <w:t xml:space="preserve"> should be granted</w:t>
      </w:r>
      <w:r w:rsidR="0090057F">
        <w:rPr>
          <w:color w:val="333333"/>
        </w:rPr>
        <w:t xml:space="preserve"> </w:t>
      </w:r>
      <w:r w:rsidR="00947994">
        <w:rPr>
          <w:color w:val="333333"/>
        </w:rPr>
        <w:t>based on the facts of this case</w:t>
      </w:r>
      <w:r>
        <w:rPr>
          <w:color w:val="333333"/>
        </w:rPr>
        <w:t>.  As noted by the ALJ, intervention is a matter of discretion</w:t>
      </w:r>
      <w:r w:rsidR="00BF71FF">
        <w:rPr>
          <w:color w:val="333333"/>
        </w:rPr>
        <w:t xml:space="preserve"> for the Commission</w:t>
      </w:r>
      <w:r>
        <w:rPr>
          <w:color w:val="333333"/>
        </w:rPr>
        <w:t xml:space="preserve">.  </w:t>
      </w:r>
      <w:r w:rsidR="000815DD">
        <w:rPr>
          <w:color w:val="333333"/>
        </w:rPr>
        <w:t xml:space="preserve">I.D. at 9.  </w:t>
      </w:r>
      <w:r w:rsidR="005118AE">
        <w:rPr>
          <w:color w:val="333333"/>
        </w:rPr>
        <w:t xml:space="preserve">In this case, we will exercise our discretion by denying intervention.  </w:t>
      </w:r>
    </w:p>
    <w:p w:rsidR="00AE1B6B" w:rsidRDefault="00AE1B6B">
      <w:pPr>
        <w:spacing w:line="360" w:lineRule="auto"/>
        <w:rPr>
          <w:color w:val="333333"/>
        </w:rPr>
      </w:pPr>
    </w:p>
    <w:p w:rsidR="00237C11" w:rsidRDefault="000815DD">
      <w:pPr>
        <w:spacing w:line="360" w:lineRule="auto"/>
        <w:rPr>
          <w:color w:val="333333"/>
        </w:rPr>
      </w:pPr>
      <w:r>
        <w:rPr>
          <w:color w:val="333333"/>
        </w:rPr>
        <w:tab/>
      </w:r>
      <w:r>
        <w:rPr>
          <w:color w:val="333333"/>
        </w:rPr>
        <w:tab/>
        <w:t xml:space="preserve">As set forth in our description of the </w:t>
      </w:r>
      <w:r w:rsidR="00947994">
        <w:rPr>
          <w:color w:val="333333"/>
        </w:rPr>
        <w:t>h</w:t>
      </w:r>
      <w:r>
        <w:rPr>
          <w:color w:val="333333"/>
        </w:rPr>
        <w:t xml:space="preserve">istory of this proceeding, </w:t>
      </w:r>
      <w:r w:rsidR="001B2C49">
        <w:rPr>
          <w:color w:val="333333"/>
        </w:rPr>
        <w:t>Lorrie Koons was granted i</w:t>
      </w:r>
      <w:r w:rsidR="00BF71FF">
        <w:rPr>
          <w:color w:val="333333"/>
        </w:rPr>
        <w:t>ntervention on January 6, 2011.  In her Petition to Intervene, Ms. Koons is identified as a low income customer</w:t>
      </w:r>
      <w:r w:rsidR="008B6236">
        <w:rPr>
          <w:color w:val="333333"/>
        </w:rPr>
        <w:t xml:space="preserve"> of PPL.  Koons Petition to Intervene at 2.  Ms. Koons is also described as a member of PCOC.  </w:t>
      </w:r>
      <w:r w:rsidR="008C73F6" w:rsidRPr="008C73F6">
        <w:rPr>
          <w:i/>
          <w:color w:val="333333"/>
        </w:rPr>
        <w:t>Id</w:t>
      </w:r>
      <w:r w:rsidR="008B6236">
        <w:rPr>
          <w:color w:val="333333"/>
        </w:rPr>
        <w:t xml:space="preserve">. at 3.  The Recommended Decision indicates that Ms. Koons adopted and introduced testimony </w:t>
      </w:r>
      <w:r w:rsidR="00C8228D">
        <w:rPr>
          <w:color w:val="333333"/>
        </w:rPr>
        <w:t xml:space="preserve">which was originally </w:t>
      </w:r>
      <w:r w:rsidR="008E3BF8">
        <w:rPr>
          <w:color w:val="333333"/>
        </w:rPr>
        <w:t xml:space="preserve">intended to be </w:t>
      </w:r>
      <w:r w:rsidR="00C8228D">
        <w:rPr>
          <w:color w:val="333333"/>
        </w:rPr>
        <w:t xml:space="preserve">sponsored by PCOC.  R.D. at 4, </w:t>
      </w:r>
      <w:r w:rsidR="00237C11" w:rsidRPr="00237C11">
        <w:rPr>
          <w:color w:val="333333"/>
        </w:rPr>
        <w:t>n.</w:t>
      </w:r>
      <w:r w:rsidR="00C8228D">
        <w:rPr>
          <w:color w:val="333333"/>
        </w:rPr>
        <w:t xml:space="preserve"> 1.  The Recommended Decision also states that Ms. Koons </w:t>
      </w:r>
      <w:r w:rsidR="001B5085">
        <w:rPr>
          <w:color w:val="333333"/>
        </w:rPr>
        <w:t xml:space="preserve">is a party to, and </w:t>
      </w:r>
      <w:r w:rsidR="00C8228D">
        <w:rPr>
          <w:color w:val="333333"/>
        </w:rPr>
        <w:t>actively supports</w:t>
      </w:r>
      <w:r w:rsidR="001B5085">
        <w:rPr>
          <w:color w:val="333333"/>
        </w:rPr>
        <w:t>,</w:t>
      </w:r>
      <w:r w:rsidR="00C8228D">
        <w:rPr>
          <w:color w:val="333333"/>
        </w:rPr>
        <w:t xml:space="preserve"> the Joint Petition for Settlement filed in this proceeding.  </w:t>
      </w:r>
      <w:r w:rsidR="008C73F6" w:rsidRPr="008C73F6">
        <w:rPr>
          <w:i/>
          <w:color w:val="333333"/>
        </w:rPr>
        <w:t>Id</w:t>
      </w:r>
      <w:r w:rsidR="00C8228D">
        <w:rPr>
          <w:color w:val="333333"/>
        </w:rPr>
        <w:t>. at 4.</w:t>
      </w:r>
      <w:r w:rsidR="008E3BF8">
        <w:rPr>
          <w:rStyle w:val="FootnoteReference"/>
          <w:color w:val="333333"/>
        </w:rPr>
        <w:footnoteReference w:id="2"/>
      </w:r>
    </w:p>
    <w:p w:rsidR="00C8228D" w:rsidRDefault="00C8228D" w:rsidP="00C07E97">
      <w:pPr>
        <w:spacing w:line="360" w:lineRule="auto"/>
        <w:rPr>
          <w:color w:val="333333"/>
        </w:rPr>
      </w:pPr>
    </w:p>
    <w:p w:rsidR="00C8228D" w:rsidRDefault="00C8228D" w:rsidP="00C07E97">
      <w:pPr>
        <w:spacing w:line="360" w:lineRule="auto"/>
      </w:pPr>
      <w:r>
        <w:rPr>
          <w:color w:val="333333"/>
        </w:rPr>
        <w:tab/>
      </w:r>
      <w:r>
        <w:rPr>
          <w:color w:val="333333"/>
        </w:rPr>
        <w:tab/>
      </w:r>
      <w:r w:rsidR="00647053">
        <w:rPr>
          <w:color w:val="333333"/>
        </w:rPr>
        <w:t xml:space="preserve">The Commission’s </w:t>
      </w:r>
      <w:r w:rsidR="005F4C59">
        <w:rPr>
          <w:color w:val="333333"/>
        </w:rPr>
        <w:t>R</w:t>
      </w:r>
      <w:r w:rsidR="00647053">
        <w:rPr>
          <w:color w:val="333333"/>
        </w:rPr>
        <w:t xml:space="preserve">egulation at 52 Pa. Code § 5.72(a)(2) provides that intervention may be granted to a person claiming an interest which “is not adequately </w:t>
      </w:r>
      <w:r w:rsidR="00647053">
        <w:rPr>
          <w:color w:val="333333"/>
        </w:rPr>
        <w:lastRenderedPageBreak/>
        <w:t>represented by existing participants, . . . .”  Given Ms. Koons</w:t>
      </w:r>
      <w:r w:rsidR="00184819">
        <w:rPr>
          <w:color w:val="333333"/>
        </w:rPr>
        <w:t>’</w:t>
      </w:r>
      <w:r w:rsidR="00647053">
        <w:rPr>
          <w:color w:val="333333"/>
        </w:rPr>
        <w:t xml:space="preserve"> participation in this proceeding as an active Party, including her support for the Joint Petition for Settleme</w:t>
      </w:r>
      <w:r w:rsidR="008E3BF8">
        <w:rPr>
          <w:color w:val="333333"/>
        </w:rPr>
        <w:t>nt,</w:t>
      </w:r>
      <w:r w:rsidR="00647053">
        <w:rPr>
          <w:color w:val="333333"/>
        </w:rPr>
        <w:t xml:space="preserve"> we find that PCOC’s interest in this proceeding has been adequately represented by Ms. Koons. </w:t>
      </w:r>
      <w:r w:rsidR="00427018">
        <w:rPr>
          <w:color w:val="333333"/>
        </w:rPr>
        <w:t>With regard to the argument made by PCOC and the OCA that intervention is appropriate under Section 5.72(a)(3), relating to intervention on public interest grounds, we find that argument has been resolved by Ms. Koons’ participation.  We also find that</w:t>
      </w:r>
      <w:r w:rsidR="005F4C59">
        <w:rPr>
          <w:color w:val="333333"/>
        </w:rPr>
        <w:t>,</w:t>
      </w:r>
      <w:r w:rsidR="00427018">
        <w:rPr>
          <w:color w:val="333333"/>
        </w:rPr>
        <w:t xml:space="preserve"> given the current status of this proceeding, the public interest would not be served by granting intervention at this time.</w:t>
      </w:r>
    </w:p>
    <w:p w:rsidR="00227FCF" w:rsidRDefault="00227FCF" w:rsidP="00C07E97">
      <w:pPr>
        <w:tabs>
          <w:tab w:val="left" w:pos="204"/>
        </w:tabs>
        <w:spacing w:line="360" w:lineRule="auto"/>
        <w:jc w:val="center"/>
      </w:pPr>
    </w:p>
    <w:p w:rsidR="00227FCF" w:rsidRPr="00482CB5" w:rsidRDefault="00227FCF" w:rsidP="00227FCF">
      <w:pPr>
        <w:tabs>
          <w:tab w:val="left" w:pos="204"/>
        </w:tabs>
        <w:spacing w:line="360" w:lineRule="auto"/>
        <w:jc w:val="center"/>
        <w:rPr>
          <w:b/>
        </w:rPr>
      </w:pPr>
      <w:r>
        <w:rPr>
          <w:b/>
        </w:rPr>
        <w:t>Co</w:t>
      </w:r>
      <w:r w:rsidRPr="00482CB5">
        <w:rPr>
          <w:b/>
        </w:rPr>
        <w:t>nclusion</w:t>
      </w:r>
    </w:p>
    <w:p w:rsidR="00227FCF" w:rsidRPr="00482CB5" w:rsidRDefault="00227FCF" w:rsidP="00227FCF">
      <w:pPr>
        <w:tabs>
          <w:tab w:val="center" w:pos="720"/>
        </w:tabs>
        <w:suppressAutoHyphens/>
        <w:spacing w:line="360" w:lineRule="auto"/>
        <w:jc w:val="center"/>
        <w:rPr>
          <w:b/>
        </w:rPr>
      </w:pPr>
    </w:p>
    <w:p w:rsidR="00227FCF" w:rsidRDefault="00227FCF" w:rsidP="00227FCF">
      <w:pPr>
        <w:tabs>
          <w:tab w:val="center" w:pos="720"/>
        </w:tabs>
        <w:suppressAutoHyphens/>
        <w:spacing w:line="360" w:lineRule="auto"/>
        <w:rPr>
          <w:b/>
        </w:rPr>
      </w:pPr>
      <w:r w:rsidRPr="00482CB5">
        <w:rPr>
          <w:b/>
        </w:rPr>
        <w:tab/>
      </w:r>
      <w:r w:rsidRPr="00482CB5">
        <w:rPr>
          <w:b/>
        </w:rPr>
        <w:tab/>
      </w:r>
      <w:r w:rsidRPr="00482CB5">
        <w:t xml:space="preserve">Based on the foregoing discussion, </w:t>
      </w:r>
      <w:r>
        <w:t xml:space="preserve">we will </w:t>
      </w:r>
      <w:r w:rsidR="00647053">
        <w:t>modify the</w:t>
      </w:r>
      <w:r>
        <w:t xml:space="preserve"> Initial Decision consistent with this Opinion and Order</w:t>
      </w:r>
      <w:r w:rsidR="00792D1B">
        <w:t xml:space="preserve"> and</w:t>
      </w:r>
      <w:r w:rsidR="00D36D72">
        <w:t xml:space="preserve"> grant</w:t>
      </w:r>
      <w:r w:rsidR="00792D1B">
        <w:t>, in part,</w:t>
      </w:r>
      <w:r w:rsidR="00D36D72">
        <w:t xml:space="preserve"> </w:t>
      </w:r>
      <w:r w:rsidR="00184819">
        <w:t xml:space="preserve">and deny, in part, </w:t>
      </w:r>
      <w:r w:rsidR="00D36D72">
        <w:t>the Exceptions of PCOC and the OCA</w:t>
      </w:r>
      <w:r w:rsidR="00184819">
        <w:t>,</w:t>
      </w:r>
      <w:r w:rsidR="00D36D72">
        <w:t xml:space="preserve"> consistent with this Opinion and Order;</w:t>
      </w:r>
      <w:r>
        <w:t xml:space="preserve"> </w:t>
      </w:r>
      <w:r>
        <w:rPr>
          <w:b/>
          <w:snapToGrid w:val="0"/>
        </w:rPr>
        <w:t>THEREFORE</w:t>
      </w:r>
      <w:r w:rsidRPr="00482CB5">
        <w:rPr>
          <w:b/>
        </w:rPr>
        <w:t>,</w:t>
      </w:r>
    </w:p>
    <w:p w:rsidR="00DD513A" w:rsidRDefault="00DD513A" w:rsidP="00227FCF">
      <w:pPr>
        <w:spacing w:line="360" w:lineRule="auto"/>
        <w:rPr>
          <w:b/>
        </w:rPr>
      </w:pPr>
    </w:p>
    <w:p w:rsidR="00237C11" w:rsidRDefault="00227FCF" w:rsidP="00237C11">
      <w:pPr>
        <w:spacing w:line="360" w:lineRule="auto"/>
        <w:ind w:firstLine="1440"/>
      </w:pPr>
      <w:r w:rsidRPr="007B3DE2">
        <w:rPr>
          <w:b/>
        </w:rPr>
        <w:t xml:space="preserve">IT IS ORDERED: </w:t>
      </w:r>
      <w:r w:rsidRPr="007B3DE2">
        <w:t xml:space="preserve"> </w:t>
      </w:r>
    </w:p>
    <w:p w:rsidR="00227FCF" w:rsidRDefault="00227FCF" w:rsidP="00227FCF">
      <w:pPr>
        <w:spacing w:line="360" w:lineRule="auto"/>
      </w:pPr>
    </w:p>
    <w:p w:rsidR="00227FCF" w:rsidRDefault="00227FCF" w:rsidP="00227FCF">
      <w:pPr>
        <w:spacing w:line="360" w:lineRule="auto"/>
      </w:pPr>
      <w:r>
        <w:tab/>
      </w:r>
      <w:r>
        <w:tab/>
        <w:t>1.</w:t>
      </w:r>
      <w:r>
        <w:tab/>
        <w:t>That the</w:t>
      </w:r>
      <w:r w:rsidR="005954C5">
        <w:t xml:space="preserve"> </w:t>
      </w:r>
      <w:r w:rsidR="00D36D72">
        <w:t xml:space="preserve">Exceptions filed by </w:t>
      </w:r>
      <w:r w:rsidR="00743D95">
        <w:t>Pennsylvania Communities Organizing for Change d/b/a Action United</w:t>
      </w:r>
      <w:r w:rsidR="005F4C59">
        <w:t>, Inc.,</w:t>
      </w:r>
      <w:r w:rsidR="00743D95">
        <w:t xml:space="preserve"> filed on December 30, 2010, at this Docket are granted, </w:t>
      </w:r>
      <w:r w:rsidR="00792D1B">
        <w:t>in part,</w:t>
      </w:r>
      <w:r w:rsidR="005F4C59">
        <w:t xml:space="preserve"> and denied, in part,</w:t>
      </w:r>
      <w:r w:rsidR="00792D1B">
        <w:t xml:space="preserve"> </w:t>
      </w:r>
      <w:r w:rsidR="00743D95">
        <w:t xml:space="preserve">consistent with this Opinion and Order.  </w:t>
      </w:r>
    </w:p>
    <w:p w:rsidR="00743D95" w:rsidRDefault="00743D95" w:rsidP="00227FCF">
      <w:pPr>
        <w:spacing w:line="360" w:lineRule="auto"/>
      </w:pPr>
    </w:p>
    <w:p w:rsidR="00743D95" w:rsidRDefault="00743D95" w:rsidP="00227FCF">
      <w:pPr>
        <w:spacing w:line="360" w:lineRule="auto"/>
      </w:pPr>
      <w:r>
        <w:tab/>
      </w:r>
      <w:r>
        <w:tab/>
        <w:t>2.</w:t>
      </w:r>
      <w:r>
        <w:tab/>
        <w:t xml:space="preserve">That the Exceptions filed by the Office of Consumer Advocate on December 30, 2010, at this Docket are granted, </w:t>
      </w:r>
      <w:r w:rsidR="00792D1B">
        <w:t xml:space="preserve">in part, </w:t>
      </w:r>
      <w:r w:rsidR="00F95717">
        <w:t xml:space="preserve">and denied, in part, </w:t>
      </w:r>
      <w:r>
        <w:t>consistent with this Opinion and Order.</w:t>
      </w:r>
    </w:p>
    <w:p w:rsidR="00227FCF" w:rsidRDefault="00227FCF" w:rsidP="00227FCF">
      <w:pPr>
        <w:spacing w:line="360" w:lineRule="auto"/>
      </w:pPr>
    </w:p>
    <w:p w:rsidR="00B0243F" w:rsidRDefault="00227FCF" w:rsidP="005954C5">
      <w:pPr>
        <w:keepNext/>
        <w:keepLines/>
        <w:spacing w:line="360" w:lineRule="auto"/>
      </w:pPr>
      <w:r>
        <w:lastRenderedPageBreak/>
        <w:tab/>
      </w:r>
      <w:r>
        <w:tab/>
      </w:r>
      <w:r w:rsidR="00E23642">
        <w:t>3</w:t>
      </w:r>
      <w:r>
        <w:t>.</w:t>
      </w:r>
      <w:r>
        <w:tab/>
      </w:r>
      <w:r w:rsidR="005954C5">
        <w:t xml:space="preserve">That </w:t>
      </w:r>
      <w:r w:rsidR="00B0243F">
        <w:t xml:space="preserve">the Initial Decision of Administrative Law </w:t>
      </w:r>
      <w:r w:rsidR="00143688">
        <w:t xml:space="preserve">Judge </w:t>
      </w:r>
      <w:r w:rsidR="00743D95">
        <w:t>Susan D. Colwell</w:t>
      </w:r>
      <w:r w:rsidR="00143688">
        <w:t>,</w:t>
      </w:r>
      <w:r w:rsidR="00B0243F">
        <w:t xml:space="preserve"> issued on </w:t>
      </w:r>
      <w:r w:rsidR="00D449FD">
        <w:t>December 10</w:t>
      </w:r>
      <w:r w:rsidR="00B0243F">
        <w:t xml:space="preserve">, 2010, at Docket No. </w:t>
      </w:r>
      <w:r w:rsidR="00743D95">
        <w:t>M-2010-2179796</w:t>
      </w:r>
      <w:r w:rsidR="00B0243F">
        <w:t xml:space="preserve">, </w:t>
      </w:r>
      <w:r w:rsidR="00743D95">
        <w:t xml:space="preserve">is </w:t>
      </w:r>
      <w:r w:rsidR="00792D1B">
        <w:t>modified</w:t>
      </w:r>
      <w:r w:rsidR="00143688">
        <w:t>,</w:t>
      </w:r>
      <w:r w:rsidR="00792D1B">
        <w:t xml:space="preserve"> consistent with this Opinion and Order</w:t>
      </w:r>
      <w:r w:rsidR="00B0243F">
        <w:t>.</w:t>
      </w:r>
    </w:p>
    <w:p w:rsidR="00B0243F" w:rsidRDefault="00B0243F" w:rsidP="005954C5">
      <w:pPr>
        <w:keepNext/>
        <w:keepLines/>
        <w:spacing w:line="360" w:lineRule="auto"/>
      </w:pPr>
    </w:p>
    <w:p w:rsidR="00477EE5" w:rsidRDefault="00B0243F" w:rsidP="005954C5">
      <w:pPr>
        <w:keepNext/>
        <w:keepLines/>
        <w:spacing w:line="360" w:lineRule="auto"/>
      </w:pPr>
      <w:r>
        <w:tab/>
      </w:r>
      <w:r>
        <w:tab/>
      </w:r>
      <w:r w:rsidR="00E23642">
        <w:t>4</w:t>
      </w:r>
      <w:r>
        <w:t>.</w:t>
      </w:r>
      <w:r>
        <w:tab/>
        <w:t xml:space="preserve">That </w:t>
      </w:r>
      <w:r w:rsidR="00792D1B">
        <w:t>the Petition to Intervene filed by Pennsylvania Communities Organizing for Change d/b/a Action United</w:t>
      </w:r>
      <w:r w:rsidR="00143688">
        <w:t>, Inc.,</w:t>
      </w:r>
      <w:r w:rsidR="00792D1B">
        <w:t xml:space="preserve"> is denied.</w:t>
      </w:r>
    </w:p>
    <w:p w:rsidR="007A796A" w:rsidRPr="00475AC7" w:rsidRDefault="007A796A" w:rsidP="005954C5">
      <w:pPr>
        <w:pStyle w:val="ListNumber"/>
        <w:keepNext/>
        <w:keepLines/>
        <w:numPr>
          <w:ilvl w:val="0"/>
          <w:numId w:val="0"/>
        </w:numPr>
        <w:spacing w:line="360" w:lineRule="auto"/>
        <w:rPr>
          <w:sz w:val="26"/>
        </w:rPr>
      </w:pPr>
      <w:r>
        <w:rPr>
          <w:sz w:val="26"/>
        </w:rPr>
        <w:tab/>
      </w:r>
      <w:r>
        <w:rPr>
          <w:sz w:val="26"/>
        </w:rPr>
        <w:tab/>
      </w:r>
    </w:p>
    <w:p w:rsidR="003E2766" w:rsidRPr="00482CB5" w:rsidRDefault="00881ED9" w:rsidP="005954C5">
      <w:pPr>
        <w:keepNext/>
        <w:keepLines/>
        <w:spacing w:line="360" w:lineRule="auto"/>
        <w:rPr>
          <w:b/>
        </w:rPr>
      </w:pPr>
      <w:r>
        <w:rPr>
          <w:noProof/>
        </w:rPr>
        <w:drawing>
          <wp:anchor distT="0" distB="0" distL="114300" distR="114300" simplePos="0" relativeHeight="251659264" behindDoc="1" locked="0" layoutInCell="1" allowOverlap="1">
            <wp:simplePos x="0" y="0"/>
            <wp:positionH relativeFrom="column">
              <wp:posOffset>2790825</wp:posOffset>
            </wp:positionH>
            <wp:positionV relativeFrom="paragraph">
              <wp:posOffset>45085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rPr>
          <w:b/>
        </w:rPr>
        <w:t>BY THE COMMISSION,</w:t>
      </w:r>
    </w:p>
    <w:p w:rsidR="003E2766" w:rsidRDefault="003E2766" w:rsidP="005954C5">
      <w:pPr>
        <w:keepNext/>
        <w:keepLines/>
      </w:pPr>
    </w:p>
    <w:p w:rsidR="003E2766" w:rsidRPr="00482CB5" w:rsidRDefault="003E2766" w:rsidP="005954C5">
      <w:pPr>
        <w:keepNext/>
        <w:keepLines/>
      </w:pPr>
    </w:p>
    <w:p w:rsidR="003E2766" w:rsidRPr="00482CB5" w:rsidRDefault="001F5C5C" w:rsidP="005954C5">
      <w:pPr>
        <w:keepNext/>
        <w:keepLines/>
      </w:pPr>
      <w:r>
        <w:tab/>
      </w:r>
      <w:r>
        <w:tab/>
      </w:r>
      <w:r>
        <w:tab/>
      </w:r>
      <w:r>
        <w:tab/>
      </w:r>
      <w:r>
        <w:tab/>
      </w:r>
      <w:r>
        <w:tab/>
      </w:r>
      <w:r>
        <w:tab/>
      </w:r>
      <w:r w:rsidR="007E67FF">
        <w:t>Rosemary Chiavetta</w:t>
      </w:r>
    </w:p>
    <w:p w:rsidR="003E2766" w:rsidRPr="00482CB5" w:rsidRDefault="003E2766" w:rsidP="005954C5">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5954C5">
      <w:pPr>
        <w:keepNext/>
        <w:keepLines/>
      </w:pPr>
    </w:p>
    <w:p w:rsidR="003E2766" w:rsidRPr="00482CB5" w:rsidRDefault="003E2766" w:rsidP="005954C5">
      <w:pPr>
        <w:keepNext/>
        <w:keepLines/>
      </w:pPr>
      <w:r w:rsidRPr="00482CB5">
        <w:t>(SEAL)</w:t>
      </w:r>
    </w:p>
    <w:p w:rsidR="003E2766" w:rsidRPr="00482CB5" w:rsidRDefault="003E2766" w:rsidP="005954C5">
      <w:pPr>
        <w:keepNext/>
        <w:keepLines/>
      </w:pPr>
    </w:p>
    <w:p w:rsidR="003E2766" w:rsidRDefault="003E2766" w:rsidP="005954C5">
      <w:pPr>
        <w:keepNext/>
        <w:keepLines/>
      </w:pPr>
      <w:r w:rsidRPr="00482CB5">
        <w:t xml:space="preserve">ORDER ADOPTED:  </w:t>
      </w:r>
      <w:r w:rsidR="00E65F3E">
        <w:t>May 5</w:t>
      </w:r>
      <w:r w:rsidR="005954C5">
        <w:t>, 2011</w:t>
      </w:r>
    </w:p>
    <w:p w:rsidR="003E2766" w:rsidRPr="00482CB5" w:rsidRDefault="003E2766" w:rsidP="005954C5">
      <w:pPr>
        <w:keepNext/>
        <w:keepLines/>
      </w:pPr>
    </w:p>
    <w:p w:rsidR="003E2766" w:rsidRPr="00482CB5" w:rsidRDefault="003E2766" w:rsidP="005954C5">
      <w:pPr>
        <w:keepNext/>
        <w:keepLines/>
      </w:pPr>
      <w:r w:rsidRPr="00482CB5">
        <w:t xml:space="preserve">ORDER ENTERED:  </w:t>
      </w:r>
      <w:r w:rsidR="00881ED9">
        <w:t>May 5, 2011</w:t>
      </w:r>
    </w:p>
    <w:p w:rsidR="006B19F4" w:rsidRPr="003A166F" w:rsidRDefault="006B19F4" w:rsidP="005954C5">
      <w:pPr>
        <w:pStyle w:val="ListNumber"/>
        <w:keepNext/>
        <w:keepLines/>
        <w:numPr>
          <w:ilvl w:val="0"/>
          <w:numId w:val="0"/>
        </w:numPr>
        <w:spacing w:line="360" w:lineRule="auto"/>
        <w:rPr>
          <w:u w:val="single"/>
        </w:rPr>
      </w:pPr>
    </w:p>
    <w:sectPr w:rsidR="006B19F4" w:rsidRPr="003A166F" w:rsidSect="008B4C5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B94" w:rsidRDefault="00034B94">
      <w:r>
        <w:separator/>
      </w:r>
    </w:p>
  </w:endnote>
  <w:endnote w:type="continuationSeparator" w:id="0">
    <w:p w:rsidR="00034B94" w:rsidRDefault="00034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833A8F">
    <w:pPr>
      <w:pStyle w:val="Footer"/>
      <w:jc w:val="center"/>
    </w:pPr>
    <w:fldSimple w:instr=" PAGE   \* MERGEFORMAT ">
      <w:r w:rsidR="00881ED9">
        <w:rPr>
          <w:noProof/>
        </w:rPr>
        <w:t>15</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B94" w:rsidRDefault="00034B94">
      <w:r>
        <w:separator/>
      </w:r>
    </w:p>
  </w:footnote>
  <w:footnote w:type="continuationSeparator" w:id="0">
    <w:p w:rsidR="00034B94" w:rsidRDefault="00034B94">
      <w:r>
        <w:continuationSeparator/>
      </w:r>
    </w:p>
  </w:footnote>
  <w:footnote w:id="1">
    <w:p w:rsidR="007F4391" w:rsidRPr="005C2153" w:rsidRDefault="007F4391" w:rsidP="007F4391">
      <w:pPr>
        <w:rPr>
          <w:szCs w:val="24"/>
          <w:u w:val="single"/>
        </w:rPr>
      </w:pPr>
      <w:r>
        <w:tab/>
      </w:r>
      <w:r>
        <w:rPr>
          <w:rStyle w:val="FootnoteReference"/>
        </w:rPr>
        <w:footnoteRef/>
      </w:r>
      <w:r>
        <w:t xml:space="preserve"> </w:t>
      </w:r>
      <w:r>
        <w:tab/>
        <w:t xml:space="preserve">According to the Initial Decision, at 6-7, “The original Petition lists the intervening organization as Action United, and the Amended Petition lists it as Pennsylvania [Communities] Organizing for Change, d/b/a Action United, Inc.” </w:t>
      </w:r>
    </w:p>
    <w:p w:rsidR="007F4391" w:rsidRDefault="007F4391">
      <w:pPr>
        <w:pStyle w:val="FootnoteText"/>
      </w:pPr>
    </w:p>
  </w:footnote>
  <w:footnote w:id="2">
    <w:p w:rsidR="008E3BF8" w:rsidRPr="00B01A02" w:rsidRDefault="008E3BF8" w:rsidP="008E3BF8">
      <w:pPr>
        <w:pStyle w:val="FootnoteText"/>
        <w:rPr>
          <w:sz w:val="26"/>
          <w:szCs w:val="26"/>
        </w:rPr>
      </w:pPr>
      <w:r>
        <w:rPr>
          <w:sz w:val="26"/>
          <w:szCs w:val="26"/>
        </w:rPr>
        <w:tab/>
      </w:r>
      <w:r w:rsidRPr="00B01A02">
        <w:rPr>
          <w:rStyle w:val="FootnoteReference"/>
          <w:sz w:val="26"/>
          <w:szCs w:val="26"/>
        </w:rPr>
        <w:footnoteRef/>
      </w:r>
      <w:r w:rsidRPr="00B01A02">
        <w:rPr>
          <w:sz w:val="26"/>
          <w:szCs w:val="26"/>
        </w:rPr>
        <w:t xml:space="preserve"> </w:t>
      </w:r>
      <w:r>
        <w:rPr>
          <w:sz w:val="26"/>
          <w:szCs w:val="26"/>
        </w:rPr>
        <w:tab/>
        <w:t>We note parenthetically that Ms. Koons was represented by counsel throughout this proceeding</w:t>
      </w:r>
      <w:r w:rsidR="001B5085">
        <w:rPr>
          <w:sz w:val="26"/>
          <w:szCs w:val="26"/>
        </w:rPr>
        <w:t xml:space="preserve"> – the same counsel that represented PCOC in this proceeding</w:t>
      </w:r>
      <w:r>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A0FE9"/>
    <w:rsid w:val="00000E2D"/>
    <w:rsid w:val="000017C4"/>
    <w:rsid w:val="000035BB"/>
    <w:rsid w:val="000048B3"/>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5C81"/>
    <w:rsid w:val="00030169"/>
    <w:rsid w:val="000315D8"/>
    <w:rsid w:val="00031968"/>
    <w:rsid w:val="000320EA"/>
    <w:rsid w:val="00033166"/>
    <w:rsid w:val="00034B94"/>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61CCC"/>
    <w:rsid w:val="0007073B"/>
    <w:rsid w:val="000708D0"/>
    <w:rsid w:val="000712C5"/>
    <w:rsid w:val="0007460B"/>
    <w:rsid w:val="0007524A"/>
    <w:rsid w:val="000757AD"/>
    <w:rsid w:val="00076C46"/>
    <w:rsid w:val="00076D69"/>
    <w:rsid w:val="00077E32"/>
    <w:rsid w:val="00080E2A"/>
    <w:rsid w:val="000815DD"/>
    <w:rsid w:val="00082DEA"/>
    <w:rsid w:val="000831AA"/>
    <w:rsid w:val="000844DD"/>
    <w:rsid w:val="00085155"/>
    <w:rsid w:val="00085C0D"/>
    <w:rsid w:val="000868D6"/>
    <w:rsid w:val="00087553"/>
    <w:rsid w:val="000901CB"/>
    <w:rsid w:val="00090740"/>
    <w:rsid w:val="00090B39"/>
    <w:rsid w:val="00091FE2"/>
    <w:rsid w:val="000928E5"/>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0F5A"/>
    <w:rsid w:val="000B16F5"/>
    <w:rsid w:val="000B1A73"/>
    <w:rsid w:val="000B4662"/>
    <w:rsid w:val="000B4A44"/>
    <w:rsid w:val="000B5D58"/>
    <w:rsid w:val="000B6BDD"/>
    <w:rsid w:val="000B6D35"/>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608"/>
    <w:rsid w:val="000D7958"/>
    <w:rsid w:val="000D7B4D"/>
    <w:rsid w:val="000E09CF"/>
    <w:rsid w:val="000E13B6"/>
    <w:rsid w:val="000E2485"/>
    <w:rsid w:val="000E39C2"/>
    <w:rsid w:val="000E3AA1"/>
    <w:rsid w:val="000E3CD7"/>
    <w:rsid w:val="000E4779"/>
    <w:rsid w:val="000E4AEA"/>
    <w:rsid w:val="000E5F0D"/>
    <w:rsid w:val="000E6383"/>
    <w:rsid w:val="000E6657"/>
    <w:rsid w:val="000E70FF"/>
    <w:rsid w:val="000F0061"/>
    <w:rsid w:val="000F06B1"/>
    <w:rsid w:val="000F17B6"/>
    <w:rsid w:val="000F17F4"/>
    <w:rsid w:val="000F2357"/>
    <w:rsid w:val="000F2AFC"/>
    <w:rsid w:val="000F2B4F"/>
    <w:rsid w:val="000F32EE"/>
    <w:rsid w:val="000F379C"/>
    <w:rsid w:val="000F3DD5"/>
    <w:rsid w:val="000F490F"/>
    <w:rsid w:val="000F4EE1"/>
    <w:rsid w:val="000F546F"/>
    <w:rsid w:val="000F5F2C"/>
    <w:rsid w:val="000F62EA"/>
    <w:rsid w:val="000F6639"/>
    <w:rsid w:val="000F6B88"/>
    <w:rsid w:val="001004D2"/>
    <w:rsid w:val="001024F9"/>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C38"/>
    <w:rsid w:val="00130550"/>
    <w:rsid w:val="001335E0"/>
    <w:rsid w:val="00134362"/>
    <w:rsid w:val="00134B13"/>
    <w:rsid w:val="00134C94"/>
    <w:rsid w:val="00134EA8"/>
    <w:rsid w:val="001351C4"/>
    <w:rsid w:val="00136007"/>
    <w:rsid w:val="00136AF3"/>
    <w:rsid w:val="00136BC9"/>
    <w:rsid w:val="00136C9A"/>
    <w:rsid w:val="001372D2"/>
    <w:rsid w:val="00137A58"/>
    <w:rsid w:val="00137DBE"/>
    <w:rsid w:val="001404DB"/>
    <w:rsid w:val="00140852"/>
    <w:rsid w:val="00142279"/>
    <w:rsid w:val="00142920"/>
    <w:rsid w:val="00142C54"/>
    <w:rsid w:val="00143688"/>
    <w:rsid w:val="00143719"/>
    <w:rsid w:val="00143DCC"/>
    <w:rsid w:val="00144856"/>
    <w:rsid w:val="0014491A"/>
    <w:rsid w:val="00146443"/>
    <w:rsid w:val="00150503"/>
    <w:rsid w:val="00151911"/>
    <w:rsid w:val="00152302"/>
    <w:rsid w:val="00152391"/>
    <w:rsid w:val="00152ADD"/>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157F"/>
    <w:rsid w:val="00182428"/>
    <w:rsid w:val="001825C3"/>
    <w:rsid w:val="0018324C"/>
    <w:rsid w:val="00184819"/>
    <w:rsid w:val="00184B50"/>
    <w:rsid w:val="00185A40"/>
    <w:rsid w:val="00187FE3"/>
    <w:rsid w:val="001901D4"/>
    <w:rsid w:val="001905C8"/>
    <w:rsid w:val="00192491"/>
    <w:rsid w:val="00192956"/>
    <w:rsid w:val="00193B60"/>
    <w:rsid w:val="00193C7F"/>
    <w:rsid w:val="00193C8F"/>
    <w:rsid w:val="00195EBA"/>
    <w:rsid w:val="0019727D"/>
    <w:rsid w:val="001973E5"/>
    <w:rsid w:val="001975DE"/>
    <w:rsid w:val="00197934"/>
    <w:rsid w:val="001A039F"/>
    <w:rsid w:val="001A1A54"/>
    <w:rsid w:val="001A225A"/>
    <w:rsid w:val="001A28BE"/>
    <w:rsid w:val="001A2D61"/>
    <w:rsid w:val="001A4B28"/>
    <w:rsid w:val="001A4C79"/>
    <w:rsid w:val="001A4DCA"/>
    <w:rsid w:val="001A7526"/>
    <w:rsid w:val="001A77D3"/>
    <w:rsid w:val="001B009E"/>
    <w:rsid w:val="001B0453"/>
    <w:rsid w:val="001B0971"/>
    <w:rsid w:val="001B0BEE"/>
    <w:rsid w:val="001B2C49"/>
    <w:rsid w:val="001B38CF"/>
    <w:rsid w:val="001B39C2"/>
    <w:rsid w:val="001B42EE"/>
    <w:rsid w:val="001B44D5"/>
    <w:rsid w:val="001B4681"/>
    <w:rsid w:val="001B5085"/>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0B3F"/>
    <w:rsid w:val="001E12A6"/>
    <w:rsid w:val="001E168D"/>
    <w:rsid w:val="001E3219"/>
    <w:rsid w:val="001E4F80"/>
    <w:rsid w:val="001E5C7B"/>
    <w:rsid w:val="001E67B0"/>
    <w:rsid w:val="001F1653"/>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3D4"/>
    <w:rsid w:val="002068A5"/>
    <w:rsid w:val="00206E08"/>
    <w:rsid w:val="00206FF0"/>
    <w:rsid w:val="00207226"/>
    <w:rsid w:val="002078BB"/>
    <w:rsid w:val="00207AF8"/>
    <w:rsid w:val="002102CE"/>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368E8"/>
    <w:rsid w:val="00237C11"/>
    <w:rsid w:val="0024076C"/>
    <w:rsid w:val="00240B12"/>
    <w:rsid w:val="00240D81"/>
    <w:rsid w:val="002415F2"/>
    <w:rsid w:val="0024317F"/>
    <w:rsid w:val="00244CBE"/>
    <w:rsid w:val="00244D31"/>
    <w:rsid w:val="0024513C"/>
    <w:rsid w:val="002452E3"/>
    <w:rsid w:val="002477B5"/>
    <w:rsid w:val="0025047B"/>
    <w:rsid w:val="00250849"/>
    <w:rsid w:val="00250AD4"/>
    <w:rsid w:val="00251961"/>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2A22"/>
    <w:rsid w:val="00273C64"/>
    <w:rsid w:val="0027536E"/>
    <w:rsid w:val="002757A4"/>
    <w:rsid w:val="00275E38"/>
    <w:rsid w:val="00276DCE"/>
    <w:rsid w:val="00277337"/>
    <w:rsid w:val="00277A4C"/>
    <w:rsid w:val="00280E91"/>
    <w:rsid w:val="00281E25"/>
    <w:rsid w:val="00282CE2"/>
    <w:rsid w:val="00284168"/>
    <w:rsid w:val="00284547"/>
    <w:rsid w:val="00284CE5"/>
    <w:rsid w:val="00284F58"/>
    <w:rsid w:val="002852ED"/>
    <w:rsid w:val="00286757"/>
    <w:rsid w:val="00286EC1"/>
    <w:rsid w:val="00286F6A"/>
    <w:rsid w:val="00291609"/>
    <w:rsid w:val="00291BDB"/>
    <w:rsid w:val="00291D19"/>
    <w:rsid w:val="00291FFF"/>
    <w:rsid w:val="00292DE8"/>
    <w:rsid w:val="00293EA7"/>
    <w:rsid w:val="00296273"/>
    <w:rsid w:val="002A2367"/>
    <w:rsid w:val="002A3DEF"/>
    <w:rsid w:val="002A60FF"/>
    <w:rsid w:val="002A6160"/>
    <w:rsid w:val="002A6EDE"/>
    <w:rsid w:val="002A78AA"/>
    <w:rsid w:val="002A7B2E"/>
    <w:rsid w:val="002B00C4"/>
    <w:rsid w:val="002B2612"/>
    <w:rsid w:val="002B2735"/>
    <w:rsid w:val="002B2A86"/>
    <w:rsid w:val="002B406F"/>
    <w:rsid w:val="002B4B4E"/>
    <w:rsid w:val="002B4D3C"/>
    <w:rsid w:val="002B5408"/>
    <w:rsid w:val="002B5812"/>
    <w:rsid w:val="002B69F6"/>
    <w:rsid w:val="002B725F"/>
    <w:rsid w:val="002B7335"/>
    <w:rsid w:val="002B78DD"/>
    <w:rsid w:val="002B7FA9"/>
    <w:rsid w:val="002C0106"/>
    <w:rsid w:val="002C2312"/>
    <w:rsid w:val="002C2383"/>
    <w:rsid w:val="002C398C"/>
    <w:rsid w:val="002C3A60"/>
    <w:rsid w:val="002C5000"/>
    <w:rsid w:val="002C5896"/>
    <w:rsid w:val="002C6424"/>
    <w:rsid w:val="002C665D"/>
    <w:rsid w:val="002C71E3"/>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1E55"/>
    <w:rsid w:val="002F2838"/>
    <w:rsid w:val="002F2FC5"/>
    <w:rsid w:val="002F3558"/>
    <w:rsid w:val="002F3EE1"/>
    <w:rsid w:val="002F6B84"/>
    <w:rsid w:val="00300E4A"/>
    <w:rsid w:val="003015CD"/>
    <w:rsid w:val="003017FA"/>
    <w:rsid w:val="00301F30"/>
    <w:rsid w:val="00302A6D"/>
    <w:rsid w:val="00304FE2"/>
    <w:rsid w:val="0030574A"/>
    <w:rsid w:val="00305D74"/>
    <w:rsid w:val="0030641D"/>
    <w:rsid w:val="00306D96"/>
    <w:rsid w:val="003107D3"/>
    <w:rsid w:val="00310B19"/>
    <w:rsid w:val="003124FC"/>
    <w:rsid w:val="003127C4"/>
    <w:rsid w:val="00313833"/>
    <w:rsid w:val="00314B32"/>
    <w:rsid w:val="00314C1E"/>
    <w:rsid w:val="00314D31"/>
    <w:rsid w:val="00317627"/>
    <w:rsid w:val="00320F10"/>
    <w:rsid w:val="0032153C"/>
    <w:rsid w:val="003216DA"/>
    <w:rsid w:val="00321F00"/>
    <w:rsid w:val="0032281C"/>
    <w:rsid w:val="003234F5"/>
    <w:rsid w:val="00326F75"/>
    <w:rsid w:val="003271DE"/>
    <w:rsid w:val="0032756C"/>
    <w:rsid w:val="0032783A"/>
    <w:rsid w:val="00330422"/>
    <w:rsid w:val="003304AF"/>
    <w:rsid w:val="00331400"/>
    <w:rsid w:val="003332E9"/>
    <w:rsid w:val="00333743"/>
    <w:rsid w:val="00333E5D"/>
    <w:rsid w:val="00333F8F"/>
    <w:rsid w:val="0033503D"/>
    <w:rsid w:val="00337524"/>
    <w:rsid w:val="003401F4"/>
    <w:rsid w:val="00340895"/>
    <w:rsid w:val="00341495"/>
    <w:rsid w:val="003426C9"/>
    <w:rsid w:val="00343E59"/>
    <w:rsid w:val="00344367"/>
    <w:rsid w:val="00344C0B"/>
    <w:rsid w:val="003450D5"/>
    <w:rsid w:val="003465D9"/>
    <w:rsid w:val="00346CBC"/>
    <w:rsid w:val="003500FF"/>
    <w:rsid w:val="0035049A"/>
    <w:rsid w:val="00351F39"/>
    <w:rsid w:val="003531AF"/>
    <w:rsid w:val="00353E4E"/>
    <w:rsid w:val="00355A1B"/>
    <w:rsid w:val="00355D2F"/>
    <w:rsid w:val="003575D7"/>
    <w:rsid w:val="00360F52"/>
    <w:rsid w:val="0036104B"/>
    <w:rsid w:val="00362686"/>
    <w:rsid w:val="00362EA2"/>
    <w:rsid w:val="00363ADD"/>
    <w:rsid w:val="00364825"/>
    <w:rsid w:val="00365EA3"/>
    <w:rsid w:val="003662E1"/>
    <w:rsid w:val="00370894"/>
    <w:rsid w:val="00370A05"/>
    <w:rsid w:val="0037197D"/>
    <w:rsid w:val="00372DCB"/>
    <w:rsid w:val="00372FE8"/>
    <w:rsid w:val="003735FB"/>
    <w:rsid w:val="00374608"/>
    <w:rsid w:val="00374E61"/>
    <w:rsid w:val="0037508B"/>
    <w:rsid w:val="003756D2"/>
    <w:rsid w:val="00375A0B"/>
    <w:rsid w:val="00375EE5"/>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875A3"/>
    <w:rsid w:val="00391F07"/>
    <w:rsid w:val="00392646"/>
    <w:rsid w:val="00392D91"/>
    <w:rsid w:val="00392E89"/>
    <w:rsid w:val="0039374E"/>
    <w:rsid w:val="00393B86"/>
    <w:rsid w:val="003946AE"/>
    <w:rsid w:val="00394715"/>
    <w:rsid w:val="00394788"/>
    <w:rsid w:val="0039479B"/>
    <w:rsid w:val="00395648"/>
    <w:rsid w:val="003961ED"/>
    <w:rsid w:val="00396D06"/>
    <w:rsid w:val="00396DE8"/>
    <w:rsid w:val="00397735"/>
    <w:rsid w:val="0039789B"/>
    <w:rsid w:val="003A040B"/>
    <w:rsid w:val="003A166F"/>
    <w:rsid w:val="003A248F"/>
    <w:rsid w:val="003A272F"/>
    <w:rsid w:val="003A36F3"/>
    <w:rsid w:val="003A37A8"/>
    <w:rsid w:val="003B116B"/>
    <w:rsid w:val="003B205A"/>
    <w:rsid w:val="003B2E30"/>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A11"/>
    <w:rsid w:val="003C5E4F"/>
    <w:rsid w:val="003C64A0"/>
    <w:rsid w:val="003C6D65"/>
    <w:rsid w:val="003C7165"/>
    <w:rsid w:val="003C7A78"/>
    <w:rsid w:val="003C7D98"/>
    <w:rsid w:val="003D112B"/>
    <w:rsid w:val="003D1DEE"/>
    <w:rsid w:val="003D33F6"/>
    <w:rsid w:val="003D43BA"/>
    <w:rsid w:val="003D53CA"/>
    <w:rsid w:val="003D55B8"/>
    <w:rsid w:val="003D575B"/>
    <w:rsid w:val="003D7B0C"/>
    <w:rsid w:val="003E03B7"/>
    <w:rsid w:val="003E2005"/>
    <w:rsid w:val="003E24CD"/>
    <w:rsid w:val="003E2766"/>
    <w:rsid w:val="003E56D8"/>
    <w:rsid w:val="003E6024"/>
    <w:rsid w:val="003E670A"/>
    <w:rsid w:val="003E786D"/>
    <w:rsid w:val="003E79B4"/>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055D"/>
    <w:rsid w:val="0041096F"/>
    <w:rsid w:val="004110EC"/>
    <w:rsid w:val="00411857"/>
    <w:rsid w:val="004123F9"/>
    <w:rsid w:val="00415F43"/>
    <w:rsid w:val="00416181"/>
    <w:rsid w:val="00416E4C"/>
    <w:rsid w:val="00420E18"/>
    <w:rsid w:val="00421A70"/>
    <w:rsid w:val="004229A6"/>
    <w:rsid w:val="004230D1"/>
    <w:rsid w:val="0042323A"/>
    <w:rsid w:val="004246C0"/>
    <w:rsid w:val="0042498C"/>
    <w:rsid w:val="004258F4"/>
    <w:rsid w:val="004265CE"/>
    <w:rsid w:val="00426CEB"/>
    <w:rsid w:val="00427018"/>
    <w:rsid w:val="0043010B"/>
    <w:rsid w:val="00430E36"/>
    <w:rsid w:val="00431486"/>
    <w:rsid w:val="004326E4"/>
    <w:rsid w:val="004351AD"/>
    <w:rsid w:val="004365FC"/>
    <w:rsid w:val="00436721"/>
    <w:rsid w:val="00436E84"/>
    <w:rsid w:val="004371BC"/>
    <w:rsid w:val="00437368"/>
    <w:rsid w:val="0043784A"/>
    <w:rsid w:val="00437D81"/>
    <w:rsid w:val="00441278"/>
    <w:rsid w:val="00443515"/>
    <w:rsid w:val="00443DE2"/>
    <w:rsid w:val="00443E23"/>
    <w:rsid w:val="00444120"/>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141"/>
    <w:rsid w:val="00481259"/>
    <w:rsid w:val="00481A65"/>
    <w:rsid w:val="00482314"/>
    <w:rsid w:val="0048289A"/>
    <w:rsid w:val="00482D88"/>
    <w:rsid w:val="004834AB"/>
    <w:rsid w:val="00483E47"/>
    <w:rsid w:val="00485294"/>
    <w:rsid w:val="00485861"/>
    <w:rsid w:val="00486532"/>
    <w:rsid w:val="00486CD4"/>
    <w:rsid w:val="004873C6"/>
    <w:rsid w:val="00487A3E"/>
    <w:rsid w:val="00487B09"/>
    <w:rsid w:val="00491B03"/>
    <w:rsid w:val="00492E7B"/>
    <w:rsid w:val="00493BB3"/>
    <w:rsid w:val="00494264"/>
    <w:rsid w:val="00494FB0"/>
    <w:rsid w:val="0049510E"/>
    <w:rsid w:val="0049783F"/>
    <w:rsid w:val="00497922"/>
    <w:rsid w:val="004A0426"/>
    <w:rsid w:val="004A11A1"/>
    <w:rsid w:val="004A204C"/>
    <w:rsid w:val="004A35F1"/>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B6836"/>
    <w:rsid w:val="004C1114"/>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D7670"/>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4AEC"/>
    <w:rsid w:val="004F4DB9"/>
    <w:rsid w:val="004F52DC"/>
    <w:rsid w:val="004F5BBA"/>
    <w:rsid w:val="004F6F90"/>
    <w:rsid w:val="004F7610"/>
    <w:rsid w:val="004F7E21"/>
    <w:rsid w:val="0050099A"/>
    <w:rsid w:val="00500C09"/>
    <w:rsid w:val="005011AF"/>
    <w:rsid w:val="00502443"/>
    <w:rsid w:val="00503B86"/>
    <w:rsid w:val="00503E54"/>
    <w:rsid w:val="00504600"/>
    <w:rsid w:val="005048B2"/>
    <w:rsid w:val="00504EB6"/>
    <w:rsid w:val="00505A90"/>
    <w:rsid w:val="00505EEE"/>
    <w:rsid w:val="00506052"/>
    <w:rsid w:val="005062FF"/>
    <w:rsid w:val="0050663A"/>
    <w:rsid w:val="00506C92"/>
    <w:rsid w:val="0050721B"/>
    <w:rsid w:val="00507EDD"/>
    <w:rsid w:val="00510B5D"/>
    <w:rsid w:val="005118AE"/>
    <w:rsid w:val="00511CE3"/>
    <w:rsid w:val="0051222D"/>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40D0"/>
    <w:rsid w:val="0053679A"/>
    <w:rsid w:val="00536BCB"/>
    <w:rsid w:val="00537226"/>
    <w:rsid w:val="00537830"/>
    <w:rsid w:val="00537F85"/>
    <w:rsid w:val="005407D2"/>
    <w:rsid w:val="005409C5"/>
    <w:rsid w:val="00541863"/>
    <w:rsid w:val="00541FE1"/>
    <w:rsid w:val="005420D0"/>
    <w:rsid w:val="00542A59"/>
    <w:rsid w:val="00543B4D"/>
    <w:rsid w:val="0054591D"/>
    <w:rsid w:val="00545B07"/>
    <w:rsid w:val="00546817"/>
    <w:rsid w:val="005469BF"/>
    <w:rsid w:val="005470FD"/>
    <w:rsid w:val="00547E46"/>
    <w:rsid w:val="00550669"/>
    <w:rsid w:val="0055315D"/>
    <w:rsid w:val="005555A5"/>
    <w:rsid w:val="00561908"/>
    <w:rsid w:val="00561BB9"/>
    <w:rsid w:val="005624B6"/>
    <w:rsid w:val="00562D3A"/>
    <w:rsid w:val="00563489"/>
    <w:rsid w:val="0056496B"/>
    <w:rsid w:val="005668C9"/>
    <w:rsid w:val="00566FDB"/>
    <w:rsid w:val="005675B1"/>
    <w:rsid w:val="00567A3A"/>
    <w:rsid w:val="0057031D"/>
    <w:rsid w:val="0057106D"/>
    <w:rsid w:val="00572CAC"/>
    <w:rsid w:val="005739F4"/>
    <w:rsid w:val="005747F6"/>
    <w:rsid w:val="00574E2F"/>
    <w:rsid w:val="00582597"/>
    <w:rsid w:val="005829ED"/>
    <w:rsid w:val="00582F1E"/>
    <w:rsid w:val="00583043"/>
    <w:rsid w:val="0058421D"/>
    <w:rsid w:val="00586449"/>
    <w:rsid w:val="00586718"/>
    <w:rsid w:val="00586963"/>
    <w:rsid w:val="00586AF9"/>
    <w:rsid w:val="005901BD"/>
    <w:rsid w:val="00590C92"/>
    <w:rsid w:val="005925D6"/>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21"/>
    <w:rsid w:val="005A6C80"/>
    <w:rsid w:val="005A6E9D"/>
    <w:rsid w:val="005A799C"/>
    <w:rsid w:val="005A7A07"/>
    <w:rsid w:val="005A7F69"/>
    <w:rsid w:val="005B273E"/>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17F3"/>
    <w:rsid w:val="005D26CB"/>
    <w:rsid w:val="005D2A76"/>
    <w:rsid w:val="005D2CF2"/>
    <w:rsid w:val="005D3C42"/>
    <w:rsid w:val="005D460A"/>
    <w:rsid w:val="005D5186"/>
    <w:rsid w:val="005D51D5"/>
    <w:rsid w:val="005D59BB"/>
    <w:rsid w:val="005D7B6A"/>
    <w:rsid w:val="005D7F6F"/>
    <w:rsid w:val="005E100E"/>
    <w:rsid w:val="005E1CCD"/>
    <w:rsid w:val="005E2BB6"/>
    <w:rsid w:val="005E3319"/>
    <w:rsid w:val="005E349A"/>
    <w:rsid w:val="005E3B4F"/>
    <w:rsid w:val="005E4172"/>
    <w:rsid w:val="005E51CD"/>
    <w:rsid w:val="005E527A"/>
    <w:rsid w:val="005E6B58"/>
    <w:rsid w:val="005E7596"/>
    <w:rsid w:val="005E7961"/>
    <w:rsid w:val="005E7BEB"/>
    <w:rsid w:val="005F0362"/>
    <w:rsid w:val="005F0415"/>
    <w:rsid w:val="005F0681"/>
    <w:rsid w:val="005F0DD7"/>
    <w:rsid w:val="005F1B8D"/>
    <w:rsid w:val="005F1C7E"/>
    <w:rsid w:val="005F1FCA"/>
    <w:rsid w:val="005F2201"/>
    <w:rsid w:val="005F35D7"/>
    <w:rsid w:val="005F4C59"/>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EB4"/>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4547"/>
    <w:rsid w:val="00644B43"/>
    <w:rsid w:val="00644E30"/>
    <w:rsid w:val="00647053"/>
    <w:rsid w:val="006472F6"/>
    <w:rsid w:val="00647C81"/>
    <w:rsid w:val="0065008E"/>
    <w:rsid w:val="00651754"/>
    <w:rsid w:val="00652798"/>
    <w:rsid w:val="00652BC4"/>
    <w:rsid w:val="00653140"/>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904"/>
    <w:rsid w:val="00672D33"/>
    <w:rsid w:val="00673463"/>
    <w:rsid w:val="00675F1B"/>
    <w:rsid w:val="006765AB"/>
    <w:rsid w:val="00676BAC"/>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7844"/>
    <w:rsid w:val="006A10DE"/>
    <w:rsid w:val="006A1B4A"/>
    <w:rsid w:val="006A5395"/>
    <w:rsid w:val="006A6ADB"/>
    <w:rsid w:val="006A73DE"/>
    <w:rsid w:val="006B011C"/>
    <w:rsid w:val="006B0567"/>
    <w:rsid w:val="006B0593"/>
    <w:rsid w:val="006B1012"/>
    <w:rsid w:val="006B10A8"/>
    <w:rsid w:val="006B19F4"/>
    <w:rsid w:val="006B252A"/>
    <w:rsid w:val="006B26B5"/>
    <w:rsid w:val="006B3FBF"/>
    <w:rsid w:val="006B4635"/>
    <w:rsid w:val="006B52B9"/>
    <w:rsid w:val="006C06F9"/>
    <w:rsid w:val="006C0951"/>
    <w:rsid w:val="006C1767"/>
    <w:rsid w:val="006C184E"/>
    <w:rsid w:val="006C4E10"/>
    <w:rsid w:val="006C742D"/>
    <w:rsid w:val="006D0342"/>
    <w:rsid w:val="006D0CCD"/>
    <w:rsid w:val="006D100A"/>
    <w:rsid w:val="006D1FC7"/>
    <w:rsid w:val="006D4730"/>
    <w:rsid w:val="006D4C23"/>
    <w:rsid w:val="006D5DAE"/>
    <w:rsid w:val="006D5E05"/>
    <w:rsid w:val="006D69AA"/>
    <w:rsid w:val="006E0829"/>
    <w:rsid w:val="006E0CC8"/>
    <w:rsid w:val="006E11B8"/>
    <w:rsid w:val="006E12B8"/>
    <w:rsid w:val="006E1BEB"/>
    <w:rsid w:val="006E22EE"/>
    <w:rsid w:val="006E27E9"/>
    <w:rsid w:val="006E4873"/>
    <w:rsid w:val="006E5AAC"/>
    <w:rsid w:val="006E660F"/>
    <w:rsid w:val="006E687A"/>
    <w:rsid w:val="006E720A"/>
    <w:rsid w:val="006F02C9"/>
    <w:rsid w:val="006F3CEE"/>
    <w:rsid w:val="006F4271"/>
    <w:rsid w:val="00700F0A"/>
    <w:rsid w:val="007028E7"/>
    <w:rsid w:val="007030D0"/>
    <w:rsid w:val="0070347C"/>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3566"/>
    <w:rsid w:val="00735029"/>
    <w:rsid w:val="00736917"/>
    <w:rsid w:val="00737FEC"/>
    <w:rsid w:val="0074066D"/>
    <w:rsid w:val="00743C40"/>
    <w:rsid w:val="00743D95"/>
    <w:rsid w:val="007453B1"/>
    <w:rsid w:val="007466C6"/>
    <w:rsid w:val="007508BD"/>
    <w:rsid w:val="0075097C"/>
    <w:rsid w:val="00750D18"/>
    <w:rsid w:val="00751F22"/>
    <w:rsid w:val="00752331"/>
    <w:rsid w:val="00753152"/>
    <w:rsid w:val="00753FD1"/>
    <w:rsid w:val="007541E9"/>
    <w:rsid w:val="007544B1"/>
    <w:rsid w:val="00754791"/>
    <w:rsid w:val="00754893"/>
    <w:rsid w:val="00755583"/>
    <w:rsid w:val="00755971"/>
    <w:rsid w:val="00755E5F"/>
    <w:rsid w:val="007573BD"/>
    <w:rsid w:val="0076245B"/>
    <w:rsid w:val="007647B4"/>
    <w:rsid w:val="00764B43"/>
    <w:rsid w:val="00765D7A"/>
    <w:rsid w:val="00766817"/>
    <w:rsid w:val="00766A47"/>
    <w:rsid w:val="00766D16"/>
    <w:rsid w:val="00766E4B"/>
    <w:rsid w:val="00767FA3"/>
    <w:rsid w:val="00770354"/>
    <w:rsid w:val="00770F9F"/>
    <w:rsid w:val="007712C8"/>
    <w:rsid w:val="007712D5"/>
    <w:rsid w:val="00772059"/>
    <w:rsid w:val="0077333C"/>
    <w:rsid w:val="007733E4"/>
    <w:rsid w:val="00774D85"/>
    <w:rsid w:val="0077529F"/>
    <w:rsid w:val="007765FE"/>
    <w:rsid w:val="00781356"/>
    <w:rsid w:val="00781D0B"/>
    <w:rsid w:val="00782E46"/>
    <w:rsid w:val="007836AD"/>
    <w:rsid w:val="007847DE"/>
    <w:rsid w:val="00785DFF"/>
    <w:rsid w:val="00786881"/>
    <w:rsid w:val="00787581"/>
    <w:rsid w:val="00787AB7"/>
    <w:rsid w:val="007910EF"/>
    <w:rsid w:val="00792D1B"/>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9AC"/>
    <w:rsid w:val="007B1E26"/>
    <w:rsid w:val="007B2034"/>
    <w:rsid w:val="007B21F4"/>
    <w:rsid w:val="007B25AD"/>
    <w:rsid w:val="007B505F"/>
    <w:rsid w:val="007B69C6"/>
    <w:rsid w:val="007B6DF3"/>
    <w:rsid w:val="007B783A"/>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7630"/>
    <w:rsid w:val="007D7F7A"/>
    <w:rsid w:val="007E0AC3"/>
    <w:rsid w:val="007E23B7"/>
    <w:rsid w:val="007E422C"/>
    <w:rsid w:val="007E4F3F"/>
    <w:rsid w:val="007E4F7B"/>
    <w:rsid w:val="007E5467"/>
    <w:rsid w:val="007E5732"/>
    <w:rsid w:val="007E6314"/>
    <w:rsid w:val="007E6426"/>
    <w:rsid w:val="007E67FF"/>
    <w:rsid w:val="007E7528"/>
    <w:rsid w:val="007F0356"/>
    <w:rsid w:val="007F0451"/>
    <w:rsid w:val="007F0952"/>
    <w:rsid w:val="007F09A7"/>
    <w:rsid w:val="007F10A3"/>
    <w:rsid w:val="007F1B3C"/>
    <w:rsid w:val="007F1D1C"/>
    <w:rsid w:val="007F21B9"/>
    <w:rsid w:val="007F3175"/>
    <w:rsid w:val="007F3220"/>
    <w:rsid w:val="007F4391"/>
    <w:rsid w:val="007F55A8"/>
    <w:rsid w:val="007F5AE3"/>
    <w:rsid w:val="007F7F28"/>
    <w:rsid w:val="00800753"/>
    <w:rsid w:val="00802881"/>
    <w:rsid w:val="00805386"/>
    <w:rsid w:val="008065C6"/>
    <w:rsid w:val="00806A22"/>
    <w:rsid w:val="00807663"/>
    <w:rsid w:val="00807959"/>
    <w:rsid w:val="00807D17"/>
    <w:rsid w:val="0081005E"/>
    <w:rsid w:val="008123BD"/>
    <w:rsid w:val="00812D1B"/>
    <w:rsid w:val="00815510"/>
    <w:rsid w:val="0081647E"/>
    <w:rsid w:val="00816FE5"/>
    <w:rsid w:val="0081720D"/>
    <w:rsid w:val="00817323"/>
    <w:rsid w:val="00817491"/>
    <w:rsid w:val="008177E4"/>
    <w:rsid w:val="00817A1E"/>
    <w:rsid w:val="0082018F"/>
    <w:rsid w:val="00820A0C"/>
    <w:rsid w:val="00820EF0"/>
    <w:rsid w:val="00821CEF"/>
    <w:rsid w:val="00825C97"/>
    <w:rsid w:val="008268E2"/>
    <w:rsid w:val="00827F90"/>
    <w:rsid w:val="008304C8"/>
    <w:rsid w:val="00830CFD"/>
    <w:rsid w:val="00831192"/>
    <w:rsid w:val="008324DA"/>
    <w:rsid w:val="0083349F"/>
    <w:rsid w:val="00833A8F"/>
    <w:rsid w:val="008341BA"/>
    <w:rsid w:val="00834B0B"/>
    <w:rsid w:val="00834DF4"/>
    <w:rsid w:val="008355D3"/>
    <w:rsid w:val="00836231"/>
    <w:rsid w:val="00836757"/>
    <w:rsid w:val="00837B3B"/>
    <w:rsid w:val="00837F6A"/>
    <w:rsid w:val="00841309"/>
    <w:rsid w:val="00842A09"/>
    <w:rsid w:val="00842BAD"/>
    <w:rsid w:val="0084300C"/>
    <w:rsid w:val="0084385D"/>
    <w:rsid w:val="0084647B"/>
    <w:rsid w:val="00850E6F"/>
    <w:rsid w:val="008511FD"/>
    <w:rsid w:val="00851BAA"/>
    <w:rsid w:val="00853852"/>
    <w:rsid w:val="00854545"/>
    <w:rsid w:val="00855B52"/>
    <w:rsid w:val="008562D3"/>
    <w:rsid w:val="00857923"/>
    <w:rsid w:val="00857C11"/>
    <w:rsid w:val="00857F21"/>
    <w:rsid w:val="00860063"/>
    <w:rsid w:val="008611EB"/>
    <w:rsid w:val="008627DA"/>
    <w:rsid w:val="00862C37"/>
    <w:rsid w:val="00864378"/>
    <w:rsid w:val="008646D8"/>
    <w:rsid w:val="00864D37"/>
    <w:rsid w:val="00865587"/>
    <w:rsid w:val="00866116"/>
    <w:rsid w:val="00866A06"/>
    <w:rsid w:val="0086746B"/>
    <w:rsid w:val="0086770D"/>
    <w:rsid w:val="00870FDC"/>
    <w:rsid w:val="00871418"/>
    <w:rsid w:val="00871C4E"/>
    <w:rsid w:val="0087426A"/>
    <w:rsid w:val="00874DF5"/>
    <w:rsid w:val="00877702"/>
    <w:rsid w:val="00877ADC"/>
    <w:rsid w:val="00877E67"/>
    <w:rsid w:val="00880197"/>
    <w:rsid w:val="00880410"/>
    <w:rsid w:val="00881B83"/>
    <w:rsid w:val="00881ED9"/>
    <w:rsid w:val="0088217D"/>
    <w:rsid w:val="00882982"/>
    <w:rsid w:val="00883514"/>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D7F"/>
    <w:rsid w:val="008A3F67"/>
    <w:rsid w:val="008A40CB"/>
    <w:rsid w:val="008A4DAA"/>
    <w:rsid w:val="008A70B4"/>
    <w:rsid w:val="008A7334"/>
    <w:rsid w:val="008A747A"/>
    <w:rsid w:val="008A7DB0"/>
    <w:rsid w:val="008B00FE"/>
    <w:rsid w:val="008B1335"/>
    <w:rsid w:val="008B1C07"/>
    <w:rsid w:val="008B1F53"/>
    <w:rsid w:val="008B2A5D"/>
    <w:rsid w:val="008B4010"/>
    <w:rsid w:val="008B4B12"/>
    <w:rsid w:val="008B4C5E"/>
    <w:rsid w:val="008B5582"/>
    <w:rsid w:val="008B56B6"/>
    <w:rsid w:val="008B5CBB"/>
    <w:rsid w:val="008B6236"/>
    <w:rsid w:val="008C0750"/>
    <w:rsid w:val="008C0EE5"/>
    <w:rsid w:val="008C0F6E"/>
    <w:rsid w:val="008C1B33"/>
    <w:rsid w:val="008C20EC"/>
    <w:rsid w:val="008C2807"/>
    <w:rsid w:val="008C5DE3"/>
    <w:rsid w:val="008C5F11"/>
    <w:rsid w:val="008C6598"/>
    <w:rsid w:val="008C6DF1"/>
    <w:rsid w:val="008C73F6"/>
    <w:rsid w:val="008C7A85"/>
    <w:rsid w:val="008D11BB"/>
    <w:rsid w:val="008D1CD4"/>
    <w:rsid w:val="008D35DF"/>
    <w:rsid w:val="008D4696"/>
    <w:rsid w:val="008D5922"/>
    <w:rsid w:val="008D5EB7"/>
    <w:rsid w:val="008D6A49"/>
    <w:rsid w:val="008D7AE4"/>
    <w:rsid w:val="008E22F9"/>
    <w:rsid w:val="008E30E5"/>
    <w:rsid w:val="008E34FE"/>
    <w:rsid w:val="008E3BF8"/>
    <w:rsid w:val="008E6AF2"/>
    <w:rsid w:val="008E7D23"/>
    <w:rsid w:val="008F0230"/>
    <w:rsid w:val="008F10FD"/>
    <w:rsid w:val="008F1C3C"/>
    <w:rsid w:val="008F1C50"/>
    <w:rsid w:val="008F32E3"/>
    <w:rsid w:val="008F3D70"/>
    <w:rsid w:val="008F4407"/>
    <w:rsid w:val="008F613A"/>
    <w:rsid w:val="0090057F"/>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F87"/>
    <w:rsid w:val="00915BF2"/>
    <w:rsid w:val="0091664E"/>
    <w:rsid w:val="00916A57"/>
    <w:rsid w:val="00916B55"/>
    <w:rsid w:val="00917013"/>
    <w:rsid w:val="00917263"/>
    <w:rsid w:val="00920115"/>
    <w:rsid w:val="00922359"/>
    <w:rsid w:val="0092380E"/>
    <w:rsid w:val="009250AD"/>
    <w:rsid w:val="00925455"/>
    <w:rsid w:val="00926644"/>
    <w:rsid w:val="00930A00"/>
    <w:rsid w:val="00930A93"/>
    <w:rsid w:val="00930E49"/>
    <w:rsid w:val="0093135F"/>
    <w:rsid w:val="009320B6"/>
    <w:rsid w:val="009326EF"/>
    <w:rsid w:val="009348B8"/>
    <w:rsid w:val="009352C8"/>
    <w:rsid w:val="00935382"/>
    <w:rsid w:val="00940104"/>
    <w:rsid w:val="00940284"/>
    <w:rsid w:val="0094041A"/>
    <w:rsid w:val="00940E3C"/>
    <w:rsid w:val="009413B8"/>
    <w:rsid w:val="00941573"/>
    <w:rsid w:val="00943130"/>
    <w:rsid w:val="009437E2"/>
    <w:rsid w:val="00943E6C"/>
    <w:rsid w:val="0094541B"/>
    <w:rsid w:val="00945835"/>
    <w:rsid w:val="00945DE7"/>
    <w:rsid w:val="00946F1F"/>
    <w:rsid w:val="0094764C"/>
    <w:rsid w:val="00947994"/>
    <w:rsid w:val="00950239"/>
    <w:rsid w:val="0095032A"/>
    <w:rsid w:val="00950984"/>
    <w:rsid w:val="00950BD0"/>
    <w:rsid w:val="00951170"/>
    <w:rsid w:val="00951995"/>
    <w:rsid w:val="00951D8F"/>
    <w:rsid w:val="00953659"/>
    <w:rsid w:val="00953B78"/>
    <w:rsid w:val="00953C11"/>
    <w:rsid w:val="00953C14"/>
    <w:rsid w:val="0095407A"/>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7ED"/>
    <w:rsid w:val="0098185A"/>
    <w:rsid w:val="00983505"/>
    <w:rsid w:val="00983EA0"/>
    <w:rsid w:val="00985385"/>
    <w:rsid w:val="0098558C"/>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C16"/>
    <w:rsid w:val="009A217F"/>
    <w:rsid w:val="009A22A5"/>
    <w:rsid w:val="009A436E"/>
    <w:rsid w:val="009A5666"/>
    <w:rsid w:val="009A5962"/>
    <w:rsid w:val="009A64B8"/>
    <w:rsid w:val="009A6A2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0DBC"/>
    <w:rsid w:val="009E1321"/>
    <w:rsid w:val="009E359D"/>
    <w:rsid w:val="009E4226"/>
    <w:rsid w:val="009E54F2"/>
    <w:rsid w:val="009E5916"/>
    <w:rsid w:val="009F0BEF"/>
    <w:rsid w:val="009F3737"/>
    <w:rsid w:val="009F611D"/>
    <w:rsid w:val="009F7C25"/>
    <w:rsid w:val="009F7E45"/>
    <w:rsid w:val="00A008DB"/>
    <w:rsid w:val="00A00AA7"/>
    <w:rsid w:val="00A00F2D"/>
    <w:rsid w:val="00A01209"/>
    <w:rsid w:val="00A016B9"/>
    <w:rsid w:val="00A01C90"/>
    <w:rsid w:val="00A0260B"/>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0CA3"/>
    <w:rsid w:val="00A33DD5"/>
    <w:rsid w:val="00A34056"/>
    <w:rsid w:val="00A35896"/>
    <w:rsid w:val="00A36D45"/>
    <w:rsid w:val="00A36D91"/>
    <w:rsid w:val="00A3736C"/>
    <w:rsid w:val="00A4025C"/>
    <w:rsid w:val="00A408D7"/>
    <w:rsid w:val="00A40DD7"/>
    <w:rsid w:val="00A40E03"/>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74E2"/>
    <w:rsid w:val="00A57923"/>
    <w:rsid w:val="00A57F59"/>
    <w:rsid w:val="00A61137"/>
    <w:rsid w:val="00A6197C"/>
    <w:rsid w:val="00A6294C"/>
    <w:rsid w:val="00A643BD"/>
    <w:rsid w:val="00A646E3"/>
    <w:rsid w:val="00A64E7C"/>
    <w:rsid w:val="00A65A1C"/>
    <w:rsid w:val="00A65E2A"/>
    <w:rsid w:val="00A66540"/>
    <w:rsid w:val="00A678EA"/>
    <w:rsid w:val="00A70BFA"/>
    <w:rsid w:val="00A721E5"/>
    <w:rsid w:val="00A72472"/>
    <w:rsid w:val="00A74AE5"/>
    <w:rsid w:val="00A74CA6"/>
    <w:rsid w:val="00A751B8"/>
    <w:rsid w:val="00A75A9D"/>
    <w:rsid w:val="00A75DF9"/>
    <w:rsid w:val="00A7621A"/>
    <w:rsid w:val="00A763A8"/>
    <w:rsid w:val="00A76EDA"/>
    <w:rsid w:val="00A82691"/>
    <w:rsid w:val="00A83524"/>
    <w:rsid w:val="00A8564A"/>
    <w:rsid w:val="00A87C77"/>
    <w:rsid w:val="00A87F89"/>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DB6"/>
    <w:rsid w:val="00AA75DA"/>
    <w:rsid w:val="00AB2ED0"/>
    <w:rsid w:val="00AB34DB"/>
    <w:rsid w:val="00AB37D5"/>
    <w:rsid w:val="00AB38FA"/>
    <w:rsid w:val="00AB3DCC"/>
    <w:rsid w:val="00AB3E36"/>
    <w:rsid w:val="00AB520A"/>
    <w:rsid w:val="00AB6499"/>
    <w:rsid w:val="00AB749D"/>
    <w:rsid w:val="00AC0FBC"/>
    <w:rsid w:val="00AC2DB7"/>
    <w:rsid w:val="00AC38C4"/>
    <w:rsid w:val="00AC454B"/>
    <w:rsid w:val="00AC4C2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1B6B"/>
    <w:rsid w:val="00AE231B"/>
    <w:rsid w:val="00AE2FC1"/>
    <w:rsid w:val="00AE6066"/>
    <w:rsid w:val="00AE68D4"/>
    <w:rsid w:val="00AE6E3A"/>
    <w:rsid w:val="00AE7F92"/>
    <w:rsid w:val="00AF022B"/>
    <w:rsid w:val="00AF0FD6"/>
    <w:rsid w:val="00AF2254"/>
    <w:rsid w:val="00AF2FB8"/>
    <w:rsid w:val="00AF3324"/>
    <w:rsid w:val="00AF49E8"/>
    <w:rsid w:val="00AF5073"/>
    <w:rsid w:val="00AF5A08"/>
    <w:rsid w:val="00AF6B25"/>
    <w:rsid w:val="00AF79FC"/>
    <w:rsid w:val="00B01A02"/>
    <w:rsid w:val="00B01B48"/>
    <w:rsid w:val="00B0243F"/>
    <w:rsid w:val="00B04219"/>
    <w:rsid w:val="00B0780B"/>
    <w:rsid w:val="00B07A6C"/>
    <w:rsid w:val="00B07B2E"/>
    <w:rsid w:val="00B07F6A"/>
    <w:rsid w:val="00B13271"/>
    <w:rsid w:val="00B1367F"/>
    <w:rsid w:val="00B137C9"/>
    <w:rsid w:val="00B14E5D"/>
    <w:rsid w:val="00B205EC"/>
    <w:rsid w:val="00B215AB"/>
    <w:rsid w:val="00B21863"/>
    <w:rsid w:val="00B21E57"/>
    <w:rsid w:val="00B224F8"/>
    <w:rsid w:val="00B232EE"/>
    <w:rsid w:val="00B2377E"/>
    <w:rsid w:val="00B23F37"/>
    <w:rsid w:val="00B23F83"/>
    <w:rsid w:val="00B241C8"/>
    <w:rsid w:val="00B2512F"/>
    <w:rsid w:val="00B260E4"/>
    <w:rsid w:val="00B26404"/>
    <w:rsid w:val="00B26A52"/>
    <w:rsid w:val="00B311F5"/>
    <w:rsid w:val="00B3163F"/>
    <w:rsid w:val="00B31C75"/>
    <w:rsid w:val="00B33419"/>
    <w:rsid w:val="00B33CB5"/>
    <w:rsid w:val="00B356A4"/>
    <w:rsid w:val="00B35DA0"/>
    <w:rsid w:val="00B35EEB"/>
    <w:rsid w:val="00B3718B"/>
    <w:rsid w:val="00B37350"/>
    <w:rsid w:val="00B40C92"/>
    <w:rsid w:val="00B41BC3"/>
    <w:rsid w:val="00B420CB"/>
    <w:rsid w:val="00B42D67"/>
    <w:rsid w:val="00B432E8"/>
    <w:rsid w:val="00B43404"/>
    <w:rsid w:val="00B437C8"/>
    <w:rsid w:val="00B43E27"/>
    <w:rsid w:val="00B4463A"/>
    <w:rsid w:val="00B44BF7"/>
    <w:rsid w:val="00B44BF8"/>
    <w:rsid w:val="00B4523E"/>
    <w:rsid w:val="00B45EB0"/>
    <w:rsid w:val="00B46B86"/>
    <w:rsid w:val="00B46BFF"/>
    <w:rsid w:val="00B477F3"/>
    <w:rsid w:val="00B5024F"/>
    <w:rsid w:val="00B51AB1"/>
    <w:rsid w:val="00B51B4D"/>
    <w:rsid w:val="00B521DC"/>
    <w:rsid w:val="00B529E2"/>
    <w:rsid w:val="00B52BF7"/>
    <w:rsid w:val="00B5348C"/>
    <w:rsid w:val="00B53A29"/>
    <w:rsid w:val="00B54ABC"/>
    <w:rsid w:val="00B5596A"/>
    <w:rsid w:val="00B5703C"/>
    <w:rsid w:val="00B5707C"/>
    <w:rsid w:val="00B607EF"/>
    <w:rsid w:val="00B61066"/>
    <w:rsid w:val="00B6128F"/>
    <w:rsid w:val="00B61F24"/>
    <w:rsid w:val="00B63474"/>
    <w:rsid w:val="00B64663"/>
    <w:rsid w:val="00B6545C"/>
    <w:rsid w:val="00B66D65"/>
    <w:rsid w:val="00B674B6"/>
    <w:rsid w:val="00B67BAB"/>
    <w:rsid w:val="00B67C7C"/>
    <w:rsid w:val="00B67E2E"/>
    <w:rsid w:val="00B67FE1"/>
    <w:rsid w:val="00B72423"/>
    <w:rsid w:val="00B72A59"/>
    <w:rsid w:val="00B740BD"/>
    <w:rsid w:val="00B742E9"/>
    <w:rsid w:val="00B7503D"/>
    <w:rsid w:val="00B755C2"/>
    <w:rsid w:val="00B75DD4"/>
    <w:rsid w:val="00B76A92"/>
    <w:rsid w:val="00B80AC9"/>
    <w:rsid w:val="00B81090"/>
    <w:rsid w:val="00B819CC"/>
    <w:rsid w:val="00B82A86"/>
    <w:rsid w:val="00B82BD3"/>
    <w:rsid w:val="00B83BF3"/>
    <w:rsid w:val="00B8424E"/>
    <w:rsid w:val="00B84AEB"/>
    <w:rsid w:val="00B858FB"/>
    <w:rsid w:val="00B86488"/>
    <w:rsid w:val="00B90D55"/>
    <w:rsid w:val="00B92DA4"/>
    <w:rsid w:val="00B940AA"/>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398"/>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44D2"/>
    <w:rsid w:val="00BD4B59"/>
    <w:rsid w:val="00BD54E8"/>
    <w:rsid w:val="00BD57BC"/>
    <w:rsid w:val="00BD58EA"/>
    <w:rsid w:val="00BD5A67"/>
    <w:rsid w:val="00BD71E4"/>
    <w:rsid w:val="00BD7980"/>
    <w:rsid w:val="00BE07A0"/>
    <w:rsid w:val="00BE0B3A"/>
    <w:rsid w:val="00BE0C4A"/>
    <w:rsid w:val="00BE0F66"/>
    <w:rsid w:val="00BE13BD"/>
    <w:rsid w:val="00BE1D10"/>
    <w:rsid w:val="00BE1ECC"/>
    <w:rsid w:val="00BE2421"/>
    <w:rsid w:val="00BE2CA3"/>
    <w:rsid w:val="00BE2F79"/>
    <w:rsid w:val="00BE352F"/>
    <w:rsid w:val="00BE3C56"/>
    <w:rsid w:val="00BE65D8"/>
    <w:rsid w:val="00BE65FA"/>
    <w:rsid w:val="00BE6CE4"/>
    <w:rsid w:val="00BF0478"/>
    <w:rsid w:val="00BF12CA"/>
    <w:rsid w:val="00BF14F0"/>
    <w:rsid w:val="00BF1BBF"/>
    <w:rsid w:val="00BF223A"/>
    <w:rsid w:val="00BF27AF"/>
    <w:rsid w:val="00BF299C"/>
    <w:rsid w:val="00BF2A19"/>
    <w:rsid w:val="00BF2ADE"/>
    <w:rsid w:val="00BF43C9"/>
    <w:rsid w:val="00BF55AB"/>
    <w:rsid w:val="00BF6191"/>
    <w:rsid w:val="00BF71FF"/>
    <w:rsid w:val="00BF7ED6"/>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07E97"/>
    <w:rsid w:val="00C10DBA"/>
    <w:rsid w:val="00C11106"/>
    <w:rsid w:val="00C1219A"/>
    <w:rsid w:val="00C134FC"/>
    <w:rsid w:val="00C136D1"/>
    <w:rsid w:val="00C1698C"/>
    <w:rsid w:val="00C16E89"/>
    <w:rsid w:val="00C21E65"/>
    <w:rsid w:val="00C239F2"/>
    <w:rsid w:val="00C24FB3"/>
    <w:rsid w:val="00C25135"/>
    <w:rsid w:val="00C26934"/>
    <w:rsid w:val="00C27176"/>
    <w:rsid w:val="00C2720B"/>
    <w:rsid w:val="00C3069F"/>
    <w:rsid w:val="00C315BB"/>
    <w:rsid w:val="00C32F4F"/>
    <w:rsid w:val="00C33327"/>
    <w:rsid w:val="00C337E0"/>
    <w:rsid w:val="00C40F59"/>
    <w:rsid w:val="00C4154F"/>
    <w:rsid w:val="00C41C20"/>
    <w:rsid w:val="00C43E8C"/>
    <w:rsid w:val="00C44469"/>
    <w:rsid w:val="00C4473B"/>
    <w:rsid w:val="00C44B20"/>
    <w:rsid w:val="00C4555E"/>
    <w:rsid w:val="00C47687"/>
    <w:rsid w:val="00C477F6"/>
    <w:rsid w:val="00C50693"/>
    <w:rsid w:val="00C5104C"/>
    <w:rsid w:val="00C5245D"/>
    <w:rsid w:val="00C525AE"/>
    <w:rsid w:val="00C52CF5"/>
    <w:rsid w:val="00C5370C"/>
    <w:rsid w:val="00C53AA0"/>
    <w:rsid w:val="00C541DD"/>
    <w:rsid w:val="00C54675"/>
    <w:rsid w:val="00C55319"/>
    <w:rsid w:val="00C55A61"/>
    <w:rsid w:val="00C60C95"/>
    <w:rsid w:val="00C61944"/>
    <w:rsid w:val="00C63007"/>
    <w:rsid w:val="00C6446C"/>
    <w:rsid w:val="00C64555"/>
    <w:rsid w:val="00C64D91"/>
    <w:rsid w:val="00C70971"/>
    <w:rsid w:val="00C7595C"/>
    <w:rsid w:val="00C803D5"/>
    <w:rsid w:val="00C807F7"/>
    <w:rsid w:val="00C81B8F"/>
    <w:rsid w:val="00C81FA7"/>
    <w:rsid w:val="00C8226E"/>
    <w:rsid w:val="00C8228D"/>
    <w:rsid w:val="00C8360E"/>
    <w:rsid w:val="00C859CB"/>
    <w:rsid w:val="00C85EDA"/>
    <w:rsid w:val="00C86EDC"/>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0D"/>
    <w:rsid w:val="00C97132"/>
    <w:rsid w:val="00CA0240"/>
    <w:rsid w:val="00CA039C"/>
    <w:rsid w:val="00CA1749"/>
    <w:rsid w:val="00CA2672"/>
    <w:rsid w:val="00CA2EA5"/>
    <w:rsid w:val="00CA3AF3"/>
    <w:rsid w:val="00CA3BF2"/>
    <w:rsid w:val="00CA4525"/>
    <w:rsid w:val="00CA4F94"/>
    <w:rsid w:val="00CA6029"/>
    <w:rsid w:val="00CA66C0"/>
    <w:rsid w:val="00CB033F"/>
    <w:rsid w:val="00CB06E9"/>
    <w:rsid w:val="00CB090D"/>
    <w:rsid w:val="00CB0A05"/>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D162F"/>
    <w:rsid w:val="00CD17FC"/>
    <w:rsid w:val="00CD2AFA"/>
    <w:rsid w:val="00CD3192"/>
    <w:rsid w:val="00CD3EFF"/>
    <w:rsid w:val="00CD4681"/>
    <w:rsid w:val="00CD4909"/>
    <w:rsid w:val="00CD4A17"/>
    <w:rsid w:val="00CD5F0C"/>
    <w:rsid w:val="00CD65B3"/>
    <w:rsid w:val="00CD676A"/>
    <w:rsid w:val="00CD7A01"/>
    <w:rsid w:val="00CE0219"/>
    <w:rsid w:val="00CE09B6"/>
    <w:rsid w:val="00CE137B"/>
    <w:rsid w:val="00CE1B61"/>
    <w:rsid w:val="00CE1BAB"/>
    <w:rsid w:val="00CE32DE"/>
    <w:rsid w:val="00CE3530"/>
    <w:rsid w:val="00CE4F46"/>
    <w:rsid w:val="00CE5168"/>
    <w:rsid w:val="00CE5E55"/>
    <w:rsid w:val="00CE6A79"/>
    <w:rsid w:val="00CE70C3"/>
    <w:rsid w:val="00CE7A35"/>
    <w:rsid w:val="00CF0B72"/>
    <w:rsid w:val="00CF30D1"/>
    <w:rsid w:val="00CF3A9B"/>
    <w:rsid w:val="00CF3F63"/>
    <w:rsid w:val="00CF4BEF"/>
    <w:rsid w:val="00CF4E75"/>
    <w:rsid w:val="00CF5D20"/>
    <w:rsid w:val="00CF6038"/>
    <w:rsid w:val="00CF7061"/>
    <w:rsid w:val="00D00318"/>
    <w:rsid w:val="00D004EA"/>
    <w:rsid w:val="00D01DA1"/>
    <w:rsid w:val="00D0244C"/>
    <w:rsid w:val="00D02F9F"/>
    <w:rsid w:val="00D03F86"/>
    <w:rsid w:val="00D04C5E"/>
    <w:rsid w:val="00D07606"/>
    <w:rsid w:val="00D07B01"/>
    <w:rsid w:val="00D07D43"/>
    <w:rsid w:val="00D10D2B"/>
    <w:rsid w:val="00D10E80"/>
    <w:rsid w:val="00D11810"/>
    <w:rsid w:val="00D11997"/>
    <w:rsid w:val="00D12D7C"/>
    <w:rsid w:val="00D1339E"/>
    <w:rsid w:val="00D13F54"/>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11B4"/>
    <w:rsid w:val="00D327A7"/>
    <w:rsid w:val="00D32946"/>
    <w:rsid w:val="00D32AA5"/>
    <w:rsid w:val="00D33019"/>
    <w:rsid w:val="00D33507"/>
    <w:rsid w:val="00D3392F"/>
    <w:rsid w:val="00D33988"/>
    <w:rsid w:val="00D34FE1"/>
    <w:rsid w:val="00D351BC"/>
    <w:rsid w:val="00D3616D"/>
    <w:rsid w:val="00D36462"/>
    <w:rsid w:val="00D36D72"/>
    <w:rsid w:val="00D37701"/>
    <w:rsid w:val="00D40DC9"/>
    <w:rsid w:val="00D417CC"/>
    <w:rsid w:val="00D41FB1"/>
    <w:rsid w:val="00D4224A"/>
    <w:rsid w:val="00D42BC8"/>
    <w:rsid w:val="00D42BCE"/>
    <w:rsid w:val="00D42C51"/>
    <w:rsid w:val="00D4444F"/>
    <w:rsid w:val="00D449FD"/>
    <w:rsid w:val="00D45198"/>
    <w:rsid w:val="00D461C5"/>
    <w:rsid w:val="00D46448"/>
    <w:rsid w:val="00D473E4"/>
    <w:rsid w:val="00D47D89"/>
    <w:rsid w:val="00D50363"/>
    <w:rsid w:val="00D52053"/>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98B"/>
    <w:rsid w:val="00D76B14"/>
    <w:rsid w:val="00D76ECF"/>
    <w:rsid w:val="00D76FFD"/>
    <w:rsid w:val="00D77590"/>
    <w:rsid w:val="00D80B79"/>
    <w:rsid w:val="00D80CF0"/>
    <w:rsid w:val="00D8221C"/>
    <w:rsid w:val="00D82429"/>
    <w:rsid w:val="00D82462"/>
    <w:rsid w:val="00D82DBF"/>
    <w:rsid w:val="00D82E2F"/>
    <w:rsid w:val="00D83A23"/>
    <w:rsid w:val="00D83BA6"/>
    <w:rsid w:val="00D85C50"/>
    <w:rsid w:val="00D8644F"/>
    <w:rsid w:val="00D868C0"/>
    <w:rsid w:val="00D8720A"/>
    <w:rsid w:val="00D87E8D"/>
    <w:rsid w:val="00D9296E"/>
    <w:rsid w:val="00D9297C"/>
    <w:rsid w:val="00D9314E"/>
    <w:rsid w:val="00D93886"/>
    <w:rsid w:val="00D94A3E"/>
    <w:rsid w:val="00D962CC"/>
    <w:rsid w:val="00D96370"/>
    <w:rsid w:val="00D972B0"/>
    <w:rsid w:val="00D97A7D"/>
    <w:rsid w:val="00DA1096"/>
    <w:rsid w:val="00DA16D3"/>
    <w:rsid w:val="00DA19F1"/>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07C6"/>
    <w:rsid w:val="00DD135C"/>
    <w:rsid w:val="00DD1587"/>
    <w:rsid w:val="00DD1E86"/>
    <w:rsid w:val="00DD225E"/>
    <w:rsid w:val="00DD4EB0"/>
    <w:rsid w:val="00DD4FED"/>
    <w:rsid w:val="00DD513A"/>
    <w:rsid w:val="00DD6134"/>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7D5"/>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83"/>
    <w:rsid w:val="00E23642"/>
    <w:rsid w:val="00E236A5"/>
    <w:rsid w:val="00E24E19"/>
    <w:rsid w:val="00E25BA3"/>
    <w:rsid w:val="00E26CE4"/>
    <w:rsid w:val="00E2731A"/>
    <w:rsid w:val="00E3188E"/>
    <w:rsid w:val="00E31FEE"/>
    <w:rsid w:val="00E3214D"/>
    <w:rsid w:val="00E3397C"/>
    <w:rsid w:val="00E347AD"/>
    <w:rsid w:val="00E347FD"/>
    <w:rsid w:val="00E36EC3"/>
    <w:rsid w:val="00E3718D"/>
    <w:rsid w:val="00E4193B"/>
    <w:rsid w:val="00E45361"/>
    <w:rsid w:val="00E55B65"/>
    <w:rsid w:val="00E56E54"/>
    <w:rsid w:val="00E573E6"/>
    <w:rsid w:val="00E5754D"/>
    <w:rsid w:val="00E57A7C"/>
    <w:rsid w:val="00E62615"/>
    <w:rsid w:val="00E627BB"/>
    <w:rsid w:val="00E63298"/>
    <w:rsid w:val="00E64A27"/>
    <w:rsid w:val="00E64CB9"/>
    <w:rsid w:val="00E6537A"/>
    <w:rsid w:val="00E656C1"/>
    <w:rsid w:val="00E65BBE"/>
    <w:rsid w:val="00E65F3E"/>
    <w:rsid w:val="00E661DD"/>
    <w:rsid w:val="00E66889"/>
    <w:rsid w:val="00E7091E"/>
    <w:rsid w:val="00E70A64"/>
    <w:rsid w:val="00E72297"/>
    <w:rsid w:val="00E77178"/>
    <w:rsid w:val="00E777D1"/>
    <w:rsid w:val="00E808FF"/>
    <w:rsid w:val="00E809B6"/>
    <w:rsid w:val="00E80A41"/>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714"/>
    <w:rsid w:val="00E97CD6"/>
    <w:rsid w:val="00EA00D4"/>
    <w:rsid w:val="00EA01A8"/>
    <w:rsid w:val="00EA1C30"/>
    <w:rsid w:val="00EA2550"/>
    <w:rsid w:val="00EA3982"/>
    <w:rsid w:val="00EA3D52"/>
    <w:rsid w:val="00EA5035"/>
    <w:rsid w:val="00EA53BC"/>
    <w:rsid w:val="00EB09A5"/>
    <w:rsid w:val="00EB1169"/>
    <w:rsid w:val="00EB3B29"/>
    <w:rsid w:val="00EB3FF7"/>
    <w:rsid w:val="00EB58B4"/>
    <w:rsid w:val="00EB6E59"/>
    <w:rsid w:val="00EB782E"/>
    <w:rsid w:val="00EC0DF2"/>
    <w:rsid w:val="00EC283A"/>
    <w:rsid w:val="00EC28DF"/>
    <w:rsid w:val="00EC2942"/>
    <w:rsid w:val="00EC4A90"/>
    <w:rsid w:val="00EC51B5"/>
    <w:rsid w:val="00EC5DAC"/>
    <w:rsid w:val="00EC7BE7"/>
    <w:rsid w:val="00ED071B"/>
    <w:rsid w:val="00ED074F"/>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3967"/>
    <w:rsid w:val="00EF3E9C"/>
    <w:rsid w:val="00EF3FD5"/>
    <w:rsid w:val="00EF4870"/>
    <w:rsid w:val="00EF6033"/>
    <w:rsid w:val="00EF72FA"/>
    <w:rsid w:val="00F000AA"/>
    <w:rsid w:val="00F0200A"/>
    <w:rsid w:val="00F02022"/>
    <w:rsid w:val="00F03479"/>
    <w:rsid w:val="00F043F3"/>
    <w:rsid w:val="00F06061"/>
    <w:rsid w:val="00F0629F"/>
    <w:rsid w:val="00F130A9"/>
    <w:rsid w:val="00F13605"/>
    <w:rsid w:val="00F13C85"/>
    <w:rsid w:val="00F155FD"/>
    <w:rsid w:val="00F16D80"/>
    <w:rsid w:val="00F1718B"/>
    <w:rsid w:val="00F17DE2"/>
    <w:rsid w:val="00F21611"/>
    <w:rsid w:val="00F24AAC"/>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4A0"/>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49E8"/>
    <w:rsid w:val="00F56AF9"/>
    <w:rsid w:val="00F57FC3"/>
    <w:rsid w:val="00F6004E"/>
    <w:rsid w:val="00F60136"/>
    <w:rsid w:val="00F60852"/>
    <w:rsid w:val="00F614FA"/>
    <w:rsid w:val="00F62CCC"/>
    <w:rsid w:val="00F638FC"/>
    <w:rsid w:val="00F648F9"/>
    <w:rsid w:val="00F64D43"/>
    <w:rsid w:val="00F70774"/>
    <w:rsid w:val="00F70D1B"/>
    <w:rsid w:val="00F714CB"/>
    <w:rsid w:val="00F77A7A"/>
    <w:rsid w:val="00F77EA1"/>
    <w:rsid w:val="00F77F2B"/>
    <w:rsid w:val="00F80E99"/>
    <w:rsid w:val="00F823C6"/>
    <w:rsid w:val="00F83844"/>
    <w:rsid w:val="00F85B69"/>
    <w:rsid w:val="00F85C57"/>
    <w:rsid w:val="00F85F9D"/>
    <w:rsid w:val="00F8648B"/>
    <w:rsid w:val="00F8690A"/>
    <w:rsid w:val="00F87F12"/>
    <w:rsid w:val="00F902BD"/>
    <w:rsid w:val="00F90BC9"/>
    <w:rsid w:val="00F90F6B"/>
    <w:rsid w:val="00F92A3C"/>
    <w:rsid w:val="00F9307F"/>
    <w:rsid w:val="00F937D6"/>
    <w:rsid w:val="00F94471"/>
    <w:rsid w:val="00F94A5B"/>
    <w:rsid w:val="00F9541D"/>
    <w:rsid w:val="00F95717"/>
    <w:rsid w:val="00F965E3"/>
    <w:rsid w:val="00F966D7"/>
    <w:rsid w:val="00F97574"/>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367D"/>
    <w:rsid w:val="00FC37B8"/>
    <w:rsid w:val="00FC7E81"/>
    <w:rsid w:val="00FD1DF2"/>
    <w:rsid w:val="00FD270D"/>
    <w:rsid w:val="00FD2979"/>
    <w:rsid w:val="00FD3164"/>
    <w:rsid w:val="00FD34BD"/>
    <w:rsid w:val="00FD4E42"/>
    <w:rsid w:val="00FD5B47"/>
    <w:rsid w:val="00FD6AC7"/>
    <w:rsid w:val="00FE10A7"/>
    <w:rsid w:val="00FE153E"/>
    <w:rsid w:val="00FE162A"/>
    <w:rsid w:val="00FE1D5C"/>
    <w:rsid w:val="00FE1FBE"/>
    <w:rsid w:val="00FE235F"/>
    <w:rsid w:val="00FE2D3A"/>
    <w:rsid w:val="00FE31DE"/>
    <w:rsid w:val="00FE323C"/>
    <w:rsid w:val="00FE449A"/>
    <w:rsid w:val="00FE5ACD"/>
    <w:rsid w:val="00FE5BC5"/>
    <w:rsid w:val="00FE60FB"/>
    <w:rsid w:val="00FE6D1C"/>
    <w:rsid w:val="00FE73B7"/>
    <w:rsid w:val="00FE7722"/>
    <w:rsid w:val="00FE79B1"/>
    <w:rsid w:val="00FE7C94"/>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8B5582"/>
    <w:rPr>
      <w:strike w:val="0"/>
      <w:dstrike w:val="0"/>
      <w:color w:val="004B91"/>
      <w:u w:val="none"/>
      <w:effect w:val="none"/>
    </w:rPr>
  </w:style>
  <w:style w:type="paragraph" w:styleId="BalloonText">
    <w:name w:val="Balloon Text"/>
    <w:basedOn w:val="Normal"/>
    <w:link w:val="BalloonTextChar"/>
    <w:rsid w:val="000815DD"/>
    <w:rPr>
      <w:rFonts w:ascii="Tahoma" w:hAnsi="Tahoma" w:cs="Tahoma"/>
      <w:sz w:val="16"/>
      <w:szCs w:val="16"/>
    </w:rPr>
  </w:style>
  <w:style w:type="character" w:customStyle="1" w:styleId="BalloonTextChar">
    <w:name w:val="Balloon Text Char"/>
    <w:basedOn w:val="DefaultParagraphFont"/>
    <w:link w:val="BalloonText"/>
    <w:rsid w:val="000815DD"/>
    <w:rPr>
      <w:rFonts w:ascii="Tahoma" w:hAnsi="Tahoma" w:cs="Tahoma"/>
      <w:sz w:val="16"/>
      <w:szCs w:val="16"/>
    </w:rPr>
  </w:style>
  <w:style w:type="character" w:styleId="CommentReference">
    <w:name w:val="annotation reference"/>
    <w:basedOn w:val="DefaultParagraphFont"/>
    <w:rsid w:val="0030641D"/>
    <w:rPr>
      <w:sz w:val="16"/>
      <w:szCs w:val="16"/>
    </w:rPr>
  </w:style>
  <w:style w:type="paragraph" w:styleId="CommentText">
    <w:name w:val="annotation text"/>
    <w:basedOn w:val="Normal"/>
    <w:link w:val="CommentTextChar"/>
    <w:rsid w:val="0030641D"/>
    <w:rPr>
      <w:sz w:val="20"/>
      <w:szCs w:val="20"/>
    </w:rPr>
  </w:style>
  <w:style w:type="character" w:customStyle="1" w:styleId="CommentTextChar">
    <w:name w:val="Comment Text Char"/>
    <w:basedOn w:val="DefaultParagraphFont"/>
    <w:link w:val="CommentText"/>
    <w:rsid w:val="0030641D"/>
  </w:style>
  <w:style w:type="paragraph" w:styleId="CommentSubject">
    <w:name w:val="annotation subject"/>
    <w:basedOn w:val="CommentText"/>
    <w:next w:val="CommentText"/>
    <w:link w:val="CommentSubjectChar"/>
    <w:rsid w:val="0030641D"/>
    <w:rPr>
      <w:b/>
      <w:bCs/>
    </w:rPr>
  </w:style>
  <w:style w:type="character" w:customStyle="1" w:styleId="CommentSubjectChar">
    <w:name w:val="Comment Subject Char"/>
    <w:basedOn w:val="CommentTextChar"/>
    <w:link w:val="CommentSubject"/>
    <w:rsid w:val="0030641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53E3-3D85-48ED-9DE0-BAB498F9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Administrator</cp:lastModifiedBy>
  <cp:revision>7</cp:revision>
  <cp:lastPrinted>2011-05-05T16:14:00Z</cp:lastPrinted>
  <dcterms:created xsi:type="dcterms:W3CDTF">2011-04-25T14:10:00Z</dcterms:created>
  <dcterms:modified xsi:type="dcterms:W3CDTF">2011-05-05T16:14:00Z</dcterms:modified>
</cp:coreProperties>
</file>