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E1F1C">
        <w:rPr>
          <w:rFonts w:ascii="Times New Roman" w:hAnsi="Times New Roman" w:cs="Times New Roman"/>
          <w:sz w:val="24"/>
          <w:szCs w:val="24"/>
        </w:rPr>
        <w:t xml:space="preserve">May 5, </w:t>
      </w:r>
      <w:r w:rsidR="00614015">
        <w:rPr>
          <w:rFonts w:ascii="Times New Roman" w:hAnsi="Times New Roman" w:cs="Times New Roman"/>
          <w:sz w:val="24"/>
          <w:szCs w:val="24"/>
        </w:rPr>
        <w:t>2011</w:t>
      </w:r>
    </w:p>
    <w:p w:rsidR="00D07A1E" w:rsidRDefault="00D07A1E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6B02" w:rsidRDefault="00E06B02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06B02" w:rsidRPr="00E06B02" w:rsidRDefault="00E06B02" w:rsidP="00E06B02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E06B02">
        <w:rPr>
          <w:rFonts w:ascii="Times New Roman" w:hAnsi="Times New Roman" w:cs="Times New Roman"/>
          <w:spacing w:val="-3"/>
          <w:sz w:val="24"/>
          <w:szCs w:val="24"/>
        </w:rPr>
        <w:t>Ronald Daniel</w:t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E06B02" w:rsidRPr="00E06B02" w:rsidRDefault="00E06B02" w:rsidP="00E06B02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E06B02" w:rsidRPr="00E06B02" w:rsidRDefault="00E06B02" w:rsidP="00E06B02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  <w:t xml:space="preserve">: </w:t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>C-2010-2181983</w:t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19595A" w:rsidRPr="00E06B02" w:rsidRDefault="00E06B02" w:rsidP="00E06B02">
      <w:pPr>
        <w:spacing w:line="228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E06B02">
        <w:rPr>
          <w:rFonts w:ascii="Times New Roman" w:hAnsi="Times New Roman" w:cs="Times New Roman"/>
          <w:spacing w:val="-3"/>
          <w:sz w:val="24"/>
          <w:szCs w:val="24"/>
        </w:rPr>
        <w:t>Philadelphia Gas Works</w:t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06B0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39C7" w:rsidRPr="007C0CAB" w:rsidRDefault="000D39C7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28E2" w:rsidRDefault="001A28E2" w:rsidP="007C0CAB">
      <w:pPr>
        <w:spacing w:line="19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E87192">
        <w:rPr>
          <w:rFonts w:ascii="Times New Roman" w:hAnsi="Times New Roman" w:cs="Times New Roman"/>
          <w:sz w:val="24"/>
          <w:szCs w:val="24"/>
        </w:rPr>
        <w:t>Herbert Smolen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E87192">
        <w:rPr>
          <w:rFonts w:ascii="Times New Roman" w:hAnsi="Times New Roman" w:cs="Times New Roman"/>
          <w:sz w:val="24"/>
          <w:szCs w:val="24"/>
        </w:rPr>
        <w:t>September 28</w:t>
      </w:r>
      <w:r w:rsidR="005440E4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87192" w:rsidRPr="00E87192" w:rsidRDefault="00E87192" w:rsidP="00E87192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E87192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E8719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E87192">
        <w:rPr>
          <w:rFonts w:ascii="Times New Roman" w:hAnsi="Times New Roman" w:cs="Times New Roman"/>
          <w:sz w:val="24"/>
          <w:szCs w:val="24"/>
        </w:rPr>
        <w:t xml:space="preserve">That the Preliminary Objection filed by the Philadelphia Gas Works in the above-captioned case challenging the jurisdiction of the Pennsylvania Public Utility Commission is hereby sustained.  </w:t>
      </w:r>
    </w:p>
    <w:p w:rsidR="00E87192" w:rsidRPr="00E87192" w:rsidRDefault="00E87192" w:rsidP="00E87192">
      <w:pPr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E87192" w:rsidRPr="00E87192" w:rsidRDefault="00E87192" w:rsidP="00E8719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87192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E87192">
        <w:rPr>
          <w:rFonts w:ascii="Times New Roman" w:hAnsi="Times New Roman" w:cs="Times New Roman"/>
          <w:spacing w:val="-3"/>
          <w:sz w:val="24"/>
          <w:szCs w:val="24"/>
        </w:rPr>
        <w:tab/>
        <w:t>That the Complaint filed by Ronald Daniel against the Philadelphia Gas Works at Docket Number C-2010-2181983 is hereby dismissed.</w:t>
      </w:r>
    </w:p>
    <w:p w:rsidR="000D39C7" w:rsidRDefault="000D39C7" w:rsidP="00E87192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0D39C7" w:rsidSect="007C0CA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87192" w:rsidRPr="00E87192" w:rsidRDefault="000D39C7" w:rsidP="000D39C7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E87192" w:rsidRPr="00E87192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="00E87192" w:rsidRPr="00E87192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That the record at Docket Number C-2010-2181983 be marked closed. </w:t>
      </w:r>
    </w:p>
    <w:p w:rsidR="006D139B" w:rsidRDefault="006D139B" w:rsidP="005440E4">
      <w:pPr>
        <w:pStyle w:val="BodyText2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29CE" w:rsidRDefault="00AA29CE" w:rsidP="007C0CAB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A36092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12700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EC65A1" w:rsidRPr="00897CAF" w:rsidRDefault="00EC65A1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7E1F1C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Pr="006D139B" w:rsidRDefault="00B12417" w:rsidP="006D139B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36092">
        <w:rPr>
          <w:rFonts w:ascii="Times New Roman" w:hAnsi="Times New Roman" w:cs="Times New Roman"/>
          <w:sz w:val="24"/>
          <w:szCs w:val="24"/>
        </w:rPr>
        <w:t>May 6, 2011</w:t>
      </w:r>
    </w:p>
    <w:sectPr w:rsidR="00B12417" w:rsidRPr="006D139B" w:rsidSect="007C0CAB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BA" w:rsidRDefault="002E7BBA" w:rsidP="00B11240">
      <w:r>
        <w:separator/>
      </w:r>
    </w:p>
  </w:endnote>
  <w:endnote w:type="continuationSeparator" w:id="0">
    <w:p w:rsidR="002E7BBA" w:rsidRDefault="002E7BBA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287956"/>
      <w:docPartObj>
        <w:docPartGallery w:val="Page Numbers (Bottom of Page)"/>
        <w:docPartUnique/>
      </w:docPartObj>
    </w:sdtPr>
    <w:sdtContent>
      <w:p w:rsidR="000D39C7" w:rsidRDefault="00035EEC">
        <w:pPr>
          <w:pStyle w:val="Footer"/>
          <w:jc w:val="center"/>
        </w:pPr>
        <w:r w:rsidRPr="000D39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D39C7" w:rsidRPr="000D39C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D39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360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D39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BA" w:rsidRDefault="002E7BBA" w:rsidP="00B11240">
      <w:r>
        <w:separator/>
      </w:r>
    </w:p>
  </w:footnote>
  <w:footnote w:type="continuationSeparator" w:id="0">
    <w:p w:rsidR="002E7BBA" w:rsidRDefault="002E7BBA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35EEC"/>
    <w:rsid w:val="00045095"/>
    <w:rsid w:val="00063A17"/>
    <w:rsid w:val="00066324"/>
    <w:rsid w:val="00096961"/>
    <w:rsid w:val="00096CC8"/>
    <w:rsid w:val="000B0497"/>
    <w:rsid w:val="000B2075"/>
    <w:rsid w:val="000B4BE6"/>
    <w:rsid w:val="000B6554"/>
    <w:rsid w:val="000C27E4"/>
    <w:rsid w:val="000D2640"/>
    <w:rsid w:val="000D2FE5"/>
    <w:rsid w:val="000D328A"/>
    <w:rsid w:val="000D39C7"/>
    <w:rsid w:val="00107214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76420"/>
    <w:rsid w:val="00182E51"/>
    <w:rsid w:val="0019595A"/>
    <w:rsid w:val="001A28E2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1F8A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E7BBA"/>
    <w:rsid w:val="002F77A7"/>
    <w:rsid w:val="00314D59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73621"/>
    <w:rsid w:val="0037486F"/>
    <w:rsid w:val="00376E08"/>
    <w:rsid w:val="0037764A"/>
    <w:rsid w:val="00382683"/>
    <w:rsid w:val="00383269"/>
    <w:rsid w:val="003845DC"/>
    <w:rsid w:val="00387DDF"/>
    <w:rsid w:val="00390604"/>
    <w:rsid w:val="0039224F"/>
    <w:rsid w:val="00396B9D"/>
    <w:rsid w:val="003A17D3"/>
    <w:rsid w:val="003A2202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45F4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40E4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317D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39B"/>
    <w:rsid w:val="006D1F49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447DA"/>
    <w:rsid w:val="00753628"/>
    <w:rsid w:val="00753DB7"/>
    <w:rsid w:val="00756CE9"/>
    <w:rsid w:val="00757D6D"/>
    <w:rsid w:val="00761851"/>
    <w:rsid w:val="007629FE"/>
    <w:rsid w:val="007732B7"/>
    <w:rsid w:val="00790FC4"/>
    <w:rsid w:val="00791F2E"/>
    <w:rsid w:val="00796C78"/>
    <w:rsid w:val="00797399"/>
    <w:rsid w:val="007A4913"/>
    <w:rsid w:val="007A7B79"/>
    <w:rsid w:val="007B59DF"/>
    <w:rsid w:val="007C0CAB"/>
    <w:rsid w:val="007C7C46"/>
    <w:rsid w:val="007D76BC"/>
    <w:rsid w:val="007E1F1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97CAF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368E"/>
    <w:rsid w:val="009F3F6D"/>
    <w:rsid w:val="009F7C61"/>
    <w:rsid w:val="00A112CB"/>
    <w:rsid w:val="00A14CE9"/>
    <w:rsid w:val="00A207EC"/>
    <w:rsid w:val="00A3053A"/>
    <w:rsid w:val="00A30653"/>
    <w:rsid w:val="00A312D2"/>
    <w:rsid w:val="00A318AF"/>
    <w:rsid w:val="00A36092"/>
    <w:rsid w:val="00A552C6"/>
    <w:rsid w:val="00A56C87"/>
    <w:rsid w:val="00A61315"/>
    <w:rsid w:val="00A66D62"/>
    <w:rsid w:val="00A732A4"/>
    <w:rsid w:val="00A7652A"/>
    <w:rsid w:val="00A91A00"/>
    <w:rsid w:val="00A939E5"/>
    <w:rsid w:val="00A959FC"/>
    <w:rsid w:val="00A95E64"/>
    <w:rsid w:val="00AA29CE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C6C76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4113"/>
    <w:rsid w:val="00B66DE0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5DEC"/>
    <w:rsid w:val="00C35748"/>
    <w:rsid w:val="00C62372"/>
    <w:rsid w:val="00C750D6"/>
    <w:rsid w:val="00C76AC8"/>
    <w:rsid w:val="00C81D75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07A1E"/>
    <w:rsid w:val="00D10C6D"/>
    <w:rsid w:val="00D21F26"/>
    <w:rsid w:val="00D23DA6"/>
    <w:rsid w:val="00D27566"/>
    <w:rsid w:val="00D3713A"/>
    <w:rsid w:val="00D47FB4"/>
    <w:rsid w:val="00D518EC"/>
    <w:rsid w:val="00D52EB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3E61"/>
    <w:rsid w:val="00DD5290"/>
    <w:rsid w:val="00DE5FDC"/>
    <w:rsid w:val="00DF3C92"/>
    <w:rsid w:val="00E0690A"/>
    <w:rsid w:val="00E06B02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356D"/>
    <w:rsid w:val="00E543FE"/>
    <w:rsid w:val="00E623AE"/>
    <w:rsid w:val="00E657E9"/>
    <w:rsid w:val="00E67157"/>
    <w:rsid w:val="00E74520"/>
    <w:rsid w:val="00E74964"/>
    <w:rsid w:val="00E83539"/>
    <w:rsid w:val="00E85445"/>
    <w:rsid w:val="00E87192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65A1"/>
    <w:rsid w:val="00ED484F"/>
    <w:rsid w:val="00ED7D4A"/>
    <w:rsid w:val="00EE37C9"/>
    <w:rsid w:val="00EE3C14"/>
    <w:rsid w:val="00EE5F3B"/>
    <w:rsid w:val="00EF006F"/>
    <w:rsid w:val="00EF2AAB"/>
    <w:rsid w:val="00EF408C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84E99"/>
    <w:rsid w:val="00F922AB"/>
    <w:rsid w:val="00F938E2"/>
    <w:rsid w:val="00F950A5"/>
    <w:rsid w:val="00FA02C6"/>
    <w:rsid w:val="00FA3034"/>
    <w:rsid w:val="00FB639D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14D5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4D5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447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7DA"/>
  </w:style>
  <w:style w:type="paragraph" w:styleId="BodyText3">
    <w:name w:val="Body Text 3"/>
    <w:basedOn w:val="Normal"/>
    <w:link w:val="BodyText3Char"/>
    <w:uiPriority w:val="99"/>
    <w:semiHidden/>
    <w:unhideWhenUsed/>
    <w:rsid w:val="007447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47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8A79-962B-4DCD-BE2E-934646F9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4</cp:revision>
  <cp:lastPrinted>2011-05-06T12:56:00Z</cp:lastPrinted>
  <dcterms:created xsi:type="dcterms:W3CDTF">2011-04-25T16:36:00Z</dcterms:created>
  <dcterms:modified xsi:type="dcterms:W3CDTF">2011-05-06T12:56:00Z</dcterms:modified>
</cp:coreProperties>
</file>