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EC8" w:rsidRPr="00274542" w:rsidRDefault="00ED3EC8" w:rsidP="00274542">
      <w:pPr>
        <w:jc w:val="center"/>
        <w:rPr>
          <w:b/>
          <w:sz w:val="24"/>
          <w:szCs w:val="24"/>
        </w:rPr>
      </w:pPr>
      <w:r w:rsidRPr="00274542">
        <w:rPr>
          <w:b/>
          <w:sz w:val="24"/>
          <w:szCs w:val="24"/>
        </w:rPr>
        <w:t>BEFORE THE</w:t>
      </w:r>
    </w:p>
    <w:p w:rsidR="00ED3EC8" w:rsidRPr="00274542" w:rsidRDefault="00ED3EC8" w:rsidP="00274542">
      <w:pPr>
        <w:jc w:val="center"/>
        <w:rPr>
          <w:b/>
          <w:sz w:val="24"/>
          <w:szCs w:val="24"/>
        </w:rPr>
      </w:pPr>
      <w:r w:rsidRPr="00274542">
        <w:rPr>
          <w:b/>
          <w:sz w:val="24"/>
          <w:szCs w:val="24"/>
        </w:rPr>
        <w:t>PENNSYLVANIA PUBLIC UTILITY COMMISSION</w:t>
      </w:r>
    </w:p>
    <w:p w:rsidR="00ED3EC8" w:rsidRPr="00274542" w:rsidRDefault="00ED3EC8" w:rsidP="00274542">
      <w:pPr>
        <w:jc w:val="center"/>
        <w:rPr>
          <w:b/>
          <w:sz w:val="24"/>
          <w:szCs w:val="24"/>
        </w:rPr>
      </w:pPr>
    </w:p>
    <w:p w:rsidR="00ED3EC8" w:rsidRDefault="00ED3EC8" w:rsidP="00274542">
      <w:pPr>
        <w:jc w:val="center"/>
        <w:rPr>
          <w:b/>
          <w:sz w:val="24"/>
          <w:szCs w:val="24"/>
        </w:rPr>
      </w:pPr>
    </w:p>
    <w:p w:rsidR="00274542" w:rsidRPr="00274542" w:rsidRDefault="00274542" w:rsidP="00274542">
      <w:pPr>
        <w:jc w:val="center"/>
        <w:rPr>
          <w:b/>
          <w:sz w:val="24"/>
          <w:szCs w:val="24"/>
        </w:rPr>
      </w:pPr>
    </w:p>
    <w:p w:rsidR="00ED3EC8" w:rsidRPr="00274542" w:rsidRDefault="00F561B9" w:rsidP="00274542">
      <w:pPr>
        <w:rPr>
          <w:sz w:val="24"/>
          <w:szCs w:val="24"/>
        </w:rPr>
      </w:pPr>
      <w:r w:rsidRPr="00274542">
        <w:rPr>
          <w:sz w:val="24"/>
          <w:szCs w:val="24"/>
        </w:rPr>
        <w:t>F</w:t>
      </w:r>
      <w:r w:rsidR="008E701E" w:rsidRPr="00274542">
        <w:rPr>
          <w:sz w:val="24"/>
          <w:szCs w:val="24"/>
        </w:rPr>
        <w:t>aith Love &amp; Hope Tabernacle</w:t>
      </w:r>
      <w:r w:rsidR="008E701E" w:rsidRPr="00274542">
        <w:rPr>
          <w:sz w:val="24"/>
          <w:szCs w:val="24"/>
        </w:rPr>
        <w:tab/>
      </w:r>
      <w:r w:rsidR="00ED3EC8" w:rsidRPr="00274542">
        <w:rPr>
          <w:sz w:val="24"/>
          <w:szCs w:val="24"/>
        </w:rPr>
        <w:tab/>
      </w:r>
      <w:r w:rsidR="00ED3EC8" w:rsidRPr="00274542">
        <w:rPr>
          <w:sz w:val="24"/>
          <w:szCs w:val="24"/>
        </w:rPr>
        <w:tab/>
        <w:t>:</w:t>
      </w:r>
    </w:p>
    <w:p w:rsidR="00ED3EC8" w:rsidRPr="00274542" w:rsidRDefault="00ED3EC8" w:rsidP="00274542">
      <w:pPr>
        <w:rPr>
          <w:sz w:val="24"/>
          <w:szCs w:val="24"/>
        </w:rPr>
      </w:pPr>
      <w:r w:rsidRPr="00274542">
        <w:rPr>
          <w:sz w:val="24"/>
          <w:szCs w:val="24"/>
        </w:rPr>
        <w:tab/>
      </w:r>
      <w:r w:rsidRPr="00274542">
        <w:rPr>
          <w:sz w:val="24"/>
          <w:szCs w:val="24"/>
        </w:rPr>
        <w:tab/>
      </w:r>
      <w:r w:rsidRPr="00274542">
        <w:rPr>
          <w:sz w:val="24"/>
          <w:szCs w:val="24"/>
        </w:rPr>
        <w:tab/>
      </w:r>
      <w:r w:rsidRPr="00274542">
        <w:rPr>
          <w:sz w:val="24"/>
          <w:szCs w:val="24"/>
        </w:rPr>
        <w:tab/>
      </w:r>
      <w:r w:rsidRPr="00274542">
        <w:rPr>
          <w:sz w:val="24"/>
          <w:szCs w:val="24"/>
        </w:rPr>
        <w:tab/>
      </w:r>
      <w:r w:rsidRPr="00274542">
        <w:rPr>
          <w:sz w:val="24"/>
          <w:szCs w:val="24"/>
        </w:rPr>
        <w:tab/>
      </w:r>
      <w:r w:rsidRPr="00274542">
        <w:rPr>
          <w:sz w:val="24"/>
          <w:szCs w:val="24"/>
        </w:rPr>
        <w:tab/>
        <w:t>:</w:t>
      </w:r>
    </w:p>
    <w:p w:rsidR="00ED3EC8" w:rsidRPr="00274542" w:rsidRDefault="008E19D7" w:rsidP="00274542">
      <w:pPr>
        <w:rPr>
          <w:sz w:val="24"/>
          <w:szCs w:val="24"/>
        </w:rPr>
      </w:pPr>
      <w:r w:rsidRPr="00274542">
        <w:rPr>
          <w:sz w:val="24"/>
          <w:szCs w:val="24"/>
        </w:rPr>
        <w:tab/>
        <w:t>v.</w:t>
      </w:r>
      <w:r w:rsidRPr="00274542">
        <w:rPr>
          <w:sz w:val="24"/>
          <w:szCs w:val="24"/>
        </w:rPr>
        <w:tab/>
      </w:r>
      <w:r w:rsidRPr="00274542">
        <w:rPr>
          <w:sz w:val="24"/>
          <w:szCs w:val="24"/>
        </w:rPr>
        <w:tab/>
      </w:r>
      <w:r w:rsidRPr="00274542">
        <w:rPr>
          <w:sz w:val="24"/>
          <w:szCs w:val="24"/>
        </w:rPr>
        <w:tab/>
      </w:r>
      <w:r w:rsidRPr="00274542">
        <w:rPr>
          <w:sz w:val="24"/>
          <w:szCs w:val="24"/>
        </w:rPr>
        <w:tab/>
      </w:r>
      <w:r w:rsidRPr="00274542">
        <w:rPr>
          <w:sz w:val="24"/>
          <w:szCs w:val="24"/>
        </w:rPr>
        <w:tab/>
      </w:r>
      <w:r w:rsidRPr="00274542">
        <w:rPr>
          <w:sz w:val="24"/>
          <w:szCs w:val="24"/>
        </w:rPr>
        <w:tab/>
        <w:t>:</w:t>
      </w:r>
      <w:r w:rsidRPr="00274542">
        <w:rPr>
          <w:sz w:val="24"/>
          <w:szCs w:val="24"/>
        </w:rPr>
        <w:tab/>
      </w:r>
      <w:r w:rsidR="00274542">
        <w:rPr>
          <w:sz w:val="24"/>
          <w:szCs w:val="24"/>
        </w:rPr>
        <w:tab/>
      </w:r>
      <w:r w:rsidRPr="00274542">
        <w:rPr>
          <w:sz w:val="24"/>
          <w:szCs w:val="24"/>
        </w:rPr>
        <w:t>C-2010-21</w:t>
      </w:r>
      <w:r w:rsidR="00890848" w:rsidRPr="00274542">
        <w:rPr>
          <w:sz w:val="24"/>
          <w:szCs w:val="24"/>
        </w:rPr>
        <w:t>6</w:t>
      </w:r>
      <w:r w:rsidR="00F561B9" w:rsidRPr="00274542">
        <w:rPr>
          <w:sz w:val="24"/>
          <w:szCs w:val="24"/>
        </w:rPr>
        <w:t>3224</w:t>
      </w:r>
    </w:p>
    <w:p w:rsidR="00ED3EC8" w:rsidRPr="00274542" w:rsidRDefault="00ED3EC8" w:rsidP="00274542">
      <w:pPr>
        <w:rPr>
          <w:sz w:val="24"/>
          <w:szCs w:val="24"/>
        </w:rPr>
      </w:pPr>
      <w:r w:rsidRPr="00274542">
        <w:rPr>
          <w:sz w:val="24"/>
          <w:szCs w:val="24"/>
        </w:rPr>
        <w:tab/>
      </w:r>
      <w:r w:rsidRPr="00274542">
        <w:rPr>
          <w:sz w:val="24"/>
          <w:szCs w:val="24"/>
        </w:rPr>
        <w:tab/>
      </w:r>
      <w:r w:rsidRPr="00274542">
        <w:rPr>
          <w:sz w:val="24"/>
          <w:szCs w:val="24"/>
        </w:rPr>
        <w:tab/>
      </w:r>
      <w:r w:rsidRPr="00274542">
        <w:rPr>
          <w:sz w:val="24"/>
          <w:szCs w:val="24"/>
        </w:rPr>
        <w:tab/>
      </w:r>
      <w:r w:rsidRPr="00274542">
        <w:rPr>
          <w:sz w:val="24"/>
          <w:szCs w:val="24"/>
        </w:rPr>
        <w:tab/>
      </w:r>
      <w:r w:rsidRPr="00274542">
        <w:rPr>
          <w:sz w:val="24"/>
          <w:szCs w:val="24"/>
        </w:rPr>
        <w:tab/>
      </w:r>
      <w:r w:rsidRPr="00274542">
        <w:rPr>
          <w:sz w:val="24"/>
          <w:szCs w:val="24"/>
        </w:rPr>
        <w:tab/>
        <w:t>:</w:t>
      </w:r>
    </w:p>
    <w:p w:rsidR="00ED3EC8" w:rsidRPr="00274542" w:rsidRDefault="00F561B9" w:rsidP="00274542">
      <w:pPr>
        <w:rPr>
          <w:sz w:val="24"/>
          <w:szCs w:val="24"/>
        </w:rPr>
      </w:pPr>
      <w:r w:rsidRPr="00274542">
        <w:rPr>
          <w:sz w:val="24"/>
          <w:szCs w:val="24"/>
        </w:rPr>
        <w:t xml:space="preserve">UGI </w:t>
      </w:r>
      <w:r w:rsidR="008E701E" w:rsidRPr="00274542">
        <w:rPr>
          <w:sz w:val="24"/>
          <w:szCs w:val="24"/>
        </w:rPr>
        <w:t>Utilities, Inc.</w:t>
      </w:r>
      <w:r w:rsidR="008E701E" w:rsidRPr="00274542">
        <w:rPr>
          <w:sz w:val="24"/>
          <w:szCs w:val="24"/>
        </w:rPr>
        <w:tab/>
      </w:r>
      <w:r w:rsidRPr="00274542">
        <w:rPr>
          <w:sz w:val="24"/>
          <w:szCs w:val="24"/>
        </w:rPr>
        <w:tab/>
      </w:r>
      <w:r w:rsidR="00ED3EC8" w:rsidRPr="00274542">
        <w:rPr>
          <w:sz w:val="24"/>
          <w:szCs w:val="24"/>
        </w:rPr>
        <w:tab/>
      </w:r>
      <w:r w:rsidR="00ED3EC8" w:rsidRPr="00274542">
        <w:rPr>
          <w:sz w:val="24"/>
          <w:szCs w:val="24"/>
        </w:rPr>
        <w:tab/>
      </w:r>
      <w:r w:rsidR="00ED3EC8" w:rsidRPr="00274542">
        <w:rPr>
          <w:sz w:val="24"/>
          <w:szCs w:val="24"/>
        </w:rPr>
        <w:tab/>
        <w:t>:</w:t>
      </w:r>
    </w:p>
    <w:p w:rsidR="00ED3EC8" w:rsidRPr="00274542" w:rsidRDefault="00ED3EC8" w:rsidP="00274542">
      <w:pPr>
        <w:rPr>
          <w:sz w:val="24"/>
          <w:szCs w:val="24"/>
        </w:rPr>
      </w:pPr>
    </w:p>
    <w:p w:rsidR="00ED3EC8" w:rsidRDefault="00ED3EC8" w:rsidP="00274542">
      <w:pPr>
        <w:rPr>
          <w:sz w:val="24"/>
          <w:szCs w:val="24"/>
        </w:rPr>
      </w:pPr>
    </w:p>
    <w:p w:rsidR="00274542" w:rsidRPr="00274542" w:rsidRDefault="00274542" w:rsidP="00274542">
      <w:pPr>
        <w:rPr>
          <w:sz w:val="24"/>
          <w:szCs w:val="24"/>
        </w:rPr>
      </w:pPr>
    </w:p>
    <w:p w:rsidR="008D5446" w:rsidRPr="00274542" w:rsidRDefault="008D5446" w:rsidP="00274542">
      <w:pPr>
        <w:spacing w:line="360" w:lineRule="auto"/>
        <w:jc w:val="center"/>
        <w:rPr>
          <w:b/>
          <w:sz w:val="24"/>
          <w:szCs w:val="24"/>
          <w:u w:val="single"/>
        </w:rPr>
      </w:pPr>
      <w:r w:rsidRPr="00274542">
        <w:rPr>
          <w:b/>
          <w:sz w:val="24"/>
          <w:szCs w:val="24"/>
          <w:u w:val="single"/>
        </w:rPr>
        <w:t>INITIAL DECISION</w:t>
      </w:r>
    </w:p>
    <w:p w:rsidR="008D5446" w:rsidRPr="00274542" w:rsidRDefault="008D5446" w:rsidP="00274542">
      <w:pPr>
        <w:jc w:val="center"/>
        <w:rPr>
          <w:sz w:val="24"/>
          <w:szCs w:val="24"/>
        </w:rPr>
      </w:pPr>
    </w:p>
    <w:p w:rsidR="008D5446" w:rsidRPr="00274542" w:rsidRDefault="008D5446" w:rsidP="00274542">
      <w:pPr>
        <w:jc w:val="center"/>
        <w:rPr>
          <w:sz w:val="24"/>
          <w:szCs w:val="24"/>
        </w:rPr>
      </w:pPr>
    </w:p>
    <w:p w:rsidR="008D5446" w:rsidRDefault="008D5446" w:rsidP="00274542">
      <w:pPr>
        <w:jc w:val="center"/>
        <w:rPr>
          <w:sz w:val="24"/>
          <w:szCs w:val="24"/>
        </w:rPr>
      </w:pPr>
      <w:r w:rsidRPr="00274542">
        <w:rPr>
          <w:sz w:val="24"/>
          <w:szCs w:val="24"/>
        </w:rPr>
        <w:t>Before</w:t>
      </w:r>
    </w:p>
    <w:p w:rsidR="00A328E1" w:rsidRPr="00274542" w:rsidRDefault="00A328E1" w:rsidP="00A328E1">
      <w:pPr>
        <w:jc w:val="center"/>
        <w:rPr>
          <w:sz w:val="24"/>
          <w:szCs w:val="24"/>
        </w:rPr>
      </w:pPr>
      <w:r w:rsidRPr="00274542">
        <w:rPr>
          <w:sz w:val="24"/>
          <w:szCs w:val="24"/>
        </w:rPr>
        <w:t>Dennis J. Buckley</w:t>
      </w:r>
    </w:p>
    <w:p w:rsidR="008D5446" w:rsidRPr="00274542" w:rsidRDefault="008D5446" w:rsidP="00274542">
      <w:pPr>
        <w:jc w:val="center"/>
        <w:rPr>
          <w:sz w:val="24"/>
          <w:szCs w:val="24"/>
        </w:rPr>
      </w:pPr>
      <w:r w:rsidRPr="00274542">
        <w:rPr>
          <w:sz w:val="24"/>
          <w:szCs w:val="24"/>
        </w:rPr>
        <w:t>Administrative Law Judge</w:t>
      </w:r>
    </w:p>
    <w:p w:rsidR="008D5446" w:rsidRPr="00274542" w:rsidRDefault="008D5446" w:rsidP="00274542">
      <w:pPr>
        <w:rPr>
          <w:sz w:val="24"/>
          <w:szCs w:val="24"/>
        </w:rPr>
      </w:pPr>
    </w:p>
    <w:p w:rsidR="008D5446" w:rsidRPr="00274542" w:rsidRDefault="008D5446" w:rsidP="00274542">
      <w:pPr>
        <w:rPr>
          <w:sz w:val="24"/>
          <w:szCs w:val="24"/>
        </w:rPr>
      </w:pPr>
    </w:p>
    <w:p w:rsidR="008D5446" w:rsidRDefault="008D5446" w:rsidP="00274542">
      <w:pPr>
        <w:jc w:val="center"/>
        <w:rPr>
          <w:sz w:val="24"/>
          <w:szCs w:val="24"/>
          <w:u w:val="single"/>
        </w:rPr>
      </w:pPr>
      <w:r w:rsidRPr="00274542">
        <w:rPr>
          <w:sz w:val="24"/>
          <w:szCs w:val="24"/>
          <w:u w:val="single"/>
        </w:rPr>
        <w:t>HISTORY OF THE PROCEEDING</w:t>
      </w:r>
    </w:p>
    <w:p w:rsidR="00274542" w:rsidRPr="00274542" w:rsidRDefault="00274542" w:rsidP="00274542">
      <w:pPr>
        <w:jc w:val="center"/>
        <w:rPr>
          <w:sz w:val="24"/>
          <w:szCs w:val="24"/>
          <w:u w:val="single"/>
        </w:rPr>
      </w:pPr>
    </w:p>
    <w:p w:rsidR="008D5446" w:rsidRPr="00274542" w:rsidRDefault="008D5446" w:rsidP="00274542">
      <w:pPr>
        <w:jc w:val="center"/>
        <w:rPr>
          <w:sz w:val="24"/>
          <w:szCs w:val="24"/>
          <w:u w:val="single"/>
        </w:rPr>
      </w:pPr>
    </w:p>
    <w:p w:rsidR="003619D4" w:rsidRPr="00274542" w:rsidRDefault="008D5446" w:rsidP="00274542">
      <w:pPr>
        <w:spacing w:line="360" w:lineRule="auto"/>
        <w:rPr>
          <w:sz w:val="24"/>
          <w:szCs w:val="24"/>
        </w:rPr>
      </w:pPr>
      <w:r w:rsidRPr="00274542">
        <w:rPr>
          <w:sz w:val="24"/>
          <w:szCs w:val="24"/>
        </w:rPr>
        <w:tab/>
      </w:r>
      <w:r w:rsidRPr="00274542">
        <w:rPr>
          <w:sz w:val="24"/>
          <w:szCs w:val="24"/>
        </w:rPr>
        <w:tab/>
        <w:t xml:space="preserve">This Initial Decision dismisses a complaint that Faith Love &amp; Hope Tabernacle </w:t>
      </w:r>
      <w:r w:rsidR="009B6627" w:rsidRPr="00274542">
        <w:rPr>
          <w:sz w:val="24"/>
          <w:szCs w:val="24"/>
        </w:rPr>
        <w:t>(Of God’s Holy Fire)</w:t>
      </w:r>
      <w:r w:rsidR="00E930AB" w:rsidRPr="00274542">
        <w:rPr>
          <w:rStyle w:val="FootnoteReference"/>
          <w:sz w:val="24"/>
          <w:szCs w:val="24"/>
        </w:rPr>
        <w:footnoteReference w:id="1"/>
      </w:r>
      <w:r w:rsidR="009B6627" w:rsidRPr="00274542">
        <w:rPr>
          <w:sz w:val="24"/>
          <w:szCs w:val="24"/>
        </w:rPr>
        <w:t xml:space="preserve"> </w:t>
      </w:r>
      <w:r w:rsidRPr="00274542">
        <w:rPr>
          <w:sz w:val="24"/>
          <w:szCs w:val="24"/>
        </w:rPr>
        <w:t xml:space="preserve">(Complainant) filed with the Pennsylvania Public Utility Commission (Commission) on </w:t>
      </w:r>
      <w:r w:rsidR="003619D4" w:rsidRPr="00274542">
        <w:rPr>
          <w:sz w:val="24"/>
          <w:szCs w:val="24"/>
        </w:rPr>
        <w:t>February 25, 2010</w:t>
      </w:r>
      <w:r w:rsidRPr="00274542">
        <w:rPr>
          <w:sz w:val="24"/>
          <w:szCs w:val="24"/>
        </w:rPr>
        <w:t xml:space="preserve">.  Complainant </w:t>
      </w:r>
      <w:r w:rsidR="00717DA6" w:rsidRPr="00274542">
        <w:rPr>
          <w:sz w:val="24"/>
          <w:szCs w:val="24"/>
        </w:rPr>
        <w:t xml:space="preserve">questioned the charges on its bill and </w:t>
      </w:r>
      <w:r w:rsidR="003619D4" w:rsidRPr="00274542">
        <w:rPr>
          <w:sz w:val="24"/>
          <w:szCs w:val="24"/>
        </w:rPr>
        <w:t>requested a payment arrangement with UGI Utilities, Inc., (UGI or Respondent) in order to restore natural gas service</w:t>
      </w:r>
      <w:r w:rsidR="009B6627" w:rsidRPr="00274542">
        <w:rPr>
          <w:sz w:val="24"/>
          <w:szCs w:val="24"/>
        </w:rPr>
        <w:t>.</w:t>
      </w:r>
      <w:r w:rsidR="000204A4" w:rsidRPr="00274542">
        <w:rPr>
          <w:sz w:val="24"/>
          <w:szCs w:val="24"/>
        </w:rPr>
        <w:t xml:space="preserve">  A previous decision by the Commission’s Bureau of Consumer Service (BCS) at case No. 2630030 had declined to make a payment arrangement because the account with UGI is a commercial account.</w:t>
      </w:r>
    </w:p>
    <w:p w:rsidR="003619D4" w:rsidRPr="00274542" w:rsidRDefault="003619D4" w:rsidP="00274542">
      <w:pPr>
        <w:spacing w:line="360" w:lineRule="auto"/>
        <w:rPr>
          <w:sz w:val="24"/>
          <w:szCs w:val="24"/>
        </w:rPr>
      </w:pPr>
    </w:p>
    <w:p w:rsidR="00717DA6" w:rsidRPr="00274542" w:rsidRDefault="008D5446" w:rsidP="00274542">
      <w:pPr>
        <w:spacing w:line="360" w:lineRule="auto"/>
        <w:rPr>
          <w:sz w:val="24"/>
          <w:szCs w:val="24"/>
        </w:rPr>
      </w:pPr>
      <w:r w:rsidRPr="00274542">
        <w:rPr>
          <w:sz w:val="24"/>
          <w:szCs w:val="24"/>
        </w:rPr>
        <w:tab/>
      </w:r>
      <w:r w:rsidRPr="00274542">
        <w:rPr>
          <w:sz w:val="24"/>
          <w:szCs w:val="24"/>
        </w:rPr>
        <w:tab/>
        <w:t xml:space="preserve">Respondent answered the complaint on </w:t>
      </w:r>
      <w:r w:rsidR="00717DA6" w:rsidRPr="00274542">
        <w:rPr>
          <w:sz w:val="24"/>
          <w:szCs w:val="24"/>
        </w:rPr>
        <w:t>March 29, 2010</w:t>
      </w:r>
      <w:r w:rsidRPr="00274542">
        <w:rPr>
          <w:sz w:val="24"/>
          <w:szCs w:val="24"/>
        </w:rPr>
        <w:t xml:space="preserve">, denying the allegations therein and averring that the charges on Complainant’s bill are accurate </w:t>
      </w:r>
      <w:r w:rsidR="00717DA6" w:rsidRPr="00274542">
        <w:rPr>
          <w:sz w:val="24"/>
          <w:szCs w:val="24"/>
        </w:rPr>
        <w:t xml:space="preserve">and in accord with UGI’s lawfully filed tariff.  Answer at 1; ¶4A.  Respondent further averred that the Complainant, </w:t>
      </w:r>
      <w:r w:rsidR="00717DA6" w:rsidRPr="00274542">
        <w:rPr>
          <w:sz w:val="24"/>
          <w:szCs w:val="24"/>
        </w:rPr>
        <w:lastRenderedPageBreak/>
        <w:t>as a commercial account, is not entitled to a Commission payment agreement.</w:t>
      </w:r>
      <w:r w:rsidR="002137BE" w:rsidRPr="00274542">
        <w:rPr>
          <w:rStyle w:val="FootnoteReference"/>
          <w:sz w:val="24"/>
          <w:szCs w:val="24"/>
        </w:rPr>
        <w:footnoteReference w:id="2"/>
      </w:r>
      <w:r w:rsidR="0019576B" w:rsidRPr="00274542">
        <w:rPr>
          <w:sz w:val="24"/>
          <w:szCs w:val="24"/>
        </w:rPr>
        <w:t xml:space="preserve">  Answer at 1; ¶4A.  </w:t>
      </w:r>
    </w:p>
    <w:p w:rsidR="00717DA6" w:rsidRPr="00274542" w:rsidRDefault="00717DA6" w:rsidP="00274542">
      <w:pPr>
        <w:spacing w:line="360" w:lineRule="auto"/>
        <w:rPr>
          <w:sz w:val="24"/>
          <w:szCs w:val="24"/>
        </w:rPr>
      </w:pPr>
    </w:p>
    <w:p w:rsidR="008D5446" w:rsidRPr="00274542" w:rsidRDefault="008D5446" w:rsidP="00274542">
      <w:pPr>
        <w:spacing w:line="360" w:lineRule="auto"/>
        <w:rPr>
          <w:sz w:val="24"/>
          <w:szCs w:val="24"/>
        </w:rPr>
      </w:pPr>
      <w:r w:rsidRPr="00274542">
        <w:rPr>
          <w:sz w:val="24"/>
          <w:szCs w:val="24"/>
        </w:rPr>
        <w:tab/>
      </w:r>
      <w:r w:rsidRPr="00274542">
        <w:rPr>
          <w:sz w:val="24"/>
          <w:szCs w:val="24"/>
        </w:rPr>
        <w:tab/>
      </w:r>
      <w:r w:rsidR="0019576B" w:rsidRPr="00274542">
        <w:rPr>
          <w:sz w:val="24"/>
          <w:szCs w:val="24"/>
        </w:rPr>
        <w:t>T</w:t>
      </w:r>
      <w:r w:rsidRPr="00274542">
        <w:rPr>
          <w:sz w:val="24"/>
          <w:szCs w:val="24"/>
        </w:rPr>
        <w:t xml:space="preserve">his case was assigned to the undersigned as Presiding Officer on </w:t>
      </w:r>
      <w:r w:rsidR="0019576B" w:rsidRPr="00274542">
        <w:rPr>
          <w:sz w:val="24"/>
          <w:szCs w:val="24"/>
        </w:rPr>
        <w:t>March 8, 2011</w:t>
      </w:r>
      <w:r w:rsidR="00A328E1">
        <w:rPr>
          <w:sz w:val="24"/>
          <w:szCs w:val="24"/>
        </w:rPr>
        <w:t>,</w:t>
      </w:r>
      <w:r w:rsidR="0019576B" w:rsidRPr="00274542">
        <w:rPr>
          <w:sz w:val="24"/>
          <w:szCs w:val="24"/>
        </w:rPr>
        <w:t xml:space="preserve"> and </w:t>
      </w:r>
      <w:r w:rsidRPr="00274542">
        <w:rPr>
          <w:sz w:val="24"/>
          <w:szCs w:val="24"/>
        </w:rPr>
        <w:t xml:space="preserve">was scheduled for hearing on April </w:t>
      </w:r>
      <w:r w:rsidR="0019576B" w:rsidRPr="00274542">
        <w:rPr>
          <w:sz w:val="24"/>
          <w:szCs w:val="24"/>
        </w:rPr>
        <w:t>11</w:t>
      </w:r>
      <w:r w:rsidRPr="00274542">
        <w:rPr>
          <w:sz w:val="24"/>
          <w:szCs w:val="24"/>
        </w:rPr>
        <w:t xml:space="preserve">, 2011, by a hearing notice dated </w:t>
      </w:r>
      <w:r w:rsidR="0019576B" w:rsidRPr="00274542">
        <w:rPr>
          <w:sz w:val="24"/>
          <w:szCs w:val="24"/>
        </w:rPr>
        <w:t>March 8,</w:t>
      </w:r>
      <w:r w:rsidRPr="00274542">
        <w:rPr>
          <w:sz w:val="24"/>
          <w:szCs w:val="24"/>
        </w:rPr>
        <w:t xml:space="preserve"> 2011</w:t>
      </w:r>
      <w:r w:rsidR="0019576B" w:rsidRPr="00274542">
        <w:rPr>
          <w:sz w:val="24"/>
          <w:szCs w:val="24"/>
        </w:rPr>
        <w:t>.  That hearing notice</w:t>
      </w:r>
      <w:r w:rsidRPr="00274542">
        <w:rPr>
          <w:sz w:val="24"/>
          <w:szCs w:val="24"/>
        </w:rPr>
        <w:t xml:space="preserve"> was sent to the parties</w:t>
      </w:r>
      <w:r w:rsidR="0019576B" w:rsidRPr="00274542">
        <w:rPr>
          <w:sz w:val="24"/>
          <w:szCs w:val="24"/>
        </w:rPr>
        <w:t xml:space="preserve"> and was not returned to the Office of Administrative </w:t>
      </w:r>
      <w:r w:rsidR="00A328E1">
        <w:rPr>
          <w:sz w:val="24"/>
          <w:szCs w:val="24"/>
        </w:rPr>
        <w:t>L</w:t>
      </w:r>
      <w:r w:rsidR="0019576B" w:rsidRPr="00274542">
        <w:rPr>
          <w:sz w:val="24"/>
          <w:szCs w:val="24"/>
        </w:rPr>
        <w:t>aw Judge by the United States Postal Service</w:t>
      </w:r>
      <w:r w:rsidRPr="00274542">
        <w:rPr>
          <w:sz w:val="24"/>
          <w:szCs w:val="24"/>
        </w:rPr>
        <w:t>.  That hearing notice clearly set forth the date and time of the hearing, and included in italicized letters the following: “Attention: You may lose this case if you do not take part in this hearing and present facts on the issues raised.”</w:t>
      </w:r>
    </w:p>
    <w:p w:rsidR="008D5446" w:rsidRPr="00274542" w:rsidRDefault="008D5446" w:rsidP="00274542">
      <w:pPr>
        <w:spacing w:line="360" w:lineRule="auto"/>
        <w:rPr>
          <w:sz w:val="24"/>
          <w:szCs w:val="24"/>
        </w:rPr>
      </w:pPr>
    </w:p>
    <w:p w:rsidR="008D5446" w:rsidRPr="00274542" w:rsidRDefault="008D5446" w:rsidP="00274542">
      <w:pPr>
        <w:spacing w:line="360" w:lineRule="auto"/>
        <w:rPr>
          <w:sz w:val="24"/>
          <w:szCs w:val="24"/>
        </w:rPr>
      </w:pPr>
      <w:r w:rsidRPr="00274542">
        <w:rPr>
          <w:sz w:val="24"/>
          <w:szCs w:val="24"/>
        </w:rPr>
        <w:tab/>
      </w:r>
      <w:r w:rsidRPr="00274542">
        <w:rPr>
          <w:sz w:val="24"/>
          <w:szCs w:val="24"/>
        </w:rPr>
        <w:tab/>
        <w:t xml:space="preserve">On March </w:t>
      </w:r>
      <w:r w:rsidR="000E3645" w:rsidRPr="00274542">
        <w:rPr>
          <w:sz w:val="24"/>
          <w:szCs w:val="24"/>
        </w:rPr>
        <w:t>9</w:t>
      </w:r>
      <w:r w:rsidRPr="00274542">
        <w:rPr>
          <w:sz w:val="24"/>
          <w:szCs w:val="24"/>
        </w:rPr>
        <w:t xml:space="preserve">, 2011, I issued a standard form </w:t>
      </w:r>
      <w:r w:rsidR="00A328E1">
        <w:rPr>
          <w:sz w:val="24"/>
          <w:szCs w:val="24"/>
        </w:rPr>
        <w:t>P</w:t>
      </w:r>
      <w:r w:rsidRPr="00274542">
        <w:rPr>
          <w:sz w:val="24"/>
          <w:szCs w:val="24"/>
        </w:rPr>
        <w:t xml:space="preserve">rehearing Order.  That prehearing Order stated, in bolded capital letters, “YOU </w:t>
      </w:r>
      <w:r w:rsidRPr="00274542">
        <w:rPr>
          <w:sz w:val="24"/>
          <w:szCs w:val="24"/>
          <w:u w:val="single"/>
        </w:rPr>
        <w:t>WILL</w:t>
      </w:r>
      <w:r w:rsidRPr="00274542">
        <w:rPr>
          <w:sz w:val="24"/>
          <w:szCs w:val="24"/>
        </w:rPr>
        <w:t xml:space="preserve"> LOSE THIS CASE IF YOU DO NOT TAKE PART IN THIS HEARING AND PRESENT EVIDENCE ON THE ISSUES R</w:t>
      </w:r>
      <w:r w:rsidR="00A328E1">
        <w:rPr>
          <w:sz w:val="24"/>
          <w:szCs w:val="24"/>
        </w:rPr>
        <w:t>AISED.”  (</w:t>
      </w:r>
      <w:proofErr w:type="gramStart"/>
      <w:r w:rsidR="00A328E1">
        <w:rPr>
          <w:sz w:val="24"/>
          <w:szCs w:val="24"/>
        </w:rPr>
        <w:t>emphasis</w:t>
      </w:r>
      <w:proofErr w:type="gramEnd"/>
      <w:r w:rsidR="00A328E1">
        <w:rPr>
          <w:sz w:val="24"/>
          <w:szCs w:val="24"/>
        </w:rPr>
        <w:t xml:space="preserve"> added)  The P</w:t>
      </w:r>
      <w:r w:rsidRPr="00274542">
        <w:rPr>
          <w:sz w:val="24"/>
          <w:szCs w:val="24"/>
        </w:rPr>
        <w:t>rehearing Order also contained instructions to be followed in the event of any proposed change of the hearing date requested by the parties.</w:t>
      </w:r>
    </w:p>
    <w:p w:rsidR="003F0FCC" w:rsidRPr="00274542" w:rsidRDefault="003F0FCC" w:rsidP="00274542">
      <w:pPr>
        <w:spacing w:line="360" w:lineRule="auto"/>
        <w:rPr>
          <w:sz w:val="24"/>
          <w:szCs w:val="24"/>
        </w:rPr>
      </w:pPr>
    </w:p>
    <w:p w:rsidR="008D5446" w:rsidRPr="00274542" w:rsidRDefault="008D5446" w:rsidP="00274542">
      <w:pPr>
        <w:spacing w:line="360" w:lineRule="auto"/>
        <w:rPr>
          <w:sz w:val="24"/>
          <w:szCs w:val="24"/>
        </w:rPr>
      </w:pPr>
      <w:r w:rsidRPr="00274542">
        <w:rPr>
          <w:sz w:val="24"/>
          <w:szCs w:val="24"/>
        </w:rPr>
        <w:tab/>
      </w:r>
      <w:r w:rsidRPr="00274542">
        <w:rPr>
          <w:sz w:val="24"/>
          <w:szCs w:val="24"/>
        </w:rPr>
        <w:tab/>
        <w:t xml:space="preserve">A telephonic hearing was duly held at 10:00 a.m. on </w:t>
      </w:r>
      <w:r w:rsidR="000E3645" w:rsidRPr="00274542">
        <w:rPr>
          <w:sz w:val="24"/>
          <w:szCs w:val="24"/>
        </w:rPr>
        <w:t>Monday</w:t>
      </w:r>
      <w:r w:rsidRPr="00274542">
        <w:rPr>
          <w:sz w:val="24"/>
          <w:szCs w:val="24"/>
        </w:rPr>
        <w:t xml:space="preserve">, April </w:t>
      </w:r>
      <w:r w:rsidR="000E3645" w:rsidRPr="00274542">
        <w:rPr>
          <w:sz w:val="24"/>
          <w:szCs w:val="24"/>
        </w:rPr>
        <w:t>11</w:t>
      </w:r>
      <w:r w:rsidRPr="00274542">
        <w:rPr>
          <w:sz w:val="24"/>
          <w:szCs w:val="24"/>
        </w:rPr>
        <w:t>, 2011.  Complainant failed to appear for this hearing</w:t>
      </w:r>
      <w:r w:rsidR="000E3645" w:rsidRPr="00274542">
        <w:rPr>
          <w:sz w:val="24"/>
          <w:szCs w:val="24"/>
        </w:rPr>
        <w:t xml:space="preserve"> in that no representative of the Complainant appeared</w:t>
      </w:r>
      <w:r w:rsidRPr="00274542">
        <w:rPr>
          <w:sz w:val="24"/>
          <w:szCs w:val="24"/>
        </w:rPr>
        <w:t xml:space="preserve">.  When I called </w:t>
      </w:r>
      <w:r w:rsidR="000E3645" w:rsidRPr="00274542">
        <w:rPr>
          <w:sz w:val="24"/>
          <w:szCs w:val="24"/>
        </w:rPr>
        <w:t xml:space="preserve">Carolyn Fields, who </w:t>
      </w:r>
      <w:r w:rsidR="003F0FCC" w:rsidRPr="00274542">
        <w:rPr>
          <w:sz w:val="24"/>
          <w:szCs w:val="24"/>
        </w:rPr>
        <w:t xml:space="preserve">as signatory </w:t>
      </w:r>
      <w:r w:rsidR="00173C39" w:rsidRPr="00274542">
        <w:rPr>
          <w:sz w:val="24"/>
          <w:szCs w:val="24"/>
        </w:rPr>
        <w:t>t</w:t>
      </w:r>
      <w:r w:rsidR="000E3645" w:rsidRPr="00274542">
        <w:rPr>
          <w:sz w:val="24"/>
          <w:szCs w:val="24"/>
        </w:rPr>
        <w:t xml:space="preserve">o the complaint </w:t>
      </w:r>
      <w:r w:rsidR="003F0FCC" w:rsidRPr="00274542">
        <w:rPr>
          <w:sz w:val="24"/>
          <w:szCs w:val="24"/>
        </w:rPr>
        <w:t xml:space="preserve">was listed </w:t>
      </w:r>
      <w:r w:rsidR="000E3645" w:rsidRPr="00274542">
        <w:rPr>
          <w:sz w:val="24"/>
          <w:szCs w:val="24"/>
        </w:rPr>
        <w:t>as the Pastor of Faith Love &amp; Hope Tabernacle</w:t>
      </w:r>
      <w:r w:rsidR="00173C39" w:rsidRPr="00274542">
        <w:rPr>
          <w:sz w:val="24"/>
          <w:szCs w:val="24"/>
        </w:rPr>
        <w:t xml:space="preserve"> (Of God’s Holy Fire)</w:t>
      </w:r>
      <w:r w:rsidR="000E3645" w:rsidRPr="00274542">
        <w:rPr>
          <w:sz w:val="24"/>
          <w:szCs w:val="24"/>
        </w:rPr>
        <w:t xml:space="preserve">, </w:t>
      </w:r>
      <w:r w:rsidR="003F0FCC" w:rsidRPr="00274542">
        <w:rPr>
          <w:sz w:val="24"/>
          <w:szCs w:val="24"/>
        </w:rPr>
        <w:t xml:space="preserve">at the telephone number on the complaint, </w:t>
      </w:r>
      <w:r w:rsidR="000E3645" w:rsidRPr="00274542">
        <w:rPr>
          <w:sz w:val="24"/>
          <w:szCs w:val="24"/>
        </w:rPr>
        <w:t>I</w:t>
      </w:r>
      <w:r w:rsidRPr="00274542">
        <w:rPr>
          <w:sz w:val="24"/>
          <w:szCs w:val="24"/>
        </w:rPr>
        <w:t xml:space="preserve"> twice reached an automated intercept message stating that</w:t>
      </w:r>
      <w:r w:rsidR="003F0FCC" w:rsidRPr="00274542">
        <w:rPr>
          <w:sz w:val="24"/>
          <w:szCs w:val="24"/>
        </w:rPr>
        <w:t xml:space="preserve"> no one was a</w:t>
      </w:r>
      <w:r w:rsidRPr="00274542">
        <w:rPr>
          <w:sz w:val="24"/>
          <w:szCs w:val="24"/>
        </w:rPr>
        <w:t xml:space="preserve">vailable and to leave a message.  </w:t>
      </w:r>
    </w:p>
    <w:p w:rsidR="008D5446" w:rsidRPr="00274542" w:rsidRDefault="008D5446" w:rsidP="00274542">
      <w:pPr>
        <w:spacing w:line="360" w:lineRule="auto"/>
        <w:rPr>
          <w:sz w:val="24"/>
          <w:szCs w:val="24"/>
        </w:rPr>
      </w:pPr>
    </w:p>
    <w:p w:rsidR="008D5446" w:rsidRPr="00274542" w:rsidRDefault="008D5446" w:rsidP="00274542">
      <w:pPr>
        <w:spacing w:line="360" w:lineRule="auto"/>
        <w:rPr>
          <w:sz w:val="24"/>
          <w:szCs w:val="24"/>
        </w:rPr>
      </w:pPr>
      <w:r w:rsidRPr="00274542">
        <w:rPr>
          <w:sz w:val="24"/>
          <w:szCs w:val="24"/>
        </w:rPr>
        <w:tab/>
      </w:r>
      <w:r w:rsidRPr="00274542">
        <w:rPr>
          <w:sz w:val="24"/>
          <w:szCs w:val="24"/>
        </w:rPr>
        <w:tab/>
        <w:t>At this point, M</w:t>
      </w:r>
      <w:r w:rsidR="000E3645" w:rsidRPr="00274542">
        <w:rPr>
          <w:sz w:val="24"/>
          <w:szCs w:val="24"/>
        </w:rPr>
        <w:t>r. Larry R. Crayne</w:t>
      </w:r>
      <w:r w:rsidRPr="00274542">
        <w:rPr>
          <w:sz w:val="24"/>
          <w:szCs w:val="24"/>
        </w:rPr>
        <w:t xml:space="preserve">, representing Respondent, moved to dismiss the complaint for lack of prosecution.  Respondent had pre-served </w:t>
      </w:r>
      <w:r w:rsidR="00BA3C61" w:rsidRPr="00274542">
        <w:rPr>
          <w:sz w:val="24"/>
          <w:szCs w:val="24"/>
        </w:rPr>
        <w:t>UGI</w:t>
      </w:r>
      <w:r w:rsidRPr="00274542">
        <w:rPr>
          <w:sz w:val="24"/>
          <w:szCs w:val="24"/>
        </w:rPr>
        <w:t xml:space="preserve"> Exhibit</w:t>
      </w:r>
      <w:r w:rsidR="00BA3C61" w:rsidRPr="00274542">
        <w:rPr>
          <w:sz w:val="24"/>
          <w:szCs w:val="24"/>
        </w:rPr>
        <w:t>s R-</w:t>
      </w:r>
      <w:r w:rsidRPr="00274542">
        <w:rPr>
          <w:sz w:val="24"/>
          <w:szCs w:val="24"/>
        </w:rPr>
        <w:t>1</w:t>
      </w:r>
      <w:r w:rsidR="00BA3C61" w:rsidRPr="00274542">
        <w:rPr>
          <w:sz w:val="24"/>
          <w:szCs w:val="24"/>
        </w:rPr>
        <w:t xml:space="preserve"> (Statement of Account) and R-2</w:t>
      </w:r>
      <w:r w:rsidRPr="00274542">
        <w:rPr>
          <w:sz w:val="24"/>
          <w:szCs w:val="24"/>
        </w:rPr>
        <w:t xml:space="preserve"> (</w:t>
      </w:r>
      <w:r w:rsidR="00BA3C61" w:rsidRPr="00274542">
        <w:rPr>
          <w:sz w:val="24"/>
          <w:szCs w:val="24"/>
        </w:rPr>
        <w:t>PUC Complaint Processing System record for BCS case No. 2630030)</w:t>
      </w:r>
      <w:r w:rsidRPr="00274542">
        <w:rPr>
          <w:sz w:val="24"/>
          <w:szCs w:val="24"/>
        </w:rPr>
        <w:t xml:space="preserve"> for admission into the record upon the presentation of Respondent’s case.  </w:t>
      </w:r>
      <w:r w:rsidR="00BA3C61" w:rsidRPr="00274542">
        <w:rPr>
          <w:sz w:val="24"/>
          <w:szCs w:val="24"/>
        </w:rPr>
        <w:t xml:space="preserve">UGI </w:t>
      </w:r>
      <w:r w:rsidRPr="00274542">
        <w:rPr>
          <w:sz w:val="24"/>
          <w:szCs w:val="24"/>
        </w:rPr>
        <w:t xml:space="preserve">Exhibit </w:t>
      </w:r>
      <w:r w:rsidR="00BA3C61" w:rsidRPr="00274542">
        <w:rPr>
          <w:sz w:val="24"/>
          <w:szCs w:val="24"/>
        </w:rPr>
        <w:t>R-</w:t>
      </w:r>
      <w:r w:rsidRPr="00274542">
        <w:rPr>
          <w:sz w:val="24"/>
          <w:szCs w:val="24"/>
        </w:rPr>
        <w:t>1 was admitted into evidence so as to clarify</w:t>
      </w:r>
      <w:r w:rsidR="00DF2C24" w:rsidRPr="00274542">
        <w:rPr>
          <w:sz w:val="24"/>
          <w:szCs w:val="24"/>
        </w:rPr>
        <w:t>, if necessary,</w:t>
      </w:r>
      <w:r w:rsidRPr="00274542">
        <w:rPr>
          <w:sz w:val="24"/>
          <w:szCs w:val="24"/>
        </w:rPr>
        <w:t xml:space="preserve"> the </w:t>
      </w:r>
      <w:r w:rsidR="00BA3C61" w:rsidRPr="00274542">
        <w:rPr>
          <w:sz w:val="24"/>
          <w:szCs w:val="24"/>
        </w:rPr>
        <w:t>amount due from the Complainant</w:t>
      </w:r>
      <w:r w:rsidRPr="00274542">
        <w:rPr>
          <w:sz w:val="24"/>
          <w:szCs w:val="24"/>
        </w:rPr>
        <w:t xml:space="preserve"> in this case.  </w:t>
      </w:r>
    </w:p>
    <w:p w:rsidR="00BA3C61" w:rsidRPr="00274542" w:rsidRDefault="00BA3C61" w:rsidP="00274542">
      <w:pPr>
        <w:spacing w:line="360" w:lineRule="auto"/>
        <w:rPr>
          <w:sz w:val="24"/>
          <w:szCs w:val="24"/>
        </w:rPr>
      </w:pPr>
    </w:p>
    <w:p w:rsidR="008D5446" w:rsidRPr="00274542" w:rsidRDefault="008D5446" w:rsidP="00274542">
      <w:pPr>
        <w:spacing w:line="360" w:lineRule="auto"/>
        <w:rPr>
          <w:sz w:val="24"/>
          <w:szCs w:val="24"/>
        </w:rPr>
      </w:pPr>
      <w:r w:rsidRPr="00274542">
        <w:rPr>
          <w:sz w:val="24"/>
          <w:szCs w:val="24"/>
        </w:rPr>
        <w:tab/>
      </w:r>
      <w:r w:rsidRPr="00274542">
        <w:rPr>
          <w:sz w:val="24"/>
          <w:szCs w:val="24"/>
        </w:rPr>
        <w:tab/>
        <w:t>The record closed upon conclusion of the hearing.</w:t>
      </w:r>
    </w:p>
    <w:p w:rsidR="008D5446" w:rsidRPr="00274542" w:rsidRDefault="008D5446" w:rsidP="00274542">
      <w:pPr>
        <w:spacing w:line="360" w:lineRule="auto"/>
        <w:rPr>
          <w:sz w:val="24"/>
          <w:szCs w:val="24"/>
        </w:rPr>
      </w:pPr>
    </w:p>
    <w:p w:rsidR="008D5446" w:rsidRPr="00274542" w:rsidRDefault="008D5446" w:rsidP="00274542">
      <w:pPr>
        <w:spacing w:line="360" w:lineRule="auto"/>
        <w:rPr>
          <w:sz w:val="24"/>
          <w:szCs w:val="24"/>
        </w:rPr>
      </w:pPr>
      <w:r w:rsidRPr="00274542">
        <w:rPr>
          <w:sz w:val="24"/>
          <w:szCs w:val="24"/>
        </w:rPr>
        <w:tab/>
      </w:r>
      <w:r w:rsidRPr="00274542">
        <w:rPr>
          <w:sz w:val="24"/>
          <w:szCs w:val="24"/>
        </w:rPr>
        <w:tab/>
        <w:t>This decision memorializes my ruling at the hearing granting the Motion to Dismiss the complaint</w:t>
      </w:r>
      <w:r w:rsidR="00BF0286" w:rsidRPr="00274542">
        <w:rPr>
          <w:sz w:val="24"/>
          <w:szCs w:val="24"/>
        </w:rPr>
        <w:t xml:space="preserve"> for failure to prosecute and because as a commercial account, Complainant is not entitled to a </w:t>
      </w:r>
      <w:r w:rsidR="00173C39" w:rsidRPr="00274542">
        <w:rPr>
          <w:sz w:val="24"/>
          <w:szCs w:val="24"/>
        </w:rPr>
        <w:t xml:space="preserve">Commission directed </w:t>
      </w:r>
      <w:r w:rsidR="00BF0286" w:rsidRPr="00274542">
        <w:rPr>
          <w:sz w:val="24"/>
          <w:szCs w:val="24"/>
        </w:rPr>
        <w:t>payment arrangement</w:t>
      </w:r>
      <w:r w:rsidRPr="00274542">
        <w:rPr>
          <w:sz w:val="24"/>
          <w:szCs w:val="24"/>
        </w:rPr>
        <w:t>.</w:t>
      </w:r>
    </w:p>
    <w:p w:rsidR="005524FE" w:rsidRPr="00274542" w:rsidRDefault="005524FE" w:rsidP="00274542">
      <w:pPr>
        <w:spacing w:line="360" w:lineRule="auto"/>
        <w:rPr>
          <w:sz w:val="24"/>
          <w:szCs w:val="24"/>
        </w:rPr>
      </w:pPr>
    </w:p>
    <w:p w:rsidR="005524FE" w:rsidRPr="00274542" w:rsidRDefault="005524FE" w:rsidP="00274542">
      <w:pPr>
        <w:suppressAutoHyphens/>
        <w:spacing w:line="360" w:lineRule="auto"/>
        <w:jc w:val="center"/>
        <w:outlineLvl w:val="0"/>
        <w:rPr>
          <w:spacing w:val="-3"/>
          <w:sz w:val="24"/>
          <w:szCs w:val="24"/>
          <w:u w:val="single"/>
        </w:rPr>
      </w:pPr>
      <w:r w:rsidRPr="00274542">
        <w:rPr>
          <w:spacing w:val="-3"/>
          <w:sz w:val="24"/>
          <w:szCs w:val="24"/>
          <w:u w:val="single"/>
        </w:rPr>
        <w:t>FINDINGS OF FACT</w:t>
      </w:r>
    </w:p>
    <w:p w:rsidR="005524FE" w:rsidRPr="00274542" w:rsidRDefault="005524FE" w:rsidP="00274542">
      <w:pPr>
        <w:tabs>
          <w:tab w:val="center" w:pos="4680"/>
        </w:tabs>
        <w:suppressAutoHyphens/>
        <w:spacing w:line="360" w:lineRule="auto"/>
        <w:ind w:firstLine="1440"/>
        <w:rPr>
          <w:spacing w:val="-3"/>
          <w:sz w:val="24"/>
          <w:szCs w:val="24"/>
          <w:u w:val="single"/>
        </w:rPr>
      </w:pPr>
    </w:p>
    <w:p w:rsidR="005524FE" w:rsidRPr="00274542" w:rsidRDefault="005524FE" w:rsidP="00274542">
      <w:pPr>
        <w:tabs>
          <w:tab w:val="left" w:pos="-1440"/>
          <w:tab w:val="left" w:pos="-720"/>
        </w:tabs>
        <w:suppressAutoHyphens/>
        <w:spacing w:line="360" w:lineRule="auto"/>
        <w:ind w:firstLine="1440"/>
        <w:rPr>
          <w:spacing w:val="-3"/>
          <w:sz w:val="24"/>
          <w:szCs w:val="24"/>
        </w:rPr>
      </w:pPr>
      <w:r w:rsidRPr="00274542">
        <w:rPr>
          <w:spacing w:val="-3"/>
          <w:sz w:val="24"/>
          <w:szCs w:val="24"/>
        </w:rPr>
        <w:t>1.</w:t>
      </w:r>
      <w:r w:rsidRPr="00274542">
        <w:rPr>
          <w:spacing w:val="-3"/>
          <w:sz w:val="24"/>
          <w:szCs w:val="24"/>
        </w:rPr>
        <w:tab/>
        <w:t xml:space="preserve">The Complainant in this proceeding is Faith Love &amp; Hope Tabernacle, whose address is listed on the Complaint as </w:t>
      </w:r>
      <w:r w:rsidR="002137BE" w:rsidRPr="00274542">
        <w:rPr>
          <w:spacing w:val="-3"/>
          <w:sz w:val="24"/>
          <w:szCs w:val="24"/>
        </w:rPr>
        <w:t>41 North 13</w:t>
      </w:r>
      <w:r w:rsidR="002137BE" w:rsidRPr="00274542">
        <w:rPr>
          <w:spacing w:val="-3"/>
          <w:sz w:val="24"/>
          <w:szCs w:val="24"/>
          <w:vertAlign w:val="superscript"/>
        </w:rPr>
        <w:t>th</w:t>
      </w:r>
      <w:r w:rsidR="002137BE" w:rsidRPr="00274542">
        <w:rPr>
          <w:spacing w:val="-3"/>
          <w:sz w:val="24"/>
          <w:szCs w:val="24"/>
        </w:rPr>
        <w:t xml:space="preserve"> Street, Harrisburg, Pennsylvania</w:t>
      </w:r>
      <w:r w:rsidRPr="00274542">
        <w:rPr>
          <w:spacing w:val="-3"/>
          <w:sz w:val="24"/>
          <w:szCs w:val="24"/>
        </w:rPr>
        <w:t>.</w:t>
      </w:r>
    </w:p>
    <w:p w:rsidR="005524FE" w:rsidRPr="00274542" w:rsidRDefault="005524FE" w:rsidP="00274542">
      <w:pPr>
        <w:tabs>
          <w:tab w:val="left" w:pos="-1440"/>
          <w:tab w:val="left" w:pos="-720"/>
        </w:tabs>
        <w:suppressAutoHyphens/>
        <w:spacing w:line="360" w:lineRule="auto"/>
        <w:ind w:firstLine="1440"/>
        <w:rPr>
          <w:spacing w:val="-3"/>
          <w:sz w:val="24"/>
          <w:szCs w:val="24"/>
        </w:rPr>
      </w:pPr>
    </w:p>
    <w:p w:rsidR="005524FE" w:rsidRPr="00274542" w:rsidRDefault="005524FE" w:rsidP="00274542">
      <w:pPr>
        <w:tabs>
          <w:tab w:val="left" w:pos="-1440"/>
          <w:tab w:val="left" w:pos="-720"/>
        </w:tabs>
        <w:suppressAutoHyphens/>
        <w:spacing w:line="360" w:lineRule="auto"/>
        <w:ind w:firstLine="1440"/>
        <w:rPr>
          <w:spacing w:val="-3"/>
          <w:sz w:val="24"/>
          <w:szCs w:val="24"/>
        </w:rPr>
      </w:pPr>
      <w:r w:rsidRPr="00274542">
        <w:rPr>
          <w:spacing w:val="-3"/>
          <w:sz w:val="24"/>
          <w:szCs w:val="24"/>
        </w:rPr>
        <w:t>2.</w:t>
      </w:r>
      <w:r w:rsidRPr="00274542">
        <w:rPr>
          <w:spacing w:val="-3"/>
          <w:sz w:val="24"/>
          <w:szCs w:val="24"/>
        </w:rPr>
        <w:tab/>
        <w:t xml:space="preserve">The Respondent in this proceeding is </w:t>
      </w:r>
      <w:r w:rsidR="002137BE" w:rsidRPr="00274542">
        <w:rPr>
          <w:spacing w:val="-3"/>
          <w:sz w:val="24"/>
          <w:szCs w:val="24"/>
        </w:rPr>
        <w:t>UGI Utilities, Inc</w:t>
      </w:r>
      <w:r w:rsidRPr="00274542">
        <w:rPr>
          <w:spacing w:val="-3"/>
          <w:sz w:val="24"/>
          <w:szCs w:val="24"/>
        </w:rPr>
        <w:t>.</w:t>
      </w:r>
      <w:r w:rsidR="003F0FCC" w:rsidRPr="00274542">
        <w:rPr>
          <w:spacing w:val="-3"/>
          <w:sz w:val="24"/>
          <w:szCs w:val="24"/>
        </w:rPr>
        <w:t>, a Commission jurisdictional natural gas distribution company.</w:t>
      </w:r>
    </w:p>
    <w:p w:rsidR="005524FE" w:rsidRPr="00274542" w:rsidRDefault="005524FE" w:rsidP="00274542">
      <w:pPr>
        <w:tabs>
          <w:tab w:val="left" w:pos="-1440"/>
          <w:tab w:val="left" w:pos="-720"/>
        </w:tabs>
        <w:suppressAutoHyphens/>
        <w:spacing w:line="360" w:lineRule="auto"/>
        <w:ind w:firstLine="1440"/>
        <w:rPr>
          <w:spacing w:val="-3"/>
          <w:sz w:val="24"/>
          <w:szCs w:val="24"/>
        </w:rPr>
      </w:pPr>
    </w:p>
    <w:p w:rsidR="005524FE" w:rsidRPr="00274542" w:rsidRDefault="005524FE" w:rsidP="00274542">
      <w:pPr>
        <w:tabs>
          <w:tab w:val="left" w:pos="-1440"/>
          <w:tab w:val="left" w:pos="-720"/>
        </w:tabs>
        <w:suppressAutoHyphens/>
        <w:spacing w:line="360" w:lineRule="auto"/>
        <w:ind w:firstLine="1440"/>
        <w:rPr>
          <w:spacing w:val="-3"/>
          <w:sz w:val="24"/>
          <w:szCs w:val="24"/>
        </w:rPr>
      </w:pPr>
      <w:r w:rsidRPr="00274542">
        <w:rPr>
          <w:spacing w:val="-3"/>
          <w:sz w:val="24"/>
          <w:szCs w:val="24"/>
        </w:rPr>
        <w:t>3.</w:t>
      </w:r>
      <w:r w:rsidRPr="00274542">
        <w:rPr>
          <w:spacing w:val="-3"/>
          <w:sz w:val="24"/>
          <w:szCs w:val="24"/>
        </w:rPr>
        <w:tab/>
        <w:t xml:space="preserve">On </w:t>
      </w:r>
      <w:r w:rsidR="002137BE" w:rsidRPr="00274542">
        <w:rPr>
          <w:spacing w:val="-3"/>
          <w:sz w:val="24"/>
          <w:szCs w:val="24"/>
        </w:rPr>
        <w:t>February 25, 2010</w:t>
      </w:r>
      <w:r w:rsidRPr="00274542">
        <w:rPr>
          <w:spacing w:val="-3"/>
          <w:sz w:val="24"/>
          <w:szCs w:val="24"/>
        </w:rPr>
        <w:t>, Complainant</w:t>
      </w:r>
      <w:r w:rsidR="00FE64C3" w:rsidRPr="00274542">
        <w:rPr>
          <w:spacing w:val="-3"/>
          <w:sz w:val="24"/>
          <w:szCs w:val="24"/>
        </w:rPr>
        <w:t>, through its Pastor, Carolyn Fields,</w:t>
      </w:r>
      <w:r w:rsidRPr="00274542">
        <w:rPr>
          <w:spacing w:val="-3"/>
          <w:sz w:val="24"/>
          <w:szCs w:val="24"/>
        </w:rPr>
        <w:t xml:space="preserve"> filed a formal Complaint requesting a payment arrangement</w:t>
      </w:r>
      <w:r w:rsidR="00FE64C3" w:rsidRPr="00274542">
        <w:rPr>
          <w:spacing w:val="-3"/>
          <w:sz w:val="24"/>
          <w:szCs w:val="24"/>
        </w:rPr>
        <w:t xml:space="preserve"> with Respondent</w:t>
      </w:r>
      <w:r w:rsidRPr="00274542">
        <w:rPr>
          <w:spacing w:val="-3"/>
          <w:sz w:val="24"/>
          <w:szCs w:val="24"/>
        </w:rPr>
        <w:t>.</w:t>
      </w:r>
    </w:p>
    <w:p w:rsidR="005524FE" w:rsidRPr="00274542" w:rsidRDefault="005524FE" w:rsidP="00274542">
      <w:pPr>
        <w:tabs>
          <w:tab w:val="left" w:pos="-1440"/>
          <w:tab w:val="left" w:pos="-720"/>
        </w:tabs>
        <w:suppressAutoHyphens/>
        <w:spacing w:line="360" w:lineRule="auto"/>
        <w:ind w:firstLine="1440"/>
        <w:rPr>
          <w:spacing w:val="-3"/>
          <w:sz w:val="24"/>
          <w:szCs w:val="24"/>
        </w:rPr>
      </w:pPr>
    </w:p>
    <w:p w:rsidR="005524FE" w:rsidRPr="00274542" w:rsidRDefault="005524FE" w:rsidP="00274542">
      <w:pPr>
        <w:tabs>
          <w:tab w:val="left" w:pos="-1440"/>
          <w:tab w:val="left" w:pos="-720"/>
        </w:tabs>
        <w:suppressAutoHyphens/>
        <w:spacing w:line="360" w:lineRule="auto"/>
        <w:ind w:firstLine="1440"/>
        <w:rPr>
          <w:spacing w:val="-3"/>
          <w:sz w:val="24"/>
          <w:szCs w:val="24"/>
        </w:rPr>
      </w:pPr>
      <w:r w:rsidRPr="00274542">
        <w:rPr>
          <w:spacing w:val="-3"/>
          <w:sz w:val="24"/>
          <w:szCs w:val="24"/>
        </w:rPr>
        <w:t>4.</w:t>
      </w:r>
      <w:r w:rsidRPr="00274542">
        <w:rPr>
          <w:spacing w:val="-3"/>
          <w:sz w:val="24"/>
          <w:szCs w:val="24"/>
        </w:rPr>
        <w:tab/>
        <w:t xml:space="preserve">On </w:t>
      </w:r>
      <w:r w:rsidR="002137BE" w:rsidRPr="00274542">
        <w:rPr>
          <w:spacing w:val="-3"/>
          <w:sz w:val="24"/>
          <w:szCs w:val="24"/>
        </w:rPr>
        <w:t>March 29, 2010</w:t>
      </w:r>
      <w:r w:rsidRPr="00274542">
        <w:rPr>
          <w:spacing w:val="-3"/>
          <w:sz w:val="24"/>
          <w:szCs w:val="24"/>
        </w:rPr>
        <w:t xml:space="preserve">, Respondent filed an Answer which denied the material allegations of the Complaint and </w:t>
      </w:r>
      <w:r w:rsidR="002137BE" w:rsidRPr="00274542">
        <w:rPr>
          <w:spacing w:val="-3"/>
          <w:sz w:val="24"/>
          <w:szCs w:val="24"/>
        </w:rPr>
        <w:t xml:space="preserve">which averred </w:t>
      </w:r>
      <w:r w:rsidRPr="00274542">
        <w:rPr>
          <w:spacing w:val="-3"/>
          <w:sz w:val="24"/>
          <w:szCs w:val="24"/>
        </w:rPr>
        <w:t>that the Complainant is a commercial customer, and as such, is not entitled to a payment a</w:t>
      </w:r>
      <w:r w:rsidR="00FE64C3" w:rsidRPr="00274542">
        <w:rPr>
          <w:spacing w:val="-3"/>
          <w:sz w:val="24"/>
          <w:szCs w:val="24"/>
        </w:rPr>
        <w:t>rrangement</w:t>
      </w:r>
      <w:r w:rsidRPr="00274542">
        <w:rPr>
          <w:spacing w:val="-3"/>
          <w:sz w:val="24"/>
          <w:szCs w:val="24"/>
        </w:rPr>
        <w:t xml:space="preserve">.  </w:t>
      </w:r>
    </w:p>
    <w:p w:rsidR="005524FE" w:rsidRPr="00274542" w:rsidRDefault="005524FE" w:rsidP="00274542">
      <w:pPr>
        <w:tabs>
          <w:tab w:val="left" w:pos="-1440"/>
          <w:tab w:val="left" w:pos="-720"/>
        </w:tabs>
        <w:suppressAutoHyphens/>
        <w:spacing w:line="360" w:lineRule="auto"/>
        <w:rPr>
          <w:spacing w:val="-3"/>
          <w:sz w:val="24"/>
          <w:szCs w:val="24"/>
        </w:rPr>
      </w:pPr>
    </w:p>
    <w:p w:rsidR="005524FE" w:rsidRPr="00274542" w:rsidRDefault="002137BE" w:rsidP="00274542">
      <w:pPr>
        <w:spacing w:line="360" w:lineRule="auto"/>
        <w:ind w:firstLine="1440"/>
        <w:rPr>
          <w:sz w:val="24"/>
          <w:szCs w:val="24"/>
        </w:rPr>
      </w:pPr>
      <w:r w:rsidRPr="00274542">
        <w:rPr>
          <w:sz w:val="24"/>
          <w:szCs w:val="24"/>
        </w:rPr>
        <w:t>5</w:t>
      </w:r>
      <w:r w:rsidR="005524FE" w:rsidRPr="00274542">
        <w:rPr>
          <w:sz w:val="24"/>
          <w:szCs w:val="24"/>
        </w:rPr>
        <w:t>.</w:t>
      </w:r>
      <w:r w:rsidR="005524FE" w:rsidRPr="00274542">
        <w:rPr>
          <w:sz w:val="24"/>
          <w:szCs w:val="24"/>
        </w:rPr>
        <w:tab/>
        <w:t xml:space="preserve">Complainant is a commercial customer of </w:t>
      </w:r>
      <w:r w:rsidRPr="00274542">
        <w:rPr>
          <w:sz w:val="24"/>
          <w:szCs w:val="24"/>
        </w:rPr>
        <w:t>UGI Utilities, Inc.</w:t>
      </w:r>
    </w:p>
    <w:p w:rsidR="008D5446" w:rsidRPr="00274542" w:rsidRDefault="008D5446" w:rsidP="00274542">
      <w:pPr>
        <w:spacing w:line="360" w:lineRule="auto"/>
        <w:rPr>
          <w:sz w:val="24"/>
          <w:szCs w:val="24"/>
        </w:rPr>
      </w:pPr>
    </w:p>
    <w:p w:rsidR="008D5446" w:rsidRPr="00274542" w:rsidRDefault="008D5446" w:rsidP="00274542">
      <w:pPr>
        <w:spacing w:line="360" w:lineRule="auto"/>
        <w:jc w:val="center"/>
        <w:rPr>
          <w:sz w:val="24"/>
          <w:szCs w:val="24"/>
          <w:u w:val="single"/>
        </w:rPr>
      </w:pPr>
      <w:r w:rsidRPr="00274542">
        <w:rPr>
          <w:sz w:val="24"/>
          <w:szCs w:val="24"/>
          <w:u w:val="single"/>
        </w:rPr>
        <w:t>DISCUSSION</w:t>
      </w:r>
    </w:p>
    <w:p w:rsidR="008D5446" w:rsidRPr="00274542" w:rsidRDefault="008D5446" w:rsidP="00274542">
      <w:pPr>
        <w:spacing w:line="360" w:lineRule="auto"/>
        <w:jc w:val="center"/>
        <w:rPr>
          <w:sz w:val="24"/>
          <w:szCs w:val="24"/>
        </w:rPr>
      </w:pPr>
    </w:p>
    <w:p w:rsidR="008D5446" w:rsidRPr="00274542" w:rsidRDefault="008D5446" w:rsidP="00274542">
      <w:pPr>
        <w:spacing w:line="360" w:lineRule="auto"/>
        <w:rPr>
          <w:sz w:val="24"/>
          <w:szCs w:val="24"/>
        </w:rPr>
      </w:pPr>
      <w:r w:rsidRPr="00274542">
        <w:rPr>
          <w:sz w:val="24"/>
          <w:szCs w:val="24"/>
        </w:rPr>
        <w:tab/>
      </w:r>
      <w:r w:rsidR="00D1220B" w:rsidRPr="00274542">
        <w:rPr>
          <w:sz w:val="24"/>
          <w:szCs w:val="24"/>
        </w:rPr>
        <w:tab/>
      </w:r>
      <w:r w:rsidRPr="00274542">
        <w:rPr>
          <w:sz w:val="24"/>
          <w:szCs w:val="24"/>
        </w:rPr>
        <w:t xml:space="preserve">Administrative agencies, such as the Commission, are required to provide due process to the parties appearing before them.  </w:t>
      </w:r>
      <w:r w:rsidRPr="00274542">
        <w:rPr>
          <w:i/>
          <w:sz w:val="24"/>
          <w:szCs w:val="24"/>
        </w:rPr>
        <w:t>Schneider v. Pa. P.U.C.</w:t>
      </w:r>
      <w:r w:rsidRPr="00274542">
        <w:rPr>
          <w:sz w:val="24"/>
          <w:szCs w:val="24"/>
        </w:rPr>
        <w:t xml:space="preserve">, 479 A.2d 10 (Pa. Cmwlth. 1984).  This due process requirement is satisfied, however, when the parties are accorded notice and the opportunity to appear and be heard. </w:t>
      </w:r>
      <w:r w:rsidRPr="00274542">
        <w:rPr>
          <w:i/>
          <w:iCs/>
          <w:sz w:val="24"/>
          <w:szCs w:val="24"/>
        </w:rPr>
        <w:t>Id.</w:t>
      </w:r>
      <w:r w:rsidRPr="00274542">
        <w:rPr>
          <w:sz w:val="24"/>
          <w:szCs w:val="24"/>
        </w:rPr>
        <w:br/>
      </w:r>
      <w:r w:rsidRPr="00274542">
        <w:rPr>
          <w:sz w:val="24"/>
          <w:szCs w:val="24"/>
        </w:rPr>
        <w:br/>
      </w:r>
      <w:r w:rsidRPr="00274542">
        <w:rPr>
          <w:sz w:val="24"/>
          <w:szCs w:val="24"/>
        </w:rPr>
        <w:lastRenderedPageBreak/>
        <w:tab/>
      </w:r>
      <w:r w:rsidRPr="00274542">
        <w:rPr>
          <w:sz w:val="24"/>
          <w:szCs w:val="24"/>
        </w:rPr>
        <w:tab/>
        <w:t xml:space="preserve">Notice of the telephonic hearing in this case was sent to Complainant on </w:t>
      </w:r>
      <w:r w:rsidR="00FE6424">
        <w:rPr>
          <w:sz w:val="24"/>
          <w:szCs w:val="24"/>
        </w:rPr>
        <w:t>March </w:t>
      </w:r>
      <w:r w:rsidR="00D66ABF" w:rsidRPr="00274542">
        <w:rPr>
          <w:sz w:val="24"/>
          <w:szCs w:val="24"/>
        </w:rPr>
        <w:t>8</w:t>
      </w:r>
      <w:r w:rsidR="00FE6424">
        <w:rPr>
          <w:sz w:val="24"/>
          <w:szCs w:val="24"/>
        </w:rPr>
        <w:t>, </w:t>
      </w:r>
      <w:r w:rsidRPr="00274542">
        <w:rPr>
          <w:sz w:val="24"/>
          <w:szCs w:val="24"/>
        </w:rPr>
        <w:t>2011, by regular first-class mail to the address stated on the complaint.  This piece of mail was never returned to the sender, the scheduling staff for the Office of Administrative Law Judge in Harrisburg, Pennsylv</w:t>
      </w:r>
      <w:r w:rsidR="00960039">
        <w:rPr>
          <w:sz w:val="24"/>
          <w:szCs w:val="24"/>
        </w:rPr>
        <w:t>ania.  In addition, I issued a P</w:t>
      </w:r>
      <w:r w:rsidRPr="00274542">
        <w:rPr>
          <w:sz w:val="24"/>
          <w:szCs w:val="24"/>
        </w:rPr>
        <w:t>rehearing Order on March </w:t>
      </w:r>
      <w:r w:rsidR="00C6415B" w:rsidRPr="00274542">
        <w:rPr>
          <w:sz w:val="24"/>
          <w:szCs w:val="24"/>
        </w:rPr>
        <w:t>9</w:t>
      </w:r>
      <w:r w:rsidRPr="00274542">
        <w:rPr>
          <w:sz w:val="24"/>
          <w:szCs w:val="24"/>
        </w:rPr>
        <w:t>, 2011.  That Prehearing Order reminded the parties of the hearing date and time.  The Order also directed the parties to notify me of any change in the telephone numbers where they could be reached at the time of the hearing.  The Order, which was also mailed to Complainant at the address stated on the complaint, was never returned.</w:t>
      </w:r>
    </w:p>
    <w:p w:rsidR="008D5446" w:rsidRPr="00274542" w:rsidRDefault="008D5446" w:rsidP="00274542">
      <w:pPr>
        <w:spacing w:line="360" w:lineRule="auto"/>
        <w:rPr>
          <w:sz w:val="24"/>
          <w:szCs w:val="24"/>
        </w:rPr>
      </w:pPr>
      <w:r w:rsidRPr="00274542">
        <w:rPr>
          <w:sz w:val="24"/>
          <w:szCs w:val="24"/>
        </w:rPr>
        <w:br/>
      </w:r>
      <w:r w:rsidRPr="00274542">
        <w:rPr>
          <w:sz w:val="24"/>
          <w:szCs w:val="24"/>
        </w:rPr>
        <w:tab/>
      </w:r>
      <w:r w:rsidRPr="00274542">
        <w:rPr>
          <w:sz w:val="24"/>
          <w:szCs w:val="24"/>
        </w:rPr>
        <w:tab/>
        <w:t xml:space="preserve">The Complainant did not appear at the time of the hearing.  Complainant never timely notified me of a need for a postponement or continuance of the hearing.  Under the circumstances, Complainant had ample opportunity to appear and be heard in this proceeding, but voluntarily chose not to do so.  Therefore, the due process rights of Complainant have been fully protected.  </w:t>
      </w:r>
      <w:r w:rsidRPr="00274542">
        <w:rPr>
          <w:i/>
          <w:sz w:val="24"/>
          <w:szCs w:val="24"/>
        </w:rPr>
        <w:t>Sentner v. Bell Telephone Company of Pennsylvania</w:t>
      </w:r>
      <w:r w:rsidRPr="00274542">
        <w:rPr>
          <w:sz w:val="24"/>
          <w:szCs w:val="24"/>
        </w:rPr>
        <w:t>, Docket No. F-00161106 (Order entered October 25, 1993); and 52 Pa. Code § 5.245(a).</w:t>
      </w:r>
      <w:r w:rsidRPr="00274542">
        <w:rPr>
          <w:sz w:val="24"/>
          <w:szCs w:val="24"/>
        </w:rPr>
        <w:br/>
      </w:r>
      <w:r w:rsidRPr="00274542">
        <w:rPr>
          <w:sz w:val="24"/>
          <w:szCs w:val="24"/>
        </w:rPr>
        <w:br/>
      </w:r>
      <w:r w:rsidRPr="00274542">
        <w:rPr>
          <w:sz w:val="24"/>
          <w:szCs w:val="24"/>
        </w:rPr>
        <w:tab/>
      </w:r>
      <w:r w:rsidRPr="00274542">
        <w:rPr>
          <w:sz w:val="24"/>
          <w:szCs w:val="24"/>
        </w:rPr>
        <w:tab/>
        <w:t xml:space="preserve">In this proceeding, Complainant bears the burden of proving by substantial evidence that </w:t>
      </w:r>
      <w:r w:rsidR="00A328E1">
        <w:rPr>
          <w:sz w:val="24"/>
          <w:szCs w:val="24"/>
        </w:rPr>
        <w:t>it</w:t>
      </w:r>
      <w:r w:rsidRPr="00274542">
        <w:rPr>
          <w:sz w:val="24"/>
          <w:szCs w:val="24"/>
        </w:rPr>
        <w:t xml:space="preserve"> is entitled to relief.  </w:t>
      </w:r>
      <w:r w:rsidRPr="00274542">
        <w:rPr>
          <w:i/>
          <w:sz w:val="24"/>
          <w:szCs w:val="24"/>
        </w:rPr>
        <w:t>Stammel v. P.G. Energy</w:t>
      </w:r>
      <w:r w:rsidRPr="00274542">
        <w:rPr>
          <w:sz w:val="24"/>
          <w:szCs w:val="24"/>
        </w:rPr>
        <w:t xml:space="preserve">, Docket No. C-2002-7994 (Order entered May 21, 2003); </w:t>
      </w:r>
      <w:r w:rsidRPr="00274542">
        <w:rPr>
          <w:i/>
          <w:sz w:val="24"/>
          <w:szCs w:val="24"/>
        </w:rPr>
        <w:t>Claypool v. T.W. Phillips Gas &amp; Oil Company</w:t>
      </w:r>
      <w:r w:rsidRPr="00274542">
        <w:rPr>
          <w:sz w:val="24"/>
          <w:szCs w:val="24"/>
        </w:rPr>
        <w:t xml:space="preserve">, Docket No. Z-00248730 (Order entered December 22, 1995); and 66 Pa. C.S. § 332(a).  By failing to appear and present any evidence in support of </w:t>
      </w:r>
      <w:r w:rsidR="00FE64C3" w:rsidRPr="00274542">
        <w:rPr>
          <w:sz w:val="24"/>
          <w:szCs w:val="24"/>
        </w:rPr>
        <w:t>its</w:t>
      </w:r>
      <w:r w:rsidRPr="00274542">
        <w:rPr>
          <w:sz w:val="24"/>
          <w:szCs w:val="24"/>
        </w:rPr>
        <w:t xml:space="preserve"> complaint, Complainant has failed to meet this burden.  Thus, the complaint must be </w:t>
      </w:r>
      <w:r w:rsidRPr="00274542">
        <w:rPr>
          <w:bCs/>
          <w:sz w:val="24"/>
          <w:szCs w:val="24"/>
        </w:rPr>
        <w:t>dismissed with prejudice.</w:t>
      </w:r>
      <w:r w:rsidRPr="00274542">
        <w:rPr>
          <w:sz w:val="24"/>
          <w:szCs w:val="24"/>
        </w:rPr>
        <w:t xml:space="preserve">  </w:t>
      </w:r>
      <w:r w:rsidRPr="00274542">
        <w:rPr>
          <w:i/>
          <w:sz w:val="24"/>
          <w:szCs w:val="24"/>
        </w:rPr>
        <w:t>Jefferson v. UGI Utilities, Inc.</w:t>
      </w:r>
      <w:r w:rsidRPr="00274542">
        <w:rPr>
          <w:sz w:val="24"/>
          <w:szCs w:val="24"/>
        </w:rPr>
        <w:t>, Docket No. Z</w:t>
      </w:r>
      <w:r w:rsidRPr="00274542">
        <w:rPr>
          <w:sz w:val="24"/>
          <w:szCs w:val="24"/>
        </w:rPr>
        <w:noBreakHyphen/>
        <w:t xml:space="preserve">00269892 (Order entered December 26, 1995).  Accordingly, the merits of the complaint will not be addressed.  </w:t>
      </w:r>
      <w:r w:rsidRPr="00274542">
        <w:rPr>
          <w:i/>
          <w:sz w:val="24"/>
          <w:szCs w:val="24"/>
        </w:rPr>
        <w:t>Jones v. The Peoples Natural Gas Company, d/b/a Dominion Peoples</w:t>
      </w:r>
      <w:r w:rsidRPr="00274542">
        <w:rPr>
          <w:sz w:val="24"/>
          <w:szCs w:val="24"/>
        </w:rPr>
        <w:t xml:space="preserve">, Docket No. C-2005-4885 (Order entered February 14, 2006); and </w:t>
      </w:r>
      <w:r w:rsidRPr="00274542">
        <w:rPr>
          <w:i/>
          <w:sz w:val="24"/>
          <w:szCs w:val="24"/>
        </w:rPr>
        <w:t>Mya Lau v. PPL Electric Utilities Corp.</w:t>
      </w:r>
      <w:r w:rsidRPr="00274542">
        <w:rPr>
          <w:sz w:val="24"/>
          <w:szCs w:val="24"/>
        </w:rPr>
        <w:t>, Docket No. F-01816882 (Order entered October 19, 2005).</w:t>
      </w:r>
    </w:p>
    <w:p w:rsidR="00C6415B" w:rsidRPr="00274542" w:rsidRDefault="00C6415B" w:rsidP="00274542">
      <w:pPr>
        <w:spacing w:line="360" w:lineRule="auto"/>
        <w:rPr>
          <w:sz w:val="24"/>
          <w:szCs w:val="24"/>
        </w:rPr>
      </w:pPr>
    </w:p>
    <w:p w:rsidR="00C6415B" w:rsidRPr="00274542" w:rsidRDefault="00C6415B" w:rsidP="00274542">
      <w:pPr>
        <w:spacing w:line="360" w:lineRule="auto"/>
        <w:rPr>
          <w:sz w:val="24"/>
          <w:szCs w:val="24"/>
        </w:rPr>
      </w:pPr>
      <w:r w:rsidRPr="00274542">
        <w:rPr>
          <w:sz w:val="24"/>
          <w:szCs w:val="24"/>
        </w:rPr>
        <w:tab/>
      </w:r>
      <w:r w:rsidRPr="00274542">
        <w:rPr>
          <w:sz w:val="24"/>
          <w:szCs w:val="24"/>
        </w:rPr>
        <w:tab/>
      </w:r>
      <w:r w:rsidR="00D90E65" w:rsidRPr="00274542">
        <w:rPr>
          <w:sz w:val="24"/>
          <w:szCs w:val="24"/>
        </w:rPr>
        <w:t xml:space="preserve">Even if a representative for the Complainant had appeared in this case, </w:t>
      </w:r>
      <w:r w:rsidRPr="00274542">
        <w:rPr>
          <w:sz w:val="24"/>
          <w:szCs w:val="24"/>
        </w:rPr>
        <w:t xml:space="preserve">the Responsible Utility Customer Protection Act, 66 Pa. C.S. §§ 1401, </w:t>
      </w:r>
      <w:r w:rsidRPr="00274542">
        <w:rPr>
          <w:i/>
          <w:iCs/>
          <w:sz w:val="24"/>
          <w:szCs w:val="24"/>
        </w:rPr>
        <w:t>et seq.</w:t>
      </w:r>
      <w:r w:rsidRPr="00274542">
        <w:rPr>
          <w:sz w:val="24"/>
          <w:szCs w:val="24"/>
        </w:rPr>
        <w:t xml:space="preserve"> </w:t>
      </w:r>
      <w:r w:rsidR="001178DB" w:rsidRPr="00274542">
        <w:rPr>
          <w:sz w:val="24"/>
          <w:szCs w:val="24"/>
        </w:rPr>
        <w:t xml:space="preserve">(the Act) </w:t>
      </w:r>
      <w:r w:rsidRPr="00274542">
        <w:rPr>
          <w:sz w:val="24"/>
          <w:szCs w:val="24"/>
        </w:rPr>
        <w:t>provides strict guidelines that the Commission must follow in handling cus</w:t>
      </w:r>
      <w:r w:rsidR="00960039">
        <w:rPr>
          <w:sz w:val="24"/>
          <w:szCs w:val="24"/>
        </w:rPr>
        <w:t>tomer complaints. 66 Pa. C.S. § </w:t>
      </w:r>
      <w:r w:rsidRPr="00274542">
        <w:rPr>
          <w:sz w:val="24"/>
          <w:szCs w:val="24"/>
        </w:rPr>
        <w:t xml:space="preserve">1405(a) provides in pertinent part that "[t]he commission is authorized to establish </w:t>
      </w:r>
      <w:r w:rsidRPr="00274542">
        <w:rPr>
          <w:bCs/>
          <w:sz w:val="24"/>
          <w:szCs w:val="24"/>
        </w:rPr>
        <w:t>payment</w:t>
      </w:r>
      <w:r w:rsidRPr="00274542">
        <w:rPr>
          <w:sz w:val="24"/>
          <w:szCs w:val="24"/>
        </w:rPr>
        <w:t xml:space="preserve"> </w:t>
      </w:r>
      <w:r w:rsidRPr="00274542">
        <w:rPr>
          <w:sz w:val="24"/>
          <w:szCs w:val="24"/>
        </w:rPr>
        <w:lastRenderedPageBreak/>
        <w:t>agreements between a public utility, customers and applicants within the limits established by this chapter." 66 Pa. C.S. § 1403 defines an "applicant" as "[a] natural person not currently receiving service who applies for residential service provided by a public utility or any adult occupant whose name appears on the mortgage, deed or lease of the property for which the residential utility</w:t>
      </w:r>
      <w:r w:rsidRPr="00274542">
        <w:rPr>
          <w:b/>
          <w:sz w:val="24"/>
          <w:szCs w:val="24"/>
        </w:rPr>
        <w:t xml:space="preserve"> </w:t>
      </w:r>
      <w:r w:rsidRPr="00274542">
        <w:rPr>
          <w:sz w:val="24"/>
          <w:szCs w:val="24"/>
        </w:rPr>
        <w:t xml:space="preserve">service is requested." </w:t>
      </w:r>
      <w:r w:rsidRPr="00274542">
        <w:rPr>
          <w:bCs/>
          <w:sz w:val="24"/>
          <w:szCs w:val="24"/>
        </w:rPr>
        <w:t>Commercial</w:t>
      </w:r>
      <w:r w:rsidRPr="00274542">
        <w:rPr>
          <w:sz w:val="24"/>
          <w:szCs w:val="24"/>
        </w:rPr>
        <w:t xml:space="preserve"> customers do not fall within either of these definitions. Clearly, </w:t>
      </w:r>
      <w:r w:rsidRPr="00274542">
        <w:rPr>
          <w:bCs/>
          <w:sz w:val="24"/>
          <w:szCs w:val="24"/>
        </w:rPr>
        <w:t>commercial</w:t>
      </w:r>
      <w:r w:rsidRPr="00274542">
        <w:rPr>
          <w:sz w:val="24"/>
          <w:szCs w:val="24"/>
        </w:rPr>
        <w:t xml:space="preserve"> customers are not entitled to a Commission authorized </w:t>
      </w:r>
      <w:r w:rsidRPr="00274542">
        <w:rPr>
          <w:bCs/>
          <w:sz w:val="24"/>
          <w:szCs w:val="24"/>
        </w:rPr>
        <w:t>payment</w:t>
      </w:r>
      <w:r w:rsidRPr="00274542">
        <w:rPr>
          <w:sz w:val="24"/>
          <w:szCs w:val="24"/>
        </w:rPr>
        <w:t xml:space="preserve"> agreement under the Act.</w:t>
      </w:r>
      <w:r w:rsidRPr="00274542">
        <w:rPr>
          <w:sz w:val="24"/>
          <w:szCs w:val="24"/>
        </w:rPr>
        <w:br/>
      </w:r>
      <w:r w:rsidRPr="00274542">
        <w:rPr>
          <w:sz w:val="24"/>
          <w:szCs w:val="24"/>
        </w:rPr>
        <w:br/>
      </w:r>
      <w:r w:rsidRPr="00274542">
        <w:rPr>
          <w:sz w:val="24"/>
          <w:szCs w:val="24"/>
        </w:rPr>
        <w:tab/>
      </w:r>
      <w:r w:rsidRPr="00274542">
        <w:rPr>
          <w:sz w:val="24"/>
          <w:szCs w:val="24"/>
        </w:rPr>
        <w:tab/>
        <w:t xml:space="preserve">Additionally, the Commission has repeatedly held that a customer with a </w:t>
      </w:r>
      <w:r w:rsidRPr="00274542">
        <w:rPr>
          <w:bCs/>
          <w:sz w:val="24"/>
          <w:szCs w:val="24"/>
        </w:rPr>
        <w:t>commercial account</w:t>
      </w:r>
      <w:r w:rsidRPr="00274542">
        <w:rPr>
          <w:sz w:val="24"/>
          <w:szCs w:val="24"/>
        </w:rPr>
        <w:t xml:space="preserve"> for public utility service does not fall within the Commission regulations at 52 Pa. Code Chapter 56 and is not entitled to a </w:t>
      </w:r>
      <w:r w:rsidRPr="00274542">
        <w:rPr>
          <w:bCs/>
          <w:sz w:val="24"/>
          <w:szCs w:val="24"/>
        </w:rPr>
        <w:t>payment arrangement</w:t>
      </w:r>
      <w:r w:rsidRPr="00274542">
        <w:rPr>
          <w:sz w:val="24"/>
          <w:szCs w:val="24"/>
        </w:rPr>
        <w:t xml:space="preserve"> or other protections applicable to residential </w:t>
      </w:r>
      <w:r w:rsidRPr="00274542">
        <w:rPr>
          <w:bCs/>
          <w:sz w:val="24"/>
          <w:szCs w:val="24"/>
        </w:rPr>
        <w:t>accounts</w:t>
      </w:r>
      <w:r w:rsidRPr="00274542">
        <w:rPr>
          <w:sz w:val="24"/>
          <w:szCs w:val="24"/>
        </w:rPr>
        <w:t xml:space="preserve"> under the Commission regulations at 52 Pa. Code Chapter 56. </w:t>
      </w:r>
      <w:r w:rsidRPr="00274542">
        <w:rPr>
          <w:i/>
          <w:iCs/>
          <w:sz w:val="24"/>
          <w:szCs w:val="24"/>
        </w:rPr>
        <w:t>Bio/Data Corporation v. PECO Energy Co.,</w:t>
      </w:r>
      <w:r w:rsidRPr="00274542">
        <w:rPr>
          <w:sz w:val="24"/>
          <w:szCs w:val="24"/>
        </w:rPr>
        <w:t xml:space="preserve"> Docket No. C-2</w:t>
      </w:r>
      <w:r w:rsidR="00FE6424">
        <w:rPr>
          <w:sz w:val="24"/>
          <w:szCs w:val="24"/>
        </w:rPr>
        <w:t>0026698 (Order entered July 30, </w:t>
      </w:r>
      <w:r w:rsidRPr="00274542">
        <w:rPr>
          <w:sz w:val="24"/>
          <w:szCs w:val="24"/>
        </w:rPr>
        <w:t xml:space="preserve">2002); </w:t>
      </w:r>
      <w:r w:rsidRPr="00274542">
        <w:rPr>
          <w:i/>
          <w:iCs/>
          <w:sz w:val="24"/>
          <w:szCs w:val="24"/>
        </w:rPr>
        <w:t>Lebanon Valley Enterprises, Inc. v. Metropolitan Edison Co.,</w:t>
      </w:r>
      <w:r w:rsidR="00FE6424">
        <w:rPr>
          <w:sz w:val="24"/>
          <w:szCs w:val="24"/>
        </w:rPr>
        <w:t xml:space="preserve"> Docket No. C</w:t>
      </w:r>
      <w:r w:rsidR="00FE6424">
        <w:rPr>
          <w:sz w:val="24"/>
          <w:szCs w:val="24"/>
        </w:rPr>
        <w:noBreakHyphen/>
      </w:r>
      <w:r w:rsidRPr="00274542">
        <w:rPr>
          <w:sz w:val="24"/>
          <w:szCs w:val="24"/>
        </w:rPr>
        <w:t xml:space="preserve">00015522 (Order entered October 15, 2001); </w:t>
      </w:r>
      <w:r w:rsidRPr="00274542">
        <w:rPr>
          <w:i/>
          <w:iCs/>
          <w:sz w:val="24"/>
          <w:szCs w:val="24"/>
        </w:rPr>
        <w:t>Kayla's Place Inc. v. Duquesne Light Co.,</w:t>
      </w:r>
      <w:r w:rsidRPr="00274542">
        <w:rPr>
          <w:sz w:val="24"/>
          <w:szCs w:val="24"/>
        </w:rPr>
        <w:t xml:space="preserve"> Docket No. C-00981711 (Order entered May 24, 1999); </w:t>
      </w:r>
      <w:r w:rsidRPr="00274542">
        <w:rPr>
          <w:i/>
          <w:iCs/>
          <w:sz w:val="24"/>
          <w:szCs w:val="24"/>
        </w:rPr>
        <w:t>Kenny v. Duquesne Light Co.,</w:t>
      </w:r>
      <w:r w:rsidRPr="00274542">
        <w:rPr>
          <w:sz w:val="24"/>
          <w:szCs w:val="24"/>
        </w:rPr>
        <w:t xml:space="preserve"> Docket No. C-00967789 (Order entered November 27, 1996); see also, 52 Pa. Code §§ 55.2(a), 56.1.</w:t>
      </w:r>
      <w:r w:rsidRPr="00274542">
        <w:rPr>
          <w:sz w:val="24"/>
          <w:szCs w:val="24"/>
        </w:rPr>
        <w:br/>
      </w:r>
      <w:r w:rsidRPr="00274542">
        <w:rPr>
          <w:sz w:val="24"/>
          <w:szCs w:val="24"/>
        </w:rPr>
        <w:br/>
      </w:r>
      <w:r w:rsidRPr="00274542">
        <w:rPr>
          <w:sz w:val="24"/>
          <w:szCs w:val="24"/>
        </w:rPr>
        <w:tab/>
      </w:r>
      <w:r w:rsidRPr="00274542">
        <w:rPr>
          <w:sz w:val="24"/>
          <w:szCs w:val="24"/>
        </w:rPr>
        <w:tab/>
        <w:t xml:space="preserve">In </w:t>
      </w:r>
      <w:r w:rsidR="001178DB" w:rsidRPr="00274542">
        <w:rPr>
          <w:sz w:val="24"/>
          <w:szCs w:val="24"/>
        </w:rPr>
        <w:t>its c</w:t>
      </w:r>
      <w:r w:rsidRPr="00274542">
        <w:rPr>
          <w:sz w:val="24"/>
          <w:szCs w:val="24"/>
        </w:rPr>
        <w:t xml:space="preserve">omplaint, Complainant requested the Commission to establish a payment arrangement between Complainant and UGI.  However, the Complainant is a </w:t>
      </w:r>
      <w:r w:rsidRPr="00274542">
        <w:rPr>
          <w:bCs/>
          <w:sz w:val="24"/>
          <w:szCs w:val="24"/>
        </w:rPr>
        <w:t>commercial</w:t>
      </w:r>
      <w:r w:rsidRPr="00274542">
        <w:rPr>
          <w:sz w:val="24"/>
          <w:szCs w:val="24"/>
        </w:rPr>
        <w:t xml:space="preserve"> customer, and as such, is not entitled to a </w:t>
      </w:r>
      <w:r w:rsidRPr="00274542">
        <w:rPr>
          <w:bCs/>
          <w:sz w:val="24"/>
          <w:szCs w:val="24"/>
        </w:rPr>
        <w:t>payment</w:t>
      </w:r>
      <w:r w:rsidRPr="00274542">
        <w:rPr>
          <w:sz w:val="24"/>
          <w:szCs w:val="24"/>
        </w:rPr>
        <w:t xml:space="preserve"> a</w:t>
      </w:r>
      <w:r w:rsidR="001178DB" w:rsidRPr="00274542">
        <w:rPr>
          <w:sz w:val="24"/>
          <w:szCs w:val="24"/>
        </w:rPr>
        <w:t>rrangement</w:t>
      </w:r>
      <w:r w:rsidRPr="00274542">
        <w:rPr>
          <w:sz w:val="24"/>
          <w:szCs w:val="24"/>
        </w:rPr>
        <w:t xml:space="preserve"> under the Act or the Commission's regulations. Therefore, even if the Complainant had appeared, the Commission lacks the authority to establish a </w:t>
      </w:r>
      <w:r w:rsidRPr="00274542">
        <w:rPr>
          <w:bCs/>
          <w:sz w:val="24"/>
          <w:szCs w:val="24"/>
        </w:rPr>
        <w:t>payment arrangement</w:t>
      </w:r>
      <w:r w:rsidRPr="00274542">
        <w:rPr>
          <w:sz w:val="24"/>
          <w:szCs w:val="24"/>
        </w:rPr>
        <w:t xml:space="preserve"> for the Complainant.</w:t>
      </w:r>
      <w:r w:rsidR="003B5259" w:rsidRPr="00274542">
        <w:rPr>
          <w:sz w:val="24"/>
          <w:szCs w:val="24"/>
        </w:rPr>
        <w:t xml:space="preserve"> </w:t>
      </w:r>
      <w:r w:rsidRPr="00274542">
        <w:rPr>
          <w:sz w:val="24"/>
          <w:szCs w:val="24"/>
        </w:rPr>
        <w:t xml:space="preserve"> There is no genuine issue as to a material fact and, pursuant to 52 Pa. Code § 5.102(d)(1), the utility is entitled to judgment in its favor as a matter of law.</w:t>
      </w:r>
      <w:r w:rsidR="003B5259" w:rsidRPr="00274542">
        <w:rPr>
          <w:sz w:val="24"/>
          <w:szCs w:val="24"/>
        </w:rPr>
        <w:t xml:space="preserve"> </w:t>
      </w:r>
      <w:r w:rsidRPr="00274542">
        <w:rPr>
          <w:sz w:val="24"/>
          <w:szCs w:val="24"/>
        </w:rPr>
        <w:t xml:space="preserve"> </w:t>
      </w:r>
      <w:r w:rsidRPr="00274542">
        <w:rPr>
          <w:i/>
          <w:sz w:val="24"/>
          <w:szCs w:val="24"/>
        </w:rPr>
        <w:t>Color Tile Plus v. PECO Energy Company</w:t>
      </w:r>
      <w:r w:rsidRPr="00274542">
        <w:rPr>
          <w:sz w:val="24"/>
          <w:szCs w:val="24"/>
        </w:rPr>
        <w:t>, Docket No. C-2010-2153376 (Order issued June 18, 2010)</w:t>
      </w:r>
      <w:r w:rsidR="003B5259" w:rsidRPr="00274542">
        <w:rPr>
          <w:sz w:val="24"/>
          <w:szCs w:val="24"/>
        </w:rPr>
        <w:t>.</w:t>
      </w:r>
    </w:p>
    <w:p w:rsidR="00C6415B" w:rsidRPr="00274542" w:rsidRDefault="00C6415B" w:rsidP="00274542">
      <w:pPr>
        <w:spacing w:line="360" w:lineRule="auto"/>
        <w:rPr>
          <w:sz w:val="24"/>
          <w:szCs w:val="24"/>
        </w:rPr>
      </w:pPr>
    </w:p>
    <w:p w:rsidR="008D5446" w:rsidRPr="00274542" w:rsidRDefault="008D5446" w:rsidP="00274542">
      <w:pPr>
        <w:spacing w:line="360" w:lineRule="auto"/>
        <w:jc w:val="center"/>
        <w:rPr>
          <w:sz w:val="24"/>
          <w:szCs w:val="24"/>
          <w:u w:val="single"/>
        </w:rPr>
      </w:pPr>
      <w:r w:rsidRPr="00274542">
        <w:rPr>
          <w:sz w:val="24"/>
          <w:szCs w:val="24"/>
          <w:u w:val="single"/>
        </w:rPr>
        <w:t>CONCLUSIONS OF LAW</w:t>
      </w:r>
    </w:p>
    <w:p w:rsidR="008D5446" w:rsidRPr="00274542" w:rsidRDefault="008D5446" w:rsidP="00274542">
      <w:pPr>
        <w:spacing w:line="360" w:lineRule="auto"/>
        <w:rPr>
          <w:sz w:val="24"/>
          <w:szCs w:val="24"/>
        </w:rPr>
      </w:pPr>
      <w:r w:rsidRPr="00274542">
        <w:rPr>
          <w:sz w:val="24"/>
          <w:szCs w:val="24"/>
        </w:rPr>
        <w:br/>
      </w:r>
      <w:r w:rsidRPr="00274542">
        <w:rPr>
          <w:sz w:val="24"/>
          <w:szCs w:val="24"/>
        </w:rPr>
        <w:tab/>
      </w:r>
      <w:r w:rsidRPr="00274542">
        <w:rPr>
          <w:sz w:val="24"/>
          <w:szCs w:val="24"/>
        </w:rPr>
        <w:tab/>
        <w:t>1.</w:t>
      </w:r>
      <w:r w:rsidRPr="00274542">
        <w:rPr>
          <w:sz w:val="24"/>
          <w:szCs w:val="24"/>
        </w:rPr>
        <w:tab/>
        <w:t>The Commission has jurisdiction over the subject matter and the parties to this proceeding.  66 Pa. C.S. § 701.</w:t>
      </w:r>
      <w:r w:rsidRPr="00274542">
        <w:rPr>
          <w:sz w:val="24"/>
          <w:szCs w:val="24"/>
        </w:rPr>
        <w:br/>
      </w:r>
      <w:r w:rsidRPr="00274542">
        <w:rPr>
          <w:sz w:val="24"/>
          <w:szCs w:val="24"/>
        </w:rPr>
        <w:lastRenderedPageBreak/>
        <w:br/>
      </w:r>
      <w:r w:rsidRPr="00274542">
        <w:rPr>
          <w:sz w:val="24"/>
          <w:szCs w:val="24"/>
        </w:rPr>
        <w:tab/>
      </w:r>
      <w:r w:rsidRPr="00274542">
        <w:rPr>
          <w:sz w:val="24"/>
          <w:szCs w:val="24"/>
        </w:rPr>
        <w:tab/>
        <w:t>2.</w:t>
      </w:r>
      <w:r w:rsidRPr="00274542">
        <w:rPr>
          <w:sz w:val="24"/>
          <w:szCs w:val="24"/>
        </w:rPr>
        <w:tab/>
        <w:t xml:space="preserve">The due process rights of Complainant have been fully protected in this proceeding.  </w:t>
      </w:r>
      <w:r w:rsidRPr="00274542">
        <w:rPr>
          <w:i/>
          <w:sz w:val="24"/>
          <w:szCs w:val="24"/>
        </w:rPr>
        <w:t>Sentner v. Bell Telephone Company of Pennsylvania</w:t>
      </w:r>
      <w:r w:rsidRPr="00274542">
        <w:rPr>
          <w:sz w:val="24"/>
          <w:szCs w:val="24"/>
        </w:rPr>
        <w:t>, Docket No. F-00161106 (Order entered October 25, 1993); and 52 Pa. Code § 5.245(a).</w:t>
      </w:r>
      <w:r w:rsidRPr="00274542">
        <w:rPr>
          <w:sz w:val="24"/>
          <w:szCs w:val="24"/>
        </w:rPr>
        <w:br/>
      </w:r>
      <w:r w:rsidRPr="00274542">
        <w:rPr>
          <w:sz w:val="24"/>
          <w:szCs w:val="24"/>
        </w:rPr>
        <w:br/>
      </w:r>
      <w:r w:rsidRPr="00274542">
        <w:rPr>
          <w:sz w:val="24"/>
          <w:szCs w:val="24"/>
        </w:rPr>
        <w:tab/>
      </w:r>
      <w:r w:rsidRPr="00274542">
        <w:rPr>
          <w:sz w:val="24"/>
          <w:szCs w:val="24"/>
        </w:rPr>
        <w:tab/>
        <w:t>3.</w:t>
      </w:r>
      <w:r w:rsidRPr="00274542">
        <w:rPr>
          <w:sz w:val="24"/>
          <w:szCs w:val="24"/>
        </w:rPr>
        <w:tab/>
        <w:t xml:space="preserve">By failing to appear and be heard on this complaint, Complainant has failed to meet </w:t>
      </w:r>
      <w:r w:rsidR="00A74C09" w:rsidRPr="00274542">
        <w:rPr>
          <w:sz w:val="24"/>
          <w:szCs w:val="24"/>
        </w:rPr>
        <w:t>its</w:t>
      </w:r>
      <w:r w:rsidRPr="00274542">
        <w:rPr>
          <w:sz w:val="24"/>
          <w:szCs w:val="24"/>
        </w:rPr>
        <w:t xml:space="preserve"> burden of proving that</w:t>
      </w:r>
      <w:r w:rsidR="00A74C09" w:rsidRPr="00274542">
        <w:rPr>
          <w:sz w:val="24"/>
          <w:szCs w:val="24"/>
        </w:rPr>
        <w:t xml:space="preserve"> it</w:t>
      </w:r>
      <w:r w:rsidRPr="00274542">
        <w:rPr>
          <w:sz w:val="24"/>
          <w:szCs w:val="24"/>
        </w:rPr>
        <w:t xml:space="preserve"> is entitled to relief.  66 Pa. C.S. § 332(a).</w:t>
      </w:r>
    </w:p>
    <w:p w:rsidR="005524FE" w:rsidRPr="00274542" w:rsidRDefault="005524FE" w:rsidP="00274542">
      <w:pPr>
        <w:spacing w:line="360" w:lineRule="auto"/>
        <w:rPr>
          <w:sz w:val="24"/>
          <w:szCs w:val="24"/>
        </w:rPr>
      </w:pPr>
    </w:p>
    <w:p w:rsidR="005524FE" w:rsidRPr="00274542" w:rsidRDefault="005524FE" w:rsidP="00274542">
      <w:pPr>
        <w:spacing w:line="360" w:lineRule="auto"/>
        <w:ind w:firstLine="1440"/>
        <w:rPr>
          <w:sz w:val="24"/>
          <w:szCs w:val="24"/>
        </w:rPr>
      </w:pPr>
      <w:r w:rsidRPr="00274542">
        <w:rPr>
          <w:sz w:val="24"/>
          <w:szCs w:val="24"/>
        </w:rPr>
        <w:t>4.</w:t>
      </w:r>
      <w:r w:rsidRPr="00274542">
        <w:rPr>
          <w:sz w:val="24"/>
          <w:szCs w:val="24"/>
        </w:rPr>
        <w:tab/>
        <w:t>Commercial customers are not entitled to a payment arrangement under the Responsible Utility Customer Protection Act.  66 Pa. C.S. §§ 1403, 1405(a).</w:t>
      </w:r>
    </w:p>
    <w:p w:rsidR="005524FE" w:rsidRPr="00274542" w:rsidRDefault="005524FE" w:rsidP="00274542">
      <w:pPr>
        <w:spacing w:line="360" w:lineRule="auto"/>
        <w:ind w:firstLine="1440"/>
        <w:rPr>
          <w:sz w:val="24"/>
          <w:szCs w:val="24"/>
        </w:rPr>
      </w:pPr>
    </w:p>
    <w:p w:rsidR="005524FE" w:rsidRPr="00274542" w:rsidRDefault="005524FE" w:rsidP="00274542">
      <w:pPr>
        <w:spacing w:line="360" w:lineRule="auto"/>
        <w:ind w:firstLine="1440"/>
        <w:rPr>
          <w:sz w:val="24"/>
          <w:szCs w:val="24"/>
        </w:rPr>
      </w:pPr>
      <w:r w:rsidRPr="00274542">
        <w:rPr>
          <w:sz w:val="24"/>
          <w:szCs w:val="24"/>
        </w:rPr>
        <w:t>5.</w:t>
      </w:r>
      <w:r w:rsidRPr="00274542">
        <w:rPr>
          <w:sz w:val="24"/>
          <w:szCs w:val="24"/>
        </w:rPr>
        <w:tab/>
        <w:t>Commercial customers are not entitled to a payment arrangement or other protections applicable to residential accounts under the Commission regulations at 52 Pa. Code Chapter 56.</w:t>
      </w:r>
    </w:p>
    <w:p w:rsidR="005524FE" w:rsidRPr="00274542" w:rsidRDefault="005524FE" w:rsidP="00274542">
      <w:pPr>
        <w:spacing w:line="360" w:lineRule="auto"/>
        <w:ind w:firstLine="1440"/>
        <w:rPr>
          <w:sz w:val="24"/>
          <w:szCs w:val="24"/>
        </w:rPr>
      </w:pPr>
    </w:p>
    <w:p w:rsidR="005524FE" w:rsidRPr="00274542" w:rsidRDefault="005524FE" w:rsidP="00274542">
      <w:pPr>
        <w:spacing w:line="360" w:lineRule="auto"/>
        <w:ind w:firstLine="1440"/>
        <w:rPr>
          <w:sz w:val="24"/>
          <w:szCs w:val="24"/>
        </w:rPr>
      </w:pPr>
      <w:r w:rsidRPr="00274542">
        <w:rPr>
          <w:sz w:val="24"/>
          <w:szCs w:val="24"/>
        </w:rPr>
        <w:t>6.</w:t>
      </w:r>
      <w:r w:rsidRPr="00274542">
        <w:rPr>
          <w:sz w:val="24"/>
          <w:szCs w:val="24"/>
        </w:rPr>
        <w:tab/>
        <w:t>The Commission must act within, and cannot exceed, its jurisdiction.</w:t>
      </w:r>
    </w:p>
    <w:p w:rsidR="00FE6424" w:rsidRDefault="00FE6424">
      <w:pPr>
        <w:rPr>
          <w:sz w:val="24"/>
          <w:szCs w:val="24"/>
        </w:rPr>
      </w:pPr>
      <w:r>
        <w:rPr>
          <w:sz w:val="24"/>
          <w:szCs w:val="24"/>
        </w:rPr>
        <w:br w:type="page"/>
      </w:r>
    </w:p>
    <w:p w:rsidR="008D5446" w:rsidRPr="00274542" w:rsidRDefault="008D5446" w:rsidP="00274542">
      <w:pPr>
        <w:spacing w:line="360" w:lineRule="auto"/>
        <w:jc w:val="center"/>
        <w:rPr>
          <w:sz w:val="24"/>
          <w:szCs w:val="24"/>
        </w:rPr>
      </w:pPr>
      <w:r w:rsidRPr="00274542">
        <w:rPr>
          <w:sz w:val="24"/>
          <w:szCs w:val="24"/>
          <w:u w:val="single"/>
        </w:rPr>
        <w:lastRenderedPageBreak/>
        <w:t>ORDER</w:t>
      </w:r>
    </w:p>
    <w:p w:rsidR="008D5446" w:rsidRPr="00274542" w:rsidRDefault="008D5446" w:rsidP="00274542">
      <w:pPr>
        <w:spacing w:line="360" w:lineRule="auto"/>
        <w:rPr>
          <w:sz w:val="24"/>
          <w:szCs w:val="24"/>
        </w:rPr>
      </w:pPr>
    </w:p>
    <w:p w:rsidR="008D5446" w:rsidRPr="00274542" w:rsidRDefault="008D5446" w:rsidP="00274542">
      <w:pPr>
        <w:spacing w:line="360" w:lineRule="auto"/>
        <w:rPr>
          <w:sz w:val="24"/>
          <w:szCs w:val="24"/>
        </w:rPr>
      </w:pPr>
    </w:p>
    <w:p w:rsidR="008D5446" w:rsidRPr="00274542" w:rsidRDefault="008D5446" w:rsidP="00274542">
      <w:pPr>
        <w:spacing w:line="360" w:lineRule="auto"/>
        <w:rPr>
          <w:sz w:val="24"/>
          <w:szCs w:val="24"/>
        </w:rPr>
      </w:pPr>
      <w:r w:rsidRPr="00274542">
        <w:rPr>
          <w:sz w:val="24"/>
          <w:szCs w:val="24"/>
        </w:rPr>
        <w:tab/>
      </w:r>
      <w:r w:rsidRPr="00274542">
        <w:rPr>
          <w:sz w:val="24"/>
          <w:szCs w:val="24"/>
        </w:rPr>
        <w:tab/>
        <w:t>THEREFORE,</w:t>
      </w:r>
      <w:r w:rsidRPr="00274542">
        <w:rPr>
          <w:sz w:val="24"/>
          <w:szCs w:val="24"/>
        </w:rPr>
        <w:br/>
      </w:r>
      <w:r w:rsidRPr="00274542">
        <w:rPr>
          <w:sz w:val="24"/>
          <w:szCs w:val="24"/>
        </w:rPr>
        <w:br/>
      </w:r>
      <w:r w:rsidRPr="00274542">
        <w:rPr>
          <w:sz w:val="24"/>
          <w:szCs w:val="24"/>
        </w:rPr>
        <w:tab/>
      </w:r>
      <w:r w:rsidRPr="00274542">
        <w:rPr>
          <w:sz w:val="24"/>
          <w:szCs w:val="24"/>
        </w:rPr>
        <w:tab/>
        <w:t>IT IS ORDERED:</w:t>
      </w:r>
      <w:r w:rsidRPr="00274542">
        <w:rPr>
          <w:sz w:val="24"/>
          <w:szCs w:val="24"/>
        </w:rPr>
        <w:br/>
      </w:r>
      <w:r w:rsidRPr="00274542">
        <w:rPr>
          <w:sz w:val="24"/>
          <w:szCs w:val="24"/>
        </w:rPr>
        <w:br/>
      </w:r>
      <w:r w:rsidRPr="00274542">
        <w:rPr>
          <w:sz w:val="24"/>
          <w:szCs w:val="24"/>
        </w:rPr>
        <w:tab/>
      </w:r>
      <w:r w:rsidRPr="00274542">
        <w:rPr>
          <w:sz w:val="24"/>
          <w:szCs w:val="24"/>
        </w:rPr>
        <w:tab/>
        <w:t>1.</w:t>
      </w:r>
      <w:r w:rsidRPr="00274542">
        <w:rPr>
          <w:sz w:val="24"/>
          <w:szCs w:val="24"/>
        </w:rPr>
        <w:tab/>
        <w:t xml:space="preserve">That the Motion to Dismiss the complaint of </w:t>
      </w:r>
      <w:r w:rsidR="00A74C09" w:rsidRPr="00274542">
        <w:rPr>
          <w:sz w:val="24"/>
          <w:szCs w:val="24"/>
        </w:rPr>
        <w:t>Faith Love &amp; Hope Tabernacle</w:t>
      </w:r>
      <w:r w:rsidRPr="00274542">
        <w:rPr>
          <w:sz w:val="24"/>
          <w:szCs w:val="24"/>
        </w:rPr>
        <w:t xml:space="preserve"> raised by </w:t>
      </w:r>
      <w:r w:rsidR="00A74C09" w:rsidRPr="00274542">
        <w:rPr>
          <w:sz w:val="24"/>
          <w:szCs w:val="24"/>
        </w:rPr>
        <w:t>UGI Utilities, Inc.</w:t>
      </w:r>
      <w:r w:rsidRPr="00274542">
        <w:rPr>
          <w:sz w:val="24"/>
          <w:szCs w:val="24"/>
        </w:rPr>
        <w:t xml:space="preserve"> at Docket No. </w:t>
      </w:r>
      <w:r w:rsidR="00A74C09" w:rsidRPr="00274542">
        <w:rPr>
          <w:sz w:val="24"/>
          <w:szCs w:val="24"/>
        </w:rPr>
        <w:t>C</w:t>
      </w:r>
      <w:r w:rsidRPr="00274542">
        <w:rPr>
          <w:sz w:val="24"/>
          <w:szCs w:val="24"/>
        </w:rPr>
        <w:t>-2010-</w:t>
      </w:r>
      <w:r w:rsidR="00A74C09" w:rsidRPr="00274542">
        <w:rPr>
          <w:sz w:val="24"/>
          <w:szCs w:val="24"/>
        </w:rPr>
        <w:t>2163224</w:t>
      </w:r>
      <w:r w:rsidRPr="00274542">
        <w:rPr>
          <w:sz w:val="24"/>
          <w:szCs w:val="24"/>
        </w:rPr>
        <w:t xml:space="preserve"> is hereby granted.</w:t>
      </w:r>
    </w:p>
    <w:p w:rsidR="008D5446" w:rsidRPr="00274542" w:rsidRDefault="008D5446" w:rsidP="00274542">
      <w:pPr>
        <w:spacing w:line="360" w:lineRule="auto"/>
        <w:rPr>
          <w:sz w:val="24"/>
          <w:szCs w:val="24"/>
        </w:rPr>
      </w:pPr>
    </w:p>
    <w:p w:rsidR="008D5446" w:rsidRPr="00274542" w:rsidRDefault="008D5446" w:rsidP="00274542">
      <w:pPr>
        <w:spacing w:line="360" w:lineRule="auto"/>
        <w:rPr>
          <w:sz w:val="24"/>
          <w:szCs w:val="24"/>
        </w:rPr>
      </w:pPr>
      <w:r w:rsidRPr="00274542">
        <w:rPr>
          <w:sz w:val="24"/>
          <w:szCs w:val="24"/>
        </w:rPr>
        <w:tab/>
      </w:r>
      <w:r w:rsidRPr="00274542">
        <w:rPr>
          <w:sz w:val="24"/>
          <w:szCs w:val="24"/>
        </w:rPr>
        <w:tab/>
        <w:t>2.</w:t>
      </w:r>
      <w:r w:rsidRPr="00274542">
        <w:rPr>
          <w:sz w:val="24"/>
          <w:szCs w:val="24"/>
        </w:rPr>
        <w:tab/>
        <w:t xml:space="preserve">That the complaint of </w:t>
      </w:r>
      <w:r w:rsidR="00A74C09" w:rsidRPr="00274542">
        <w:rPr>
          <w:sz w:val="24"/>
          <w:szCs w:val="24"/>
        </w:rPr>
        <w:t>Faith Love &amp; Hope Tabernacle</w:t>
      </w:r>
      <w:r w:rsidRPr="00274542">
        <w:rPr>
          <w:sz w:val="24"/>
          <w:szCs w:val="24"/>
        </w:rPr>
        <w:t xml:space="preserve"> against </w:t>
      </w:r>
      <w:r w:rsidR="00A74C09" w:rsidRPr="00274542">
        <w:rPr>
          <w:sz w:val="24"/>
          <w:szCs w:val="24"/>
        </w:rPr>
        <w:t>UGI Utilities, Inc.</w:t>
      </w:r>
      <w:r w:rsidRPr="00274542">
        <w:rPr>
          <w:sz w:val="24"/>
          <w:szCs w:val="24"/>
        </w:rPr>
        <w:t xml:space="preserve"> at Docket No. </w:t>
      </w:r>
      <w:r w:rsidR="00A74C09" w:rsidRPr="00274542">
        <w:rPr>
          <w:sz w:val="24"/>
          <w:szCs w:val="24"/>
        </w:rPr>
        <w:t>C</w:t>
      </w:r>
      <w:r w:rsidRPr="00274542">
        <w:rPr>
          <w:sz w:val="24"/>
          <w:szCs w:val="24"/>
        </w:rPr>
        <w:t>-2010-</w:t>
      </w:r>
      <w:r w:rsidR="00A74C09" w:rsidRPr="00274542">
        <w:rPr>
          <w:sz w:val="24"/>
          <w:szCs w:val="24"/>
        </w:rPr>
        <w:t>2163224 is</w:t>
      </w:r>
      <w:r w:rsidRPr="00274542">
        <w:rPr>
          <w:sz w:val="24"/>
          <w:szCs w:val="24"/>
        </w:rPr>
        <w:t xml:space="preserve"> hereby </w:t>
      </w:r>
      <w:r w:rsidRPr="00274542">
        <w:rPr>
          <w:bCs/>
          <w:sz w:val="24"/>
          <w:szCs w:val="24"/>
        </w:rPr>
        <w:t>dismissed with prejudice.</w:t>
      </w:r>
    </w:p>
    <w:p w:rsidR="008D5446" w:rsidRPr="00274542" w:rsidRDefault="008D5446" w:rsidP="00274542">
      <w:pPr>
        <w:spacing w:line="360" w:lineRule="auto"/>
        <w:rPr>
          <w:sz w:val="24"/>
          <w:szCs w:val="24"/>
        </w:rPr>
      </w:pPr>
    </w:p>
    <w:p w:rsidR="008D5446" w:rsidRPr="00274542" w:rsidRDefault="008D5446" w:rsidP="00274542">
      <w:pPr>
        <w:spacing w:line="360" w:lineRule="auto"/>
        <w:rPr>
          <w:sz w:val="24"/>
          <w:szCs w:val="24"/>
        </w:rPr>
      </w:pPr>
    </w:p>
    <w:p w:rsidR="008D5446" w:rsidRPr="00274542" w:rsidRDefault="008D5446" w:rsidP="00274542">
      <w:pPr>
        <w:pStyle w:val="NoSpacing"/>
        <w:rPr>
          <w:sz w:val="24"/>
          <w:szCs w:val="24"/>
        </w:rPr>
      </w:pPr>
      <w:r w:rsidRPr="00960039">
        <w:rPr>
          <w:sz w:val="24"/>
          <w:szCs w:val="24"/>
          <w:u w:val="single"/>
        </w:rPr>
        <w:t>Dated:</w:t>
      </w:r>
      <w:r w:rsidRPr="00960039">
        <w:rPr>
          <w:sz w:val="24"/>
          <w:szCs w:val="24"/>
          <w:u w:val="single"/>
        </w:rPr>
        <w:tab/>
        <w:t xml:space="preserve"> April 1</w:t>
      </w:r>
      <w:r w:rsidR="00A74C09" w:rsidRPr="00960039">
        <w:rPr>
          <w:sz w:val="24"/>
          <w:szCs w:val="24"/>
          <w:u w:val="single"/>
        </w:rPr>
        <w:t>8</w:t>
      </w:r>
      <w:r w:rsidRPr="00960039">
        <w:rPr>
          <w:sz w:val="24"/>
          <w:szCs w:val="24"/>
          <w:u w:val="single"/>
        </w:rPr>
        <w:t>, 2011</w:t>
      </w:r>
      <w:r w:rsidRPr="00274542">
        <w:rPr>
          <w:sz w:val="24"/>
          <w:szCs w:val="24"/>
        </w:rPr>
        <w:tab/>
      </w:r>
      <w:r w:rsidRPr="00274542">
        <w:rPr>
          <w:sz w:val="24"/>
          <w:szCs w:val="24"/>
        </w:rPr>
        <w:tab/>
      </w:r>
      <w:r w:rsidRPr="00274542">
        <w:rPr>
          <w:sz w:val="24"/>
          <w:szCs w:val="24"/>
        </w:rPr>
        <w:tab/>
        <w:t>_______________________________________</w:t>
      </w:r>
    </w:p>
    <w:p w:rsidR="008D5446" w:rsidRPr="00274542" w:rsidRDefault="008D5446" w:rsidP="00274542">
      <w:pPr>
        <w:pStyle w:val="NoSpacing"/>
        <w:rPr>
          <w:sz w:val="24"/>
          <w:szCs w:val="24"/>
        </w:rPr>
      </w:pPr>
      <w:r w:rsidRPr="00274542">
        <w:rPr>
          <w:sz w:val="24"/>
          <w:szCs w:val="24"/>
        </w:rPr>
        <w:tab/>
      </w:r>
      <w:r w:rsidRPr="00274542">
        <w:rPr>
          <w:sz w:val="24"/>
          <w:szCs w:val="24"/>
        </w:rPr>
        <w:tab/>
      </w:r>
      <w:r w:rsidRPr="00274542">
        <w:rPr>
          <w:sz w:val="24"/>
          <w:szCs w:val="24"/>
        </w:rPr>
        <w:tab/>
      </w:r>
      <w:r w:rsidRPr="00274542">
        <w:rPr>
          <w:sz w:val="24"/>
          <w:szCs w:val="24"/>
        </w:rPr>
        <w:tab/>
      </w:r>
      <w:r w:rsidRPr="00274542">
        <w:rPr>
          <w:sz w:val="24"/>
          <w:szCs w:val="24"/>
        </w:rPr>
        <w:tab/>
      </w:r>
      <w:r w:rsidRPr="00274542">
        <w:rPr>
          <w:sz w:val="24"/>
          <w:szCs w:val="24"/>
        </w:rPr>
        <w:tab/>
        <w:t>Dennis J. Buckley</w:t>
      </w:r>
    </w:p>
    <w:p w:rsidR="008D5446" w:rsidRPr="00274542" w:rsidRDefault="008D5446" w:rsidP="00274542">
      <w:pPr>
        <w:pStyle w:val="NoSpacing"/>
        <w:rPr>
          <w:sz w:val="24"/>
          <w:szCs w:val="24"/>
        </w:rPr>
      </w:pPr>
      <w:r w:rsidRPr="00274542">
        <w:rPr>
          <w:sz w:val="24"/>
          <w:szCs w:val="24"/>
        </w:rPr>
        <w:tab/>
      </w:r>
      <w:r w:rsidRPr="00274542">
        <w:rPr>
          <w:sz w:val="24"/>
          <w:szCs w:val="24"/>
        </w:rPr>
        <w:tab/>
      </w:r>
      <w:r w:rsidRPr="00274542">
        <w:rPr>
          <w:sz w:val="24"/>
          <w:szCs w:val="24"/>
        </w:rPr>
        <w:tab/>
      </w:r>
      <w:r w:rsidRPr="00274542">
        <w:rPr>
          <w:sz w:val="24"/>
          <w:szCs w:val="24"/>
        </w:rPr>
        <w:tab/>
      </w:r>
      <w:r w:rsidRPr="00274542">
        <w:rPr>
          <w:sz w:val="24"/>
          <w:szCs w:val="24"/>
        </w:rPr>
        <w:tab/>
      </w:r>
      <w:r w:rsidRPr="00274542">
        <w:rPr>
          <w:sz w:val="24"/>
          <w:szCs w:val="24"/>
        </w:rPr>
        <w:tab/>
        <w:t>Administrative Law Judge</w:t>
      </w:r>
    </w:p>
    <w:p w:rsidR="008D5446" w:rsidRPr="00274542" w:rsidRDefault="008D5446" w:rsidP="00274542">
      <w:pPr>
        <w:rPr>
          <w:sz w:val="24"/>
          <w:szCs w:val="24"/>
        </w:rPr>
      </w:pPr>
    </w:p>
    <w:sectPr w:rsidR="008D5446" w:rsidRPr="00274542" w:rsidSect="00274542">
      <w:footerReference w:type="even" r:id="rId7"/>
      <w:footerReference w:type="default" r:id="rId8"/>
      <w:pgSz w:w="12240" w:h="15840"/>
      <w:pgMar w:top="1440" w:right="1440" w:bottom="1440" w:left="1440" w:header="720" w:footer="14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6A1" w:rsidRDefault="001D76A1">
      <w:r>
        <w:separator/>
      </w:r>
    </w:p>
  </w:endnote>
  <w:endnote w:type="continuationSeparator" w:id="0">
    <w:p w:rsidR="001D76A1" w:rsidRDefault="001D76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164692"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9522813"/>
      <w:docPartObj>
        <w:docPartGallery w:val="Page Numbers (Bottom of Page)"/>
        <w:docPartUnique/>
      </w:docPartObj>
    </w:sdtPr>
    <w:sdtContent>
      <w:p w:rsidR="00274542" w:rsidRDefault="00164692">
        <w:pPr>
          <w:pStyle w:val="Footer"/>
          <w:jc w:val="center"/>
        </w:pPr>
        <w:r w:rsidRPr="00274542">
          <w:rPr>
            <w:sz w:val="20"/>
            <w:szCs w:val="20"/>
          </w:rPr>
          <w:fldChar w:fldCharType="begin"/>
        </w:r>
        <w:r w:rsidR="00274542" w:rsidRPr="00274542">
          <w:rPr>
            <w:sz w:val="20"/>
            <w:szCs w:val="20"/>
          </w:rPr>
          <w:instrText xml:space="preserve"> PAGE   \* MERGEFORMAT </w:instrText>
        </w:r>
        <w:r w:rsidRPr="00274542">
          <w:rPr>
            <w:sz w:val="20"/>
            <w:szCs w:val="20"/>
          </w:rPr>
          <w:fldChar w:fldCharType="separate"/>
        </w:r>
        <w:r w:rsidR="009C01B9">
          <w:rPr>
            <w:noProof/>
            <w:sz w:val="20"/>
            <w:szCs w:val="20"/>
          </w:rPr>
          <w:t>7</w:t>
        </w:r>
        <w:r w:rsidRPr="00274542">
          <w:rPr>
            <w:sz w:val="20"/>
            <w:szCs w:val="20"/>
          </w:rPr>
          <w:fldChar w:fldCharType="end"/>
        </w:r>
      </w:p>
    </w:sdtContent>
  </w:sdt>
  <w:p w:rsidR="00ED3EC8" w:rsidRDefault="00ED3E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6A1" w:rsidRDefault="001D76A1">
      <w:r>
        <w:separator/>
      </w:r>
    </w:p>
  </w:footnote>
  <w:footnote w:type="continuationSeparator" w:id="0">
    <w:p w:rsidR="001D76A1" w:rsidRDefault="001D76A1">
      <w:r>
        <w:continuationSeparator/>
      </w:r>
    </w:p>
  </w:footnote>
  <w:footnote w:id="1">
    <w:p w:rsidR="00BF0286" w:rsidRDefault="00E930AB">
      <w:pPr>
        <w:pStyle w:val="FootnoteText"/>
      </w:pPr>
      <w:r>
        <w:rPr>
          <w:rStyle w:val="FootnoteReference"/>
        </w:rPr>
        <w:footnoteRef/>
      </w:r>
      <w:r>
        <w:t xml:space="preserve"> </w:t>
      </w:r>
      <w:r w:rsidR="00457794">
        <w:tab/>
      </w:r>
      <w:r>
        <w:t>Faith Love &amp; Hope Tabernacle is listed on the website of the Pennsylvania Corporation Commission as a</w:t>
      </w:r>
      <w:r w:rsidR="00457794">
        <w:t xml:space="preserve">n active, </w:t>
      </w:r>
      <w:r>
        <w:t xml:space="preserve">non-profit </w:t>
      </w:r>
      <w:r w:rsidR="00FE6424">
        <w:t>corporation,</w:t>
      </w:r>
      <w:r>
        <w:t xml:space="preserve"> but with an address of 42 Taylor Boulevard, Harrisburg, PA</w:t>
      </w:r>
      <w:r w:rsidR="00173C39">
        <w:t>, which is not the address given on the complaint</w:t>
      </w:r>
      <w:r w:rsidR="00457794">
        <w:t xml:space="preserve">.  </w:t>
      </w:r>
      <w:r w:rsidR="000204A4">
        <w:t>It is not possible to tell whether that entity is the same as the Complainant in this case.</w:t>
      </w:r>
    </w:p>
    <w:p w:rsidR="00BF0286" w:rsidRDefault="00BF0286">
      <w:pPr>
        <w:pStyle w:val="FootnoteText"/>
      </w:pPr>
    </w:p>
  </w:footnote>
  <w:footnote w:id="2">
    <w:p w:rsidR="002137BE" w:rsidRDefault="002137BE">
      <w:pPr>
        <w:pStyle w:val="FootnoteText"/>
      </w:pPr>
      <w:r>
        <w:rPr>
          <w:rStyle w:val="FootnoteReference"/>
        </w:rPr>
        <w:footnoteRef/>
      </w:r>
      <w:r>
        <w:t xml:space="preserve"> </w:t>
      </w:r>
      <w:r w:rsidR="00BF0286">
        <w:tab/>
        <w:t>Respondent did not raise this as New Matter, and no Notice to Plead was attached to the Answer.</w:t>
      </w:r>
      <w:r w:rsidR="008E701E">
        <w:t xml:space="preserve">  However, Respondent did not, subsequently, file a Motion to Dismiss the complaint on these grounds.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30"/>
  <w:displayHorizontalDrawingGridEvery w:val="2"/>
  <w:characterSpacingControl w:val="doNotCompress"/>
  <w:hdrShapeDefaults>
    <o:shapedefaults v:ext="edit" spidmax="12289"/>
  </w:hdrShapeDefaults>
  <w:footnotePr>
    <w:footnote w:id="-1"/>
    <w:footnote w:id="0"/>
  </w:footnotePr>
  <w:endnotePr>
    <w:endnote w:id="-1"/>
    <w:endnote w:id="0"/>
  </w:endnotePr>
  <w:compat/>
  <w:rsids>
    <w:rsidRoot w:val="00ED3EC8"/>
    <w:rsid w:val="00001E3A"/>
    <w:rsid w:val="00001EF6"/>
    <w:rsid w:val="00003D11"/>
    <w:rsid w:val="00005558"/>
    <w:rsid w:val="000079FE"/>
    <w:rsid w:val="00012104"/>
    <w:rsid w:val="0001305A"/>
    <w:rsid w:val="00016E55"/>
    <w:rsid w:val="000204A4"/>
    <w:rsid w:val="0002105C"/>
    <w:rsid w:val="00035BB8"/>
    <w:rsid w:val="000421E1"/>
    <w:rsid w:val="000541C0"/>
    <w:rsid w:val="000576ED"/>
    <w:rsid w:val="000576F6"/>
    <w:rsid w:val="000605B6"/>
    <w:rsid w:val="00061278"/>
    <w:rsid w:val="000634EB"/>
    <w:rsid w:val="00063801"/>
    <w:rsid w:val="00067CBC"/>
    <w:rsid w:val="000902E3"/>
    <w:rsid w:val="0009220F"/>
    <w:rsid w:val="00092B4E"/>
    <w:rsid w:val="00092E44"/>
    <w:rsid w:val="00093562"/>
    <w:rsid w:val="000A770B"/>
    <w:rsid w:val="000B339A"/>
    <w:rsid w:val="000B4A28"/>
    <w:rsid w:val="000C28D7"/>
    <w:rsid w:val="000C2A2B"/>
    <w:rsid w:val="000C34F3"/>
    <w:rsid w:val="000C6B6E"/>
    <w:rsid w:val="000C6EF0"/>
    <w:rsid w:val="000D29BA"/>
    <w:rsid w:val="000E3645"/>
    <w:rsid w:val="000E7EF5"/>
    <w:rsid w:val="000F2E5F"/>
    <w:rsid w:val="001021FB"/>
    <w:rsid w:val="00102A77"/>
    <w:rsid w:val="0010420D"/>
    <w:rsid w:val="001077F1"/>
    <w:rsid w:val="00115BB6"/>
    <w:rsid w:val="00116578"/>
    <w:rsid w:val="001178DB"/>
    <w:rsid w:val="0012035F"/>
    <w:rsid w:val="00121291"/>
    <w:rsid w:val="00124101"/>
    <w:rsid w:val="00124D49"/>
    <w:rsid w:val="0014105E"/>
    <w:rsid w:val="00143142"/>
    <w:rsid w:val="00155E87"/>
    <w:rsid w:val="00157E46"/>
    <w:rsid w:val="00162D2F"/>
    <w:rsid w:val="00164692"/>
    <w:rsid w:val="00172E8C"/>
    <w:rsid w:val="00173C39"/>
    <w:rsid w:val="00174F7E"/>
    <w:rsid w:val="0017580D"/>
    <w:rsid w:val="00181AB1"/>
    <w:rsid w:val="001857EA"/>
    <w:rsid w:val="00191522"/>
    <w:rsid w:val="00192EB5"/>
    <w:rsid w:val="0019576B"/>
    <w:rsid w:val="001966CB"/>
    <w:rsid w:val="001A103D"/>
    <w:rsid w:val="001A216A"/>
    <w:rsid w:val="001B1B1D"/>
    <w:rsid w:val="001B3D6F"/>
    <w:rsid w:val="001D1F1B"/>
    <w:rsid w:val="001D76A1"/>
    <w:rsid w:val="001E2642"/>
    <w:rsid w:val="001E3C9A"/>
    <w:rsid w:val="001E5447"/>
    <w:rsid w:val="001E79A7"/>
    <w:rsid w:val="001F0835"/>
    <w:rsid w:val="001F74FC"/>
    <w:rsid w:val="002004A8"/>
    <w:rsid w:val="0021162B"/>
    <w:rsid w:val="002125E4"/>
    <w:rsid w:val="002137BE"/>
    <w:rsid w:val="00215381"/>
    <w:rsid w:val="00216C32"/>
    <w:rsid w:val="00216F76"/>
    <w:rsid w:val="00221A88"/>
    <w:rsid w:val="002337D7"/>
    <w:rsid w:val="002451F7"/>
    <w:rsid w:val="00251E5A"/>
    <w:rsid w:val="00252DB6"/>
    <w:rsid w:val="002546D8"/>
    <w:rsid w:val="00260459"/>
    <w:rsid w:val="0026705F"/>
    <w:rsid w:val="002704DD"/>
    <w:rsid w:val="00274542"/>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366D5"/>
    <w:rsid w:val="00344C34"/>
    <w:rsid w:val="00354574"/>
    <w:rsid w:val="00360F5F"/>
    <w:rsid w:val="0036124A"/>
    <w:rsid w:val="003619D4"/>
    <w:rsid w:val="00365459"/>
    <w:rsid w:val="0036754C"/>
    <w:rsid w:val="00381B05"/>
    <w:rsid w:val="00386626"/>
    <w:rsid w:val="00390929"/>
    <w:rsid w:val="003A0B9C"/>
    <w:rsid w:val="003A0E5A"/>
    <w:rsid w:val="003A7581"/>
    <w:rsid w:val="003B4D40"/>
    <w:rsid w:val="003B5259"/>
    <w:rsid w:val="003B5D19"/>
    <w:rsid w:val="003B610B"/>
    <w:rsid w:val="003C47E8"/>
    <w:rsid w:val="003E2B14"/>
    <w:rsid w:val="003F01A7"/>
    <w:rsid w:val="003F0FCC"/>
    <w:rsid w:val="004047B1"/>
    <w:rsid w:val="00407C2F"/>
    <w:rsid w:val="00411425"/>
    <w:rsid w:val="00413BA5"/>
    <w:rsid w:val="00426277"/>
    <w:rsid w:val="004262B3"/>
    <w:rsid w:val="00431130"/>
    <w:rsid w:val="00442254"/>
    <w:rsid w:val="00446B02"/>
    <w:rsid w:val="0045300F"/>
    <w:rsid w:val="00454158"/>
    <w:rsid w:val="00454723"/>
    <w:rsid w:val="00456657"/>
    <w:rsid w:val="00457794"/>
    <w:rsid w:val="00460140"/>
    <w:rsid w:val="0046238B"/>
    <w:rsid w:val="00480B99"/>
    <w:rsid w:val="00491F39"/>
    <w:rsid w:val="0049575D"/>
    <w:rsid w:val="004A5318"/>
    <w:rsid w:val="004A741E"/>
    <w:rsid w:val="004B1ADE"/>
    <w:rsid w:val="004B570B"/>
    <w:rsid w:val="004B652A"/>
    <w:rsid w:val="004C30D2"/>
    <w:rsid w:val="004D0BE0"/>
    <w:rsid w:val="004D14F0"/>
    <w:rsid w:val="004D4A68"/>
    <w:rsid w:val="004E429F"/>
    <w:rsid w:val="004F25E0"/>
    <w:rsid w:val="004F37CB"/>
    <w:rsid w:val="004F45CA"/>
    <w:rsid w:val="00504F92"/>
    <w:rsid w:val="005078B3"/>
    <w:rsid w:val="00521B57"/>
    <w:rsid w:val="00522DE9"/>
    <w:rsid w:val="00523FBA"/>
    <w:rsid w:val="00524079"/>
    <w:rsid w:val="005255C0"/>
    <w:rsid w:val="005328F4"/>
    <w:rsid w:val="005524FE"/>
    <w:rsid w:val="005534BD"/>
    <w:rsid w:val="00564A3A"/>
    <w:rsid w:val="005674EF"/>
    <w:rsid w:val="00570C2E"/>
    <w:rsid w:val="00575D4F"/>
    <w:rsid w:val="00575F27"/>
    <w:rsid w:val="0058036C"/>
    <w:rsid w:val="00585BD9"/>
    <w:rsid w:val="005A1839"/>
    <w:rsid w:val="005A3759"/>
    <w:rsid w:val="005C373B"/>
    <w:rsid w:val="005C4AAA"/>
    <w:rsid w:val="005D1442"/>
    <w:rsid w:val="005F064D"/>
    <w:rsid w:val="005F5A21"/>
    <w:rsid w:val="00600458"/>
    <w:rsid w:val="00603824"/>
    <w:rsid w:val="00620850"/>
    <w:rsid w:val="00624D32"/>
    <w:rsid w:val="006273ED"/>
    <w:rsid w:val="0064750C"/>
    <w:rsid w:val="006621E9"/>
    <w:rsid w:val="00664C73"/>
    <w:rsid w:val="006856E2"/>
    <w:rsid w:val="00695397"/>
    <w:rsid w:val="0069562F"/>
    <w:rsid w:val="006B2FA8"/>
    <w:rsid w:val="006B3E08"/>
    <w:rsid w:val="006C38DF"/>
    <w:rsid w:val="006C4536"/>
    <w:rsid w:val="006C51E2"/>
    <w:rsid w:val="006C71BB"/>
    <w:rsid w:val="006D1276"/>
    <w:rsid w:val="006E670A"/>
    <w:rsid w:val="006F27FC"/>
    <w:rsid w:val="006F3153"/>
    <w:rsid w:val="006F4F6D"/>
    <w:rsid w:val="00705262"/>
    <w:rsid w:val="00705CA5"/>
    <w:rsid w:val="00716D0A"/>
    <w:rsid w:val="00717DA6"/>
    <w:rsid w:val="00721ECF"/>
    <w:rsid w:val="00725BEA"/>
    <w:rsid w:val="007306D1"/>
    <w:rsid w:val="00742CE1"/>
    <w:rsid w:val="0074372C"/>
    <w:rsid w:val="00744C7C"/>
    <w:rsid w:val="00747C4D"/>
    <w:rsid w:val="0075585E"/>
    <w:rsid w:val="0078470A"/>
    <w:rsid w:val="00787AF1"/>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2982"/>
    <w:rsid w:val="008C03AD"/>
    <w:rsid w:val="008C1485"/>
    <w:rsid w:val="008D2DBA"/>
    <w:rsid w:val="008D5446"/>
    <w:rsid w:val="008D638B"/>
    <w:rsid w:val="008E19D7"/>
    <w:rsid w:val="008E6FB7"/>
    <w:rsid w:val="008E701E"/>
    <w:rsid w:val="008E7FE5"/>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0039"/>
    <w:rsid w:val="009669E3"/>
    <w:rsid w:val="009671DB"/>
    <w:rsid w:val="00972738"/>
    <w:rsid w:val="00980958"/>
    <w:rsid w:val="00987014"/>
    <w:rsid w:val="00997443"/>
    <w:rsid w:val="009A68E7"/>
    <w:rsid w:val="009B6627"/>
    <w:rsid w:val="009B66C0"/>
    <w:rsid w:val="009C01B9"/>
    <w:rsid w:val="009C24F9"/>
    <w:rsid w:val="009D3AAC"/>
    <w:rsid w:val="009D5B63"/>
    <w:rsid w:val="009E1679"/>
    <w:rsid w:val="009E239E"/>
    <w:rsid w:val="009E271D"/>
    <w:rsid w:val="009F768D"/>
    <w:rsid w:val="00A07D8F"/>
    <w:rsid w:val="00A13C95"/>
    <w:rsid w:val="00A249F6"/>
    <w:rsid w:val="00A328E1"/>
    <w:rsid w:val="00A35AFD"/>
    <w:rsid w:val="00A40731"/>
    <w:rsid w:val="00A448EF"/>
    <w:rsid w:val="00A52A4E"/>
    <w:rsid w:val="00A5343C"/>
    <w:rsid w:val="00A74C09"/>
    <w:rsid w:val="00A7538D"/>
    <w:rsid w:val="00A8008F"/>
    <w:rsid w:val="00A80E74"/>
    <w:rsid w:val="00A851A4"/>
    <w:rsid w:val="00A86BD8"/>
    <w:rsid w:val="00A87EDF"/>
    <w:rsid w:val="00AA1496"/>
    <w:rsid w:val="00AA3D06"/>
    <w:rsid w:val="00AA4899"/>
    <w:rsid w:val="00AA639F"/>
    <w:rsid w:val="00AC0D42"/>
    <w:rsid w:val="00AC7DAD"/>
    <w:rsid w:val="00AD344D"/>
    <w:rsid w:val="00AD5E7B"/>
    <w:rsid w:val="00AE7E8A"/>
    <w:rsid w:val="00AF32D8"/>
    <w:rsid w:val="00AF4C64"/>
    <w:rsid w:val="00B01BE5"/>
    <w:rsid w:val="00B06DDF"/>
    <w:rsid w:val="00B079A5"/>
    <w:rsid w:val="00B16D92"/>
    <w:rsid w:val="00B20FAA"/>
    <w:rsid w:val="00B21FBA"/>
    <w:rsid w:val="00B2793E"/>
    <w:rsid w:val="00B42826"/>
    <w:rsid w:val="00B55869"/>
    <w:rsid w:val="00B567F1"/>
    <w:rsid w:val="00B569FA"/>
    <w:rsid w:val="00B571D3"/>
    <w:rsid w:val="00B759EC"/>
    <w:rsid w:val="00B75F96"/>
    <w:rsid w:val="00B824F8"/>
    <w:rsid w:val="00B86F52"/>
    <w:rsid w:val="00B91893"/>
    <w:rsid w:val="00B926BD"/>
    <w:rsid w:val="00BA3C61"/>
    <w:rsid w:val="00BB1D36"/>
    <w:rsid w:val="00BB5630"/>
    <w:rsid w:val="00BD00D9"/>
    <w:rsid w:val="00BE5D1C"/>
    <w:rsid w:val="00BE7640"/>
    <w:rsid w:val="00BF0242"/>
    <w:rsid w:val="00BF0286"/>
    <w:rsid w:val="00C02723"/>
    <w:rsid w:val="00C02A91"/>
    <w:rsid w:val="00C04960"/>
    <w:rsid w:val="00C11391"/>
    <w:rsid w:val="00C138A5"/>
    <w:rsid w:val="00C211F9"/>
    <w:rsid w:val="00C25927"/>
    <w:rsid w:val="00C27126"/>
    <w:rsid w:val="00C310B8"/>
    <w:rsid w:val="00C31DBD"/>
    <w:rsid w:val="00C3343C"/>
    <w:rsid w:val="00C36C29"/>
    <w:rsid w:val="00C6415B"/>
    <w:rsid w:val="00C65047"/>
    <w:rsid w:val="00C833D6"/>
    <w:rsid w:val="00C95318"/>
    <w:rsid w:val="00C95A99"/>
    <w:rsid w:val="00C96F6B"/>
    <w:rsid w:val="00CA27F9"/>
    <w:rsid w:val="00CC1659"/>
    <w:rsid w:val="00CC30C3"/>
    <w:rsid w:val="00CE047D"/>
    <w:rsid w:val="00CE7731"/>
    <w:rsid w:val="00CF6A79"/>
    <w:rsid w:val="00D02D5A"/>
    <w:rsid w:val="00D06F2D"/>
    <w:rsid w:val="00D1220B"/>
    <w:rsid w:val="00D13B2D"/>
    <w:rsid w:val="00D16E7D"/>
    <w:rsid w:val="00D17731"/>
    <w:rsid w:val="00D21DFB"/>
    <w:rsid w:val="00D23DD0"/>
    <w:rsid w:val="00D33231"/>
    <w:rsid w:val="00D36240"/>
    <w:rsid w:val="00D36DB7"/>
    <w:rsid w:val="00D40E5E"/>
    <w:rsid w:val="00D4152F"/>
    <w:rsid w:val="00D43F6F"/>
    <w:rsid w:val="00D617DF"/>
    <w:rsid w:val="00D62214"/>
    <w:rsid w:val="00D65E10"/>
    <w:rsid w:val="00D66ABF"/>
    <w:rsid w:val="00D709A0"/>
    <w:rsid w:val="00D73BC0"/>
    <w:rsid w:val="00D76C93"/>
    <w:rsid w:val="00D90E65"/>
    <w:rsid w:val="00DA0625"/>
    <w:rsid w:val="00DA671A"/>
    <w:rsid w:val="00DA7E6E"/>
    <w:rsid w:val="00DB07B8"/>
    <w:rsid w:val="00DB4F49"/>
    <w:rsid w:val="00DC4772"/>
    <w:rsid w:val="00DC6711"/>
    <w:rsid w:val="00DC67F2"/>
    <w:rsid w:val="00DD5F86"/>
    <w:rsid w:val="00DD6047"/>
    <w:rsid w:val="00DD771A"/>
    <w:rsid w:val="00DE2759"/>
    <w:rsid w:val="00DE4037"/>
    <w:rsid w:val="00DF2C24"/>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0AB"/>
    <w:rsid w:val="00E9310C"/>
    <w:rsid w:val="00E9501F"/>
    <w:rsid w:val="00E9676A"/>
    <w:rsid w:val="00EB7A35"/>
    <w:rsid w:val="00EC05B4"/>
    <w:rsid w:val="00EC074E"/>
    <w:rsid w:val="00EC33EA"/>
    <w:rsid w:val="00ED2F8A"/>
    <w:rsid w:val="00ED3EC8"/>
    <w:rsid w:val="00ED7543"/>
    <w:rsid w:val="00EE1007"/>
    <w:rsid w:val="00EE1EE5"/>
    <w:rsid w:val="00EF7235"/>
    <w:rsid w:val="00F04C8C"/>
    <w:rsid w:val="00F054DA"/>
    <w:rsid w:val="00F07BCF"/>
    <w:rsid w:val="00F16FAB"/>
    <w:rsid w:val="00F31625"/>
    <w:rsid w:val="00F36E39"/>
    <w:rsid w:val="00F5046F"/>
    <w:rsid w:val="00F5088C"/>
    <w:rsid w:val="00F510AC"/>
    <w:rsid w:val="00F561B9"/>
    <w:rsid w:val="00F62D04"/>
    <w:rsid w:val="00F67613"/>
    <w:rsid w:val="00F70887"/>
    <w:rsid w:val="00F86EF9"/>
    <w:rsid w:val="00F86FB1"/>
    <w:rsid w:val="00F908E0"/>
    <w:rsid w:val="00F9335A"/>
    <w:rsid w:val="00FB4C6F"/>
    <w:rsid w:val="00FB64A1"/>
    <w:rsid w:val="00FC110D"/>
    <w:rsid w:val="00FC3800"/>
    <w:rsid w:val="00FD36CA"/>
    <w:rsid w:val="00FD3B41"/>
    <w:rsid w:val="00FD6C73"/>
    <w:rsid w:val="00FE6424"/>
    <w:rsid w:val="00FE64C3"/>
    <w:rsid w:val="00FF0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3EC8"/>
    <w:pPr>
      <w:tabs>
        <w:tab w:val="center" w:pos="4320"/>
        <w:tab w:val="right" w:pos="8640"/>
      </w:tabs>
    </w:pPr>
  </w:style>
  <w:style w:type="character" w:customStyle="1" w:styleId="FooterChar">
    <w:name w:val="Footer Char"/>
    <w:basedOn w:val="DefaultParagraphFont"/>
    <w:link w:val="Footer"/>
    <w:uiPriority w:val="99"/>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FootnoteText">
    <w:name w:val="footnote text"/>
    <w:basedOn w:val="Normal"/>
    <w:link w:val="FootnoteTextChar"/>
    <w:uiPriority w:val="99"/>
    <w:semiHidden/>
    <w:unhideWhenUsed/>
    <w:rsid w:val="008D5446"/>
    <w:pPr>
      <w:autoSpaceDE w:val="0"/>
      <w:autoSpaceDN w:val="0"/>
    </w:pPr>
    <w:rPr>
      <w:rFonts w:ascii="CG Times" w:hAnsi="CG Times" w:cs="CG Times"/>
      <w:sz w:val="20"/>
      <w:szCs w:val="20"/>
    </w:rPr>
  </w:style>
  <w:style w:type="character" w:customStyle="1" w:styleId="FootnoteTextChar">
    <w:name w:val="Footnote Text Char"/>
    <w:basedOn w:val="DefaultParagraphFont"/>
    <w:link w:val="FootnoteText"/>
    <w:uiPriority w:val="99"/>
    <w:semiHidden/>
    <w:rsid w:val="008D5446"/>
    <w:rPr>
      <w:rFonts w:ascii="CG Times" w:eastAsia="Times New Roman" w:hAnsi="CG Times" w:cs="CG Times"/>
    </w:rPr>
  </w:style>
  <w:style w:type="character" w:styleId="FootnoteReference">
    <w:name w:val="footnote reference"/>
    <w:basedOn w:val="DefaultParagraphFont"/>
    <w:uiPriority w:val="99"/>
    <w:semiHidden/>
    <w:unhideWhenUsed/>
    <w:rsid w:val="008D5446"/>
    <w:rPr>
      <w:vertAlign w:val="superscript"/>
    </w:rPr>
  </w:style>
  <w:style w:type="paragraph" w:styleId="Header">
    <w:name w:val="header"/>
    <w:basedOn w:val="Normal"/>
    <w:link w:val="HeaderChar"/>
    <w:uiPriority w:val="99"/>
    <w:semiHidden/>
    <w:unhideWhenUsed/>
    <w:rsid w:val="00274542"/>
    <w:pPr>
      <w:tabs>
        <w:tab w:val="center" w:pos="4680"/>
        <w:tab w:val="right" w:pos="9360"/>
      </w:tabs>
    </w:pPr>
  </w:style>
  <w:style w:type="character" w:customStyle="1" w:styleId="HeaderChar">
    <w:name w:val="Header Char"/>
    <w:basedOn w:val="DefaultParagraphFont"/>
    <w:link w:val="Header"/>
    <w:uiPriority w:val="99"/>
    <w:semiHidden/>
    <w:rsid w:val="00274542"/>
    <w:rPr>
      <w:rFonts w:eastAsia="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FF131-886A-4D4F-8059-52BABFDEC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1547</Words>
  <Characters>8822</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dreitenbac</cp:lastModifiedBy>
  <cp:revision>2</cp:revision>
  <dcterms:created xsi:type="dcterms:W3CDTF">2011-05-12T14:02:00Z</dcterms:created>
  <dcterms:modified xsi:type="dcterms:W3CDTF">2011-05-12T14:02:00Z</dcterms:modified>
</cp:coreProperties>
</file>