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60" w:rsidRPr="00E10164" w:rsidRDefault="00977F83" w:rsidP="00E10164">
      <w:pPr>
        <w:spacing w:line="240" w:lineRule="auto"/>
        <w:rPr>
          <w:b/>
        </w:rPr>
      </w:pPr>
      <w:r w:rsidRPr="00E10164">
        <w:rPr>
          <w:b/>
        </w:rPr>
        <w:t>BEFORE THE</w:t>
      </w:r>
    </w:p>
    <w:p w:rsidR="00977F83" w:rsidRPr="00E10164" w:rsidRDefault="00977F83" w:rsidP="00E10164">
      <w:pPr>
        <w:spacing w:line="240" w:lineRule="auto"/>
        <w:rPr>
          <w:b/>
        </w:rPr>
      </w:pPr>
      <w:r w:rsidRPr="00E10164">
        <w:rPr>
          <w:b/>
        </w:rPr>
        <w:t>PENNSYLVANIA PUBLIC UTILITY COMMISSION</w:t>
      </w:r>
    </w:p>
    <w:p w:rsidR="00977F83" w:rsidRPr="00E10164" w:rsidRDefault="00977F83" w:rsidP="00E10164">
      <w:pPr>
        <w:spacing w:line="240" w:lineRule="auto"/>
        <w:rPr>
          <w:b/>
        </w:rPr>
      </w:pPr>
    </w:p>
    <w:p w:rsidR="00977F83" w:rsidRDefault="00977F83" w:rsidP="00E10164">
      <w:pPr>
        <w:spacing w:line="240" w:lineRule="auto"/>
        <w:rPr>
          <w:b/>
        </w:rPr>
      </w:pPr>
    </w:p>
    <w:p w:rsidR="00E10164" w:rsidRPr="00E10164" w:rsidRDefault="00E10164" w:rsidP="00E10164">
      <w:pPr>
        <w:spacing w:line="240" w:lineRule="auto"/>
        <w:rPr>
          <w:b/>
        </w:rPr>
      </w:pPr>
    </w:p>
    <w:p w:rsidR="00977F83" w:rsidRPr="00E10164" w:rsidRDefault="00977F83" w:rsidP="00E10164">
      <w:pPr>
        <w:spacing w:line="240" w:lineRule="auto"/>
        <w:jc w:val="left"/>
      </w:pPr>
      <w:proofErr w:type="spellStart"/>
      <w:r w:rsidRPr="00E10164">
        <w:t>Avner</w:t>
      </w:r>
      <w:proofErr w:type="spellEnd"/>
      <w:r w:rsidRPr="00E10164">
        <w:t xml:space="preserve"> and Gail </w:t>
      </w:r>
      <w:proofErr w:type="spellStart"/>
      <w:r w:rsidRPr="00E10164">
        <w:t>Yamin</w:t>
      </w:r>
      <w:proofErr w:type="spellEnd"/>
      <w:r w:rsidRPr="00E10164">
        <w:tab/>
      </w:r>
      <w:r w:rsidRPr="00E10164">
        <w:tab/>
      </w:r>
      <w:r w:rsidRPr="00E10164">
        <w:tab/>
      </w:r>
      <w:r w:rsidRPr="00E10164">
        <w:tab/>
        <w:t>:</w:t>
      </w:r>
    </w:p>
    <w:p w:rsidR="00977F83" w:rsidRPr="00E10164" w:rsidRDefault="00977F83" w:rsidP="00E10164">
      <w:pPr>
        <w:spacing w:line="240" w:lineRule="auto"/>
        <w:jc w:val="left"/>
      </w:pPr>
      <w:r w:rsidRPr="00E10164">
        <w:tab/>
      </w:r>
      <w:r w:rsidRPr="00E10164">
        <w:tab/>
      </w:r>
      <w:r w:rsidRPr="00E10164">
        <w:tab/>
      </w:r>
      <w:r w:rsidRPr="00E10164">
        <w:tab/>
      </w:r>
      <w:r w:rsidRPr="00E10164">
        <w:tab/>
      </w:r>
      <w:r w:rsidRPr="00E10164">
        <w:tab/>
      </w:r>
      <w:r w:rsidRPr="00E10164">
        <w:tab/>
        <w:t>:</w:t>
      </w:r>
    </w:p>
    <w:p w:rsidR="00977F83" w:rsidRPr="00E10164" w:rsidRDefault="00243FCB" w:rsidP="00E10164">
      <w:pPr>
        <w:spacing w:line="240" w:lineRule="auto"/>
        <w:jc w:val="left"/>
      </w:pPr>
      <w:r>
        <w:tab/>
        <w:t>v.</w:t>
      </w:r>
      <w:r>
        <w:tab/>
      </w:r>
      <w:r>
        <w:tab/>
      </w:r>
      <w:r>
        <w:tab/>
      </w:r>
      <w:r>
        <w:tab/>
      </w:r>
      <w:r>
        <w:tab/>
      </w:r>
      <w:r>
        <w:tab/>
        <w:t>:</w:t>
      </w:r>
      <w:r>
        <w:tab/>
      </w:r>
      <w:r w:rsidR="00977F83" w:rsidRPr="00E10164">
        <w:tab/>
        <w:t>C-2011-2221883</w:t>
      </w:r>
    </w:p>
    <w:p w:rsidR="00977F83" w:rsidRPr="00E10164" w:rsidRDefault="00977F83" w:rsidP="00E10164">
      <w:pPr>
        <w:spacing w:line="240" w:lineRule="auto"/>
        <w:jc w:val="left"/>
      </w:pPr>
      <w:r w:rsidRPr="00E10164">
        <w:tab/>
      </w:r>
      <w:r w:rsidRPr="00E10164">
        <w:tab/>
      </w:r>
      <w:r w:rsidRPr="00E10164">
        <w:tab/>
      </w:r>
      <w:r w:rsidRPr="00E10164">
        <w:tab/>
      </w:r>
      <w:r w:rsidRPr="00E10164">
        <w:tab/>
      </w:r>
      <w:r w:rsidRPr="00E10164">
        <w:tab/>
      </w:r>
      <w:r w:rsidRPr="00E10164">
        <w:tab/>
        <w:t>:</w:t>
      </w:r>
    </w:p>
    <w:p w:rsidR="00977F83" w:rsidRPr="00E10164" w:rsidRDefault="00977F83" w:rsidP="00E10164">
      <w:pPr>
        <w:spacing w:line="240" w:lineRule="auto"/>
        <w:jc w:val="left"/>
      </w:pPr>
      <w:r w:rsidRPr="00E10164">
        <w:t>Philadelphia Gas Works</w:t>
      </w:r>
      <w:r w:rsidRPr="00E10164">
        <w:tab/>
      </w:r>
      <w:r w:rsidRPr="00E10164">
        <w:tab/>
      </w:r>
      <w:r w:rsidRPr="00E10164">
        <w:tab/>
      </w:r>
      <w:r w:rsidRPr="00E10164">
        <w:tab/>
        <w:t>:</w:t>
      </w:r>
    </w:p>
    <w:p w:rsidR="00977F83" w:rsidRPr="00E10164" w:rsidRDefault="00977F83" w:rsidP="00E10164">
      <w:pPr>
        <w:spacing w:line="240" w:lineRule="auto"/>
        <w:jc w:val="left"/>
      </w:pPr>
    </w:p>
    <w:p w:rsidR="00977F83" w:rsidRDefault="00977F83" w:rsidP="00E10164">
      <w:pPr>
        <w:spacing w:line="240" w:lineRule="auto"/>
        <w:jc w:val="left"/>
      </w:pPr>
    </w:p>
    <w:p w:rsidR="00E10164" w:rsidRPr="00E10164" w:rsidRDefault="00E10164" w:rsidP="00E10164">
      <w:pPr>
        <w:spacing w:line="240" w:lineRule="auto"/>
        <w:jc w:val="left"/>
      </w:pPr>
    </w:p>
    <w:p w:rsidR="00977F83" w:rsidRDefault="00C0306B" w:rsidP="00E10164">
      <w:pPr>
        <w:spacing w:line="240" w:lineRule="auto"/>
        <w:rPr>
          <w:b/>
          <w:u w:val="single"/>
        </w:rPr>
      </w:pPr>
      <w:r w:rsidRPr="00E10164">
        <w:rPr>
          <w:b/>
          <w:u w:val="single"/>
        </w:rPr>
        <w:t>INITIAL DECISION</w:t>
      </w:r>
    </w:p>
    <w:p w:rsidR="00E10164" w:rsidRPr="00E10164" w:rsidRDefault="00E10164" w:rsidP="00E10164">
      <w:pPr>
        <w:spacing w:line="240" w:lineRule="auto"/>
        <w:rPr>
          <w:u w:val="single"/>
        </w:rPr>
      </w:pPr>
    </w:p>
    <w:p w:rsidR="00C0306B" w:rsidRPr="00E10164" w:rsidRDefault="00C0306B" w:rsidP="00E10164">
      <w:pPr>
        <w:spacing w:line="240" w:lineRule="auto"/>
      </w:pPr>
    </w:p>
    <w:p w:rsidR="00C0306B" w:rsidRPr="00E10164" w:rsidRDefault="00C0306B" w:rsidP="00E10164">
      <w:pPr>
        <w:spacing w:line="240" w:lineRule="auto"/>
      </w:pPr>
      <w:r w:rsidRPr="00E10164">
        <w:t>Before</w:t>
      </w:r>
    </w:p>
    <w:p w:rsidR="00C0306B" w:rsidRPr="00E10164" w:rsidRDefault="00C0306B" w:rsidP="00E10164">
      <w:pPr>
        <w:spacing w:line="240" w:lineRule="auto"/>
      </w:pPr>
      <w:r w:rsidRPr="00E10164">
        <w:t>Susan D. Colwell</w:t>
      </w:r>
    </w:p>
    <w:p w:rsidR="00C0306B" w:rsidRPr="00E10164" w:rsidRDefault="00C0306B" w:rsidP="00E10164">
      <w:pPr>
        <w:spacing w:line="240" w:lineRule="auto"/>
      </w:pPr>
      <w:r w:rsidRPr="00E10164">
        <w:t>Administrative Law Judge</w:t>
      </w:r>
    </w:p>
    <w:p w:rsidR="00977F83" w:rsidRPr="00E10164" w:rsidRDefault="00977F83" w:rsidP="00E10164">
      <w:pPr>
        <w:spacing w:line="240" w:lineRule="auto"/>
      </w:pPr>
    </w:p>
    <w:p w:rsidR="00977F83" w:rsidRPr="00E10164" w:rsidRDefault="00977F83" w:rsidP="00E10164">
      <w:pPr>
        <w:spacing w:line="240" w:lineRule="auto"/>
      </w:pPr>
    </w:p>
    <w:p w:rsidR="00977F83" w:rsidRPr="00E10164" w:rsidRDefault="00977F83" w:rsidP="00E10164">
      <w:pPr>
        <w:spacing w:line="240" w:lineRule="auto"/>
        <w:rPr>
          <w:u w:val="single"/>
        </w:rPr>
      </w:pPr>
      <w:r w:rsidRPr="00E10164">
        <w:rPr>
          <w:u w:val="single"/>
        </w:rPr>
        <w:t>HISTORY OF THE PROCEEDINGS</w:t>
      </w:r>
    </w:p>
    <w:p w:rsidR="00977F83" w:rsidRPr="00E10164" w:rsidRDefault="00977F83" w:rsidP="00E10164">
      <w:pPr>
        <w:spacing w:line="240" w:lineRule="auto"/>
        <w:rPr>
          <w:u w:val="single"/>
        </w:rPr>
      </w:pPr>
    </w:p>
    <w:p w:rsidR="00977F83" w:rsidRPr="00E10164" w:rsidRDefault="00977F83" w:rsidP="00E10164">
      <w:pPr>
        <w:spacing w:line="240" w:lineRule="auto"/>
        <w:rPr>
          <w:u w:val="single"/>
        </w:rPr>
      </w:pPr>
    </w:p>
    <w:p w:rsidR="00EC7E43" w:rsidRPr="00E10164" w:rsidRDefault="00977F83" w:rsidP="00E10164">
      <w:pPr>
        <w:jc w:val="left"/>
      </w:pPr>
      <w:r w:rsidRPr="00E10164">
        <w:tab/>
      </w:r>
      <w:r w:rsidRPr="00E10164">
        <w:tab/>
        <w:t xml:space="preserve">On January 19, 2011, </w:t>
      </w:r>
      <w:proofErr w:type="spellStart"/>
      <w:r w:rsidRPr="00E10164">
        <w:t>Avner</w:t>
      </w:r>
      <w:proofErr w:type="spellEnd"/>
      <w:r w:rsidRPr="00E10164">
        <w:t xml:space="preserve"> and Gail </w:t>
      </w:r>
      <w:proofErr w:type="spellStart"/>
      <w:r w:rsidRPr="00E10164">
        <w:t>Yamin</w:t>
      </w:r>
      <w:proofErr w:type="spellEnd"/>
      <w:r w:rsidRPr="00E10164">
        <w:t xml:space="preserve"> (Complainants) filed a formal Complaint against Philadelphia Gas Works (PGW or Respondent) alleging that </w:t>
      </w:r>
      <w:r w:rsidR="00F624C0" w:rsidRPr="00E10164">
        <w:t>they discovered that they were prevented from refinancing their home because of liens against a rental property they owned.  They allege that they had no knowledge that their tenant was not paying his gas bill</w:t>
      </w:r>
      <w:r w:rsidR="00EC7E43" w:rsidRPr="00E10164">
        <w:t>, and they were never notified of the liens until the bank performed a title search.  They ask that the Commission help them to remove the liens so that they may refinance their home and keep their two kids in college.</w:t>
      </w:r>
    </w:p>
    <w:p w:rsidR="00EC7E43" w:rsidRPr="00E10164" w:rsidRDefault="00EC7E43" w:rsidP="00E10164">
      <w:pPr>
        <w:jc w:val="left"/>
      </w:pPr>
    </w:p>
    <w:p w:rsidR="00977F83" w:rsidRPr="00E10164" w:rsidRDefault="00EC7E43" w:rsidP="00E10164">
      <w:pPr>
        <w:jc w:val="left"/>
      </w:pPr>
      <w:r w:rsidRPr="00E10164">
        <w:tab/>
      </w:r>
      <w:r w:rsidRPr="00E10164">
        <w:tab/>
        <w:t xml:space="preserve">On February </w:t>
      </w:r>
      <w:r w:rsidR="000E06BC" w:rsidRPr="00E10164">
        <w:t>1</w:t>
      </w:r>
      <w:r w:rsidRPr="00E10164">
        <w:t xml:space="preserve">0, 2011, PGW filed its Answer which:  admits that PGW did not notify Complainants that their tenant was behind on his bill; </w:t>
      </w:r>
      <w:r w:rsidR="00A2304B" w:rsidRPr="00E10164">
        <w:t xml:space="preserve">admits that the City of Philadelphia filed three municipal liens against the service address; states that a pre-lien notification letter was issued to the Complainants at the service address on September 8, 2009, April 7, 2010, and </w:t>
      </w:r>
      <w:r w:rsidR="000315E4" w:rsidRPr="00E10164">
        <w:t>A</w:t>
      </w:r>
      <w:r w:rsidR="00A2304B" w:rsidRPr="00E10164">
        <w:t xml:space="preserve">ugust 5, 2010; admits that the liens were entered on September 22, 2009, April 22, 2010, </w:t>
      </w:r>
      <w:r w:rsidR="000315E4" w:rsidRPr="00E10164">
        <w:t xml:space="preserve">and August 20, 2010; admits that lien notification letters were sent to the service address on September 23, 2009, April 23, 2010, and August 23, 2010; admitted that Complainant disputed </w:t>
      </w:r>
      <w:r w:rsidR="000315E4" w:rsidRPr="00E10164">
        <w:lastRenderedPageBreak/>
        <w:t>the three liens but that he was not enrolled in the Landlord Cooperation Program</w:t>
      </w:r>
      <w:r w:rsidR="000E06BC" w:rsidRPr="00E10164">
        <w:t xml:space="preserve"> until January 17, 2011.  </w:t>
      </w:r>
    </w:p>
    <w:p w:rsidR="000E06BC" w:rsidRPr="00E10164" w:rsidRDefault="000E06BC" w:rsidP="00E10164">
      <w:pPr>
        <w:jc w:val="left"/>
      </w:pPr>
    </w:p>
    <w:p w:rsidR="000E06BC" w:rsidRPr="00E10164" w:rsidRDefault="000E06BC" w:rsidP="00E10164">
      <w:pPr>
        <w:jc w:val="left"/>
      </w:pPr>
      <w:r w:rsidRPr="00E10164">
        <w:tab/>
      </w:r>
      <w:r w:rsidRPr="00E10164">
        <w:tab/>
        <w:t xml:space="preserve">Also on February 10, 2011, PGW filed Preliminary Objections which </w:t>
      </w:r>
      <w:r w:rsidR="00034357" w:rsidRPr="00E10164">
        <w:t>states that the liens were placed in full compliance with applicable law and that the Complainants have requested relief which the Commission is not authorized to grant.  Therefore, PGW seeks dismissal of the Complaint for lack of jurisdiction.</w:t>
      </w:r>
    </w:p>
    <w:p w:rsidR="00034357" w:rsidRPr="00E10164" w:rsidRDefault="00034357" w:rsidP="00E10164">
      <w:pPr>
        <w:jc w:val="left"/>
      </w:pPr>
    </w:p>
    <w:p w:rsidR="00034357" w:rsidRPr="00E10164" w:rsidRDefault="00034357" w:rsidP="00E10164">
      <w:pPr>
        <w:jc w:val="left"/>
      </w:pPr>
      <w:r w:rsidRPr="00E10164">
        <w:tab/>
      </w:r>
      <w:r w:rsidRPr="00E10164">
        <w:tab/>
        <w:t xml:space="preserve">The time for filing a response to the Preliminary Objections has run, and Complainants have not filed a response.  </w:t>
      </w:r>
    </w:p>
    <w:p w:rsidR="00034357" w:rsidRPr="00E10164" w:rsidRDefault="00034357" w:rsidP="00E10164">
      <w:pPr>
        <w:jc w:val="left"/>
      </w:pPr>
    </w:p>
    <w:p w:rsidR="00034357" w:rsidRPr="00E10164" w:rsidRDefault="00034357" w:rsidP="00E10164">
      <w:pPr>
        <w:jc w:val="left"/>
      </w:pPr>
      <w:r w:rsidRPr="00E10164">
        <w:tab/>
      </w:r>
      <w:r w:rsidRPr="00E10164">
        <w:tab/>
        <w:t xml:space="preserve">On March 1, 2011, </w:t>
      </w:r>
      <w:r w:rsidR="00583B6A" w:rsidRPr="00E10164">
        <w:t>a Motion Judge Assignment Notice was issued which assigned the case to me.  The Preliminary Objections are ready for decision.</w:t>
      </w:r>
    </w:p>
    <w:p w:rsidR="00583B6A" w:rsidRPr="00E10164" w:rsidRDefault="00583B6A" w:rsidP="00E10164">
      <w:pPr>
        <w:jc w:val="left"/>
      </w:pPr>
    </w:p>
    <w:p w:rsidR="00583B6A" w:rsidRPr="00E10164" w:rsidRDefault="00583B6A" w:rsidP="00E10164">
      <w:pPr>
        <w:rPr>
          <w:u w:val="single"/>
        </w:rPr>
      </w:pPr>
      <w:r w:rsidRPr="00E10164">
        <w:rPr>
          <w:u w:val="single"/>
        </w:rPr>
        <w:t>FINDINGS OF FACT</w:t>
      </w:r>
    </w:p>
    <w:p w:rsidR="00583B6A" w:rsidRPr="00E10164" w:rsidRDefault="00583B6A" w:rsidP="00E10164">
      <w:pPr>
        <w:rPr>
          <w:u w:val="single"/>
        </w:rPr>
      </w:pPr>
    </w:p>
    <w:p w:rsidR="00583B6A" w:rsidRPr="00E10164" w:rsidRDefault="00583B6A" w:rsidP="00E10164">
      <w:pPr>
        <w:jc w:val="left"/>
      </w:pPr>
      <w:r w:rsidRPr="00E10164">
        <w:tab/>
      </w:r>
      <w:r w:rsidRPr="00E10164">
        <w:tab/>
        <w:t>1.</w:t>
      </w:r>
      <w:r w:rsidRPr="00E10164">
        <w:tab/>
        <w:t xml:space="preserve">Complainants are Aver and Gail </w:t>
      </w:r>
      <w:proofErr w:type="spellStart"/>
      <w:r w:rsidRPr="00E10164">
        <w:t>Yamin</w:t>
      </w:r>
      <w:proofErr w:type="spellEnd"/>
      <w:r w:rsidRPr="00E10164">
        <w:t>, 18 Pepperell Drive, Langhorne PA 19053.</w:t>
      </w:r>
    </w:p>
    <w:p w:rsidR="00583B6A" w:rsidRPr="00E10164" w:rsidRDefault="00583B6A" w:rsidP="00E10164">
      <w:pPr>
        <w:jc w:val="left"/>
      </w:pPr>
    </w:p>
    <w:p w:rsidR="00583B6A" w:rsidRPr="00E10164" w:rsidRDefault="00583B6A" w:rsidP="00E10164">
      <w:pPr>
        <w:jc w:val="left"/>
      </w:pPr>
      <w:r w:rsidRPr="00E10164">
        <w:tab/>
      </w:r>
      <w:r w:rsidRPr="00E10164">
        <w:tab/>
        <w:t>2.</w:t>
      </w:r>
      <w:r w:rsidRPr="00E10164">
        <w:tab/>
        <w:t>Respondent is Philadelphia Gas Works, a jurisdictional public utility offering service in the Commonwealth of Pennsylvania.</w:t>
      </w:r>
    </w:p>
    <w:p w:rsidR="00583B6A" w:rsidRPr="00E10164" w:rsidRDefault="00583B6A" w:rsidP="00E10164">
      <w:pPr>
        <w:jc w:val="left"/>
      </w:pPr>
    </w:p>
    <w:p w:rsidR="00583B6A" w:rsidRPr="00E10164" w:rsidRDefault="00583B6A" w:rsidP="00E10164">
      <w:pPr>
        <w:jc w:val="left"/>
      </w:pPr>
      <w:r w:rsidRPr="00E10164">
        <w:tab/>
      </w:r>
      <w:r w:rsidRPr="00E10164">
        <w:tab/>
        <w:t>3.</w:t>
      </w:r>
      <w:r w:rsidRPr="00E10164">
        <w:tab/>
        <w:t>On January 19, 2011, Complainants filed a formal Complaint alleging that three municipal liens had been placed on their rental property located at 9540A James Street, Philadelphia PA 19114.</w:t>
      </w:r>
    </w:p>
    <w:p w:rsidR="00583B6A" w:rsidRPr="00E10164" w:rsidRDefault="00583B6A" w:rsidP="00E10164">
      <w:pPr>
        <w:jc w:val="left"/>
      </w:pPr>
    </w:p>
    <w:p w:rsidR="00583B6A" w:rsidRPr="00E10164" w:rsidRDefault="00583B6A" w:rsidP="00E10164">
      <w:pPr>
        <w:jc w:val="left"/>
      </w:pPr>
      <w:r w:rsidRPr="00E10164">
        <w:tab/>
      </w:r>
      <w:r w:rsidRPr="00E10164">
        <w:tab/>
        <w:t>4.</w:t>
      </w:r>
      <w:r w:rsidRPr="00E10164">
        <w:tab/>
        <w:t xml:space="preserve">The liens were placed due to the failure of their tenant at 9540A James Street to pay his gas bill.  </w:t>
      </w:r>
    </w:p>
    <w:p w:rsidR="00583B6A" w:rsidRPr="00E10164" w:rsidRDefault="00583B6A" w:rsidP="00E10164">
      <w:pPr>
        <w:jc w:val="left"/>
      </w:pPr>
    </w:p>
    <w:p w:rsidR="00243FCB" w:rsidRDefault="00583B6A" w:rsidP="00243FCB">
      <w:pPr>
        <w:jc w:val="left"/>
      </w:pPr>
      <w:r w:rsidRPr="00E10164">
        <w:tab/>
      </w:r>
      <w:r w:rsidRPr="00E10164">
        <w:tab/>
        <w:t>5.</w:t>
      </w:r>
      <w:r w:rsidRPr="00E10164">
        <w:tab/>
      </w:r>
      <w:r w:rsidR="00D943C3" w:rsidRPr="00E10164">
        <w:t>Complainants were not aware of the liens until other financial transactions caused their bank to conduct a title search.</w:t>
      </w:r>
      <w:r w:rsidR="00243FCB">
        <w:br w:type="page"/>
      </w:r>
    </w:p>
    <w:p w:rsidR="00D943C3" w:rsidRPr="00E10164" w:rsidRDefault="00D943C3" w:rsidP="00E10164">
      <w:pPr>
        <w:rPr>
          <w:u w:val="single"/>
        </w:rPr>
      </w:pPr>
      <w:r w:rsidRPr="00E10164">
        <w:rPr>
          <w:u w:val="single"/>
        </w:rPr>
        <w:lastRenderedPageBreak/>
        <w:t>DISCUSSION</w:t>
      </w:r>
    </w:p>
    <w:p w:rsidR="00D943C3" w:rsidRPr="00E10164" w:rsidRDefault="00D943C3" w:rsidP="00E10164">
      <w:pPr>
        <w:rPr>
          <w:u w:val="single"/>
        </w:rPr>
      </w:pPr>
    </w:p>
    <w:p w:rsidR="00D943C3" w:rsidRPr="00E10164" w:rsidRDefault="00D943C3" w:rsidP="00E10164">
      <w:pPr>
        <w:jc w:val="left"/>
      </w:pPr>
      <w:r w:rsidRPr="00E10164">
        <w:tab/>
      </w:r>
      <w:r w:rsidRPr="00E10164">
        <w:tab/>
        <w:t xml:space="preserve">Commission preliminary objection practice is similar to Pennsylvania civil practice.  </w:t>
      </w:r>
      <w:r w:rsidRPr="00E10164">
        <w:rPr>
          <w:i/>
        </w:rPr>
        <w:t xml:space="preserve">Equitable Small Transportation Interveners v. Equitable Gas Company, </w:t>
      </w:r>
      <w:r w:rsidRPr="00E10164">
        <w:t xml:space="preserve">1994 Pa. PUC LEXIS 69, PUC Docket No. </w:t>
      </w:r>
      <w:proofErr w:type="gramStart"/>
      <w:r w:rsidRPr="00E10164">
        <w:t>C-000935435 (July 18, 1994).</w:t>
      </w:r>
      <w:proofErr w:type="gramEnd"/>
      <w:r w:rsidRPr="00E10164">
        <w:t xml:space="preserve"> </w:t>
      </w:r>
      <w:r w:rsidRPr="00E10164">
        <w:tab/>
        <w:t xml:space="preserve"> When considering the preliminary objection, the Commission must determine “whether the law says with certainty, based on well-pleaded factual averments . . . that no recovery or relief is possible.  </w:t>
      </w:r>
      <w:proofErr w:type="gramStart"/>
      <w:r w:rsidRPr="00E10164">
        <w:rPr>
          <w:i/>
        </w:rPr>
        <w:t xml:space="preserve">P. J. S. v. Pa. State Ethics Commission, </w:t>
      </w:r>
      <w:r w:rsidRPr="00E10164">
        <w:t>669 A.2d 1105 (Pa. Cmwlth. 1996).</w:t>
      </w:r>
      <w:proofErr w:type="gramEnd"/>
      <w:r w:rsidRPr="00E10164">
        <w:t xml:space="preserve">  Any doubt must be resolved in favor of the non-moving party by refusing to sustain the preliminary objections.  </w:t>
      </w:r>
      <w:proofErr w:type="gramStart"/>
      <w:r w:rsidRPr="00E10164">
        <w:rPr>
          <w:i/>
        </w:rPr>
        <w:t xml:space="preserve">Boyd v. Ward, </w:t>
      </w:r>
      <w:r w:rsidRPr="00E10164">
        <w:t>802 A.2d 705 (Pa. Cmwlth. 2002).”</w:t>
      </w:r>
      <w:proofErr w:type="gramEnd"/>
      <w:r w:rsidRPr="00E10164">
        <w:t xml:space="preserve">  </w:t>
      </w:r>
      <w:proofErr w:type="gramStart"/>
      <w:r w:rsidRPr="00E10164">
        <w:rPr>
          <w:i/>
        </w:rPr>
        <w:t xml:space="preserve">Dept. of Auditor General, et al. v. State Employees’ Retirement System, et al., </w:t>
      </w:r>
      <w:r w:rsidRPr="00E10164">
        <w:t>836 A.2d 1053, 1064 (Pa. Cmwlth. 2003).</w:t>
      </w:r>
      <w:proofErr w:type="gramEnd"/>
      <w:r w:rsidRPr="00E10164">
        <w:t xml:space="preserve">  </w:t>
      </w:r>
      <w:r w:rsidRPr="00E10164">
        <w:rPr>
          <w:i/>
        </w:rPr>
        <w:t xml:space="preserve"> </w:t>
      </w:r>
    </w:p>
    <w:p w:rsidR="00D943C3" w:rsidRPr="00E10164" w:rsidRDefault="00D943C3" w:rsidP="00E10164"/>
    <w:p w:rsidR="00D943C3" w:rsidRPr="00E10164" w:rsidRDefault="00D943C3" w:rsidP="00E10164">
      <w:pPr>
        <w:jc w:val="left"/>
      </w:pPr>
      <w:r w:rsidRPr="00E10164">
        <w:tab/>
      </w:r>
      <w:r w:rsidRPr="00E10164">
        <w:tab/>
        <w:t>The rules regard preliminary objections are simple and specific:</w:t>
      </w:r>
    </w:p>
    <w:p w:rsidR="00D943C3" w:rsidRPr="00E10164" w:rsidRDefault="00D943C3" w:rsidP="00E10164">
      <w:pPr>
        <w:jc w:val="left"/>
      </w:pPr>
    </w:p>
    <w:p w:rsidR="00D943C3" w:rsidRPr="00E10164" w:rsidRDefault="00D943C3" w:rsidP="00B74F55">
      <w:pPr>
        <w:spacing w:line="240" w:lineRule="auto"/>
        <w:ind w:firstLine="1440"/>
        <w:contextualSpacing/>
        <w:jc w:val="left"/>
        <w:rPr>
          <w:b/>
        </w:rPr>
      </w:pPr>
      <w:r w:rsidRPr="00E10164">
        <w:rPr>
          <w:b/>
        </w:rPr>
        <w:t xml:space="preserve">§ 5.101.  </w:t>
      </w:r>
      <w:proofErr w:type="gramStart"/>
      <w:r w:rsidRPr="00E10164">
        <w:rPr>
          <w:b/>
        </w:rPr>
        <w:t>Preliminary objections.</w:t>
      </w:r>
      <w:proofErr w:type="gramEnd"/>
    </w:p>
    <w:p w:rsidR="00D943C3" w:rsidRPr="00E10164" w:rsidRDefault="00D943C3" w:rsidP="00B74F55">
      <w:pPr>
        <w:spacing w:line="240" w:lineRule="auto"/>
        <w:ind w:left="1440" w:right="1440"/>
        <w:contextualSpacing/>
        <w:jc w:val="left"/>
      </w:pPr>
      <w:r w:rsidRPr="00E10164">
        <w:t>(a)</w:t>
      </w:r>
      <w:r w:rsidRPr="00E10164">
        <w:tab/>
      </w:r>
      <w:r w:rsidRPr="00E10164">
        <w:rPr>
          <w:i/>
        </w:rPr>
        <w:t>Grounds.</w:t>
      </w:r>
      <w:r w:rsidRPr="00E10164">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943C3" w:rsidRPr="00E10164" w:rsidRDefault="00D943C3" w:rsidP="00B74F55">
      <w:pPr>
        <w:spacing w:line="240" w:lineRule="auto"/>
        <w:ind w:left="1440" w:right="1440"/>
        <w:contextualSpacing/>
        <w:jc w:val="left"/>
        <w:rPr>
          <w:i/>
        </w:rPr>
      </w:pPr>
    </w:p>
    <w:p w:rsidR="00D943C3" w:rsidRPr="00E10164" w:rsidRDefault="00B74F55" w:rsidP="00B74F55">
      <w:pPr>
        <w:spacing w:line="240" w:lineRule="auto"/>
        <w:ind w:left="2160" w:right="1440"/>
        <w:contextualSpacing/>
        <w:jc w:val="left"/>
      </w:pPr>
      <w:r>
        <w:t>(1)</w:t>
      </w:r>
      <w:r>
        <w:tab/>
      </w:r>
      <w:r w:rsidR="00D943C3" w:rsidRPr="00E10164">
        <w:t>Lack of Commission jurisdiction or improper service of the pleading initiating the proceeding.</w:t>
      </w:r>
    </w:p>
    <w:p w:rsidR="00D943C3" w:rsidRPr="00E10164" w:rsidRDefault="00D943C3" w:rsidP="00B74F55">
      <w:pPr>
        <w:spacing w:line="240" w:lineRule="auto"/>
        <w:ind w:left="2160" w:right="1440"/>
        <w:contextualSpacing/>
        <w:jc w:val="left"/>
      </w:pPr>
    </w:p>
    <w:p w:rsidR="00D943C3" w:rsidRPr="00E10164" w:rsidRDefault="00B74F55" w:rsidP="00B74F55">
      <w:pPr>
        <w:spacing w:line="240" w:lineRule="auto"/>
        <w:ind w:left="2160" w:right="1440"/>
        <w:contextualSpacing/>
        <w:jc w:val="left"/>
      </w:pPr>
      <w:r>
        <w:t>(2)</w:t>
      </w:r>
      <w:r>
        <w:tab/>
      </w:r>
      <w:r w:rsidR="00D943C3" w:rsidRPr="00E10164">
        <w:t>Failure of a pleading to conform to this chapter or the inclusion of scandalous or impertinent matter.</w:t>
      </w:r>
    </w:p>
    <w:p w:rsidR="00D943C3" w:rsidRPr="00E10164" w:rsidRDefault="00D943C3" w:rsidP="00B74F55">
      <w:pPr>
        <w:spacing w:line="240" w:lineRule="auto"/>
        <w:ind w:left="2160" w:right="1440"/>
        <w:contextualSpacing/>
        <w:jc w:val="left"/>
      </w:pPr>
    </w:p>
    <w:p w:rsidR="00D943C3" w:rsidRPr="00E10164" w:rsidRDefault="00B74F55" w:rsidP="00B74F55">
      <w:pPr>
        <w:spacing w:line="240" w:lineRule="auto"/>
        <w:ind w:left="2160" w:right="1440"/>
        <w:contextualSpacing/>
        <w:jc w:val="left"/>
      </w:pPr>
      <w:r>
        <w:t>(3)</w:t>
      </w:r>
      <w:r>
        <w:tab/>
      </w:r>
      <w:r w:rsidR="00D943C3" w:rsidRPr="00E10164">
        <w:t>Insufficient specificity of a pleading.</w:t>
      </w:r>
    </w:p>
    <w:p w:rsidR="00D943C3" w:rsidRPr="00E10164" w:rsidRDefault="00D943C3" w:rsidP="00B74F55">
      <w:pPr>
        <w:spacing w:line="240" w:lineRule="auto"/>
        <w:ind w:left="2160" w:right="1440"/>
        <w:contextualSpacing/>
        <w:jc w:val="left"/>
      </w:pPr>
    </w:p>
    <w:p w:rsidR="00D943C3" w:rsidRPr="00E10164" w:rsidRDefault="00B74F55" w:rsidP="00B74F55">
      <w:pPr>
        <w:spacing w:line="240" w:lineRule="auto"/>
        <w:ind w:left="2160" w:right="1440"/>
        <w:contextualSpacing/>
        <w:jc w:val="left"/>
      </w:pPr>
      <w:r>
        <w:t>(4)</w:t>
      </w:r>
      <w:r>
        <w:tab/>
      </w:r>
      <w:r w:rsidR="00D943C3" w:rsidRPr="00E10164">
        <w:t>Legal insufficiency of a pleading.</w:t>
      </w:r>
    </w:p>
    <w:p w:rsidR="00D943C3" w:rsidRPr="00E10164" w:rsidRDefault="00D943C3" w:rsidP="00B74F55">
      <w:pPr>
        <w:spacing w:line="240" w:lineRule="auto"/>
        <w:ind w:left="2160" w:right="1440"/>
        <w:contextualSpacing/>
        <w:jc w:val="left"/>
      </w:pPr>
    </w:p>
    <w:p w:rsidR="00D943C3" w:rsidRPr="00E10164" w:rsidRDefault="00B74F55" w:rsidP="00B74F55">
      <w:pPr>
        <w:spacing w:line="240" w:lineRule="auto"/>
        <w:ind w:left="2160" w:right="1440"/>
        <w:contextualSpacing/>
        <w:jc w:val="left"/>
      </w:pPr>
      <w:r>
        <w:t>(5)</w:t>
      </w:r>
      <w:r>
        <w:tab/>
      </w:r>
      <w:r w:rsidR="00D943C3" w:rsidRPr="00E10164">
        <w:t>Lack of capacity to sue, nonjoinder of a necessary party or misjoinder of a cause of action.</w:t>
      </w:r>
    </w:p>
    <w:p w:rsidR="00D943C3" w:rsidRPr="00E10164" w:rsidRDefault="00D943C3" w:rsidP="00B74F55">
      <w:pPr>
        <w:spacing w:line="240" w:lineRule="auto"/>
        <w:ind w:left="2160" w:right="1440"/>
        <w:contextualSpacing/>
        <w:jc w:val="left"/>
      </w:pPr>
    </w:p>
    <w:p w:rsidR="00D943C3" w:rsidRPr="00E10164" w:rsidRDefault="00B74F55" w:rsidP="00B74F55">
      <w:pPr>
        <w:spacing w:line="240" w:lineRule="auto"/>
        <w:ind w:left="2160" w:right="1440"/>
        <w:contextualSpacing/>
        <w:jc w:val="left"/>
      </w:pPr>
      <w:r>
        <w:t>(6)</w:t>
      </w:r>
      <w:r>
        <w:tab/>
      </w:r>
      <w:r w:rsidR="00D943C3" w:rsidRPr="00E10164">
        <w:t>Pendency of a prior proceeding or agreement for alternative dispute resolution.</w:t>
      </w:r>
    </w:p>
    <w:p w:rsidR="00D943C3" w:rsidRPr="00E10164" w:rsidRDefault="00D943C3" w:rsidP="00B74F55">
      <w:pPr>
        <w:spacing w:line="240" w:lineRule="auto"/>
        <w:ind w:left="1440" w:right="1440"/>
        <w:contextualSpacing/>
      </w:pPr>
      <w:r w:rsidRPr="00E10164">
        <w:t>* * *</w:t>
      </w:r>
    </w:p>
    <w:p w:rsidR="00D943C3" w:rsidRPr="00E10164" w:rsidRDefault="00D943C3" w:rsidP="005665CA">
      <w:pPr>
        <w:spacing w:line="240" w:lineRule="auto"/>
        <w:ind w:firstLine="1440"/>
        <w:contextualSpacing/>
        <w:jc w:val="left"/>
      </w:pPr>
      <w:proofErr w:type="gramStart"/>
      <w:r w:rsidRPr="00E10164">
        <w:t>52 Pa. Code § 5.101(a).</w:t>
      </w:r>
      <w:proofErr w:type="gramEnd"/>
      <w:r w:rsidRPr="00E10164">
        <w:t xml:space="preserve">  </w:t>
      </w:r>
    </w:p>
    <w:p w:rsidR="00D943C3" w:rsidRPr="00E10164" w:rsidRDefault="00D943C3" w:rsidP="00E10164">
      <w:pPr>
        <w:jc w:val="left"/>
      </w:pPr>
    </w:p>
    <w:p w:rsidR="00D943C3" w:rsidRPr="00E10164" w:rsidRDefault="00D943C3" w:rsidP="00E10164">
      <w:pPr>
        <w:jc w:val="left"/>
      </w:pPr>
      <w:r w:rsidRPr="00E10164">
        <w:lastRenderedPageBreak/>
        <w:tab/>
      </w:r>
      <w:r w:rsidRPr="00E10164">
        <w:tab/>
        <w:t xml:space="preserve">In deciding the preliminary objections, the Commission must determine whether, based on well-pleaded factual averments of the </w:t>
      </w:r>
      <w:r w:rsidR="003A652D" w:rsidRPr="00E10164">
        <w:t>Complainants</w:t>
      </w:r>
      <w:r w:rsidRPr="00E10164">
        <w:t xml:space="preserve">, recovery or relief is possible.  </w:t>
      </w:r>
      <w:proofErr w:type="gramStart"/>
      <w:r w:rsidRPr="00E10164">
        <w:rPr>
          <w:i/>
        </w:rPr>
        <w:t>Dept. of Auditor General, et al v. SERS, et al.</w:t>
      </w:r>
      <w:r w:rsidRPr="00E10164">
        <w:t>, 836 A.2d 1053, 1064 (Pa. Cmwlth. 2003), 2003 Pa. Commw.</w:t>
      </w:r>
      <w:proofErr w:type="gramEnd"/>
      <w:r w:rsidRPr="00E10164">
        <w:t xml:space="preserve"> LEXIS 849</w:t>
      </w:r>
      <w:proofErr w:type="gramStart"/>
      <w:r w:rsidRPr="00E10164">
        <w:t xml:space="preserve">;  </w:t>
      </w:r>
      <w:r w:rsidRPr="00E10164">
        <w:rPr>
          <w:i/>
        </w:rPr>
        <w:t>P.J.S</w:t>
      </w:r>
      <w:proofErr w:type="gramEnd"/>
      <w:r w:rsidRPr="00E10164">
        <w:rPr>
          <w:i/>
        </w:rPr>
        <w:t>. v. Pa. State Ethics Comm’n,</w:t>
      </w:r>
      <w:r w:rsidRPr="00E10164">
        <w:t xml:space="preserve"> 669 A.2d 1105 (Pa. Cmwlth. 1996), 1996 Pa. Commw. </w:t>
      </w:r>
      <w:proofErr w:type="gramStart"/>
      <w:r w:rsidRPr="00E10164">
        <w:t>LEXIS 11.</w:t>
      </w:r>
      <w:proofErr w:type="gramEnd"/>
      <w:r w:rsidRPr="00E10164">
        <w:t xml:space="preserve">  Any doubt must be resolved in favor of the non-moving party by refusing to sustain the preliminary objections.  </w:t>
      </w:r>
      <w:proofErr w:type="gramStart"/>
      <w:r w:rsidRPr="00E10164">
        <w:rPr>
          <w:i/>
        </w:rPr>
        <w:t xml:space="preserve">Boyd v. Ward, </w:t>
      </w:r>
      <w:r w:rsidRPr="00E10164">
        <w:t>802 A.2d 705 (Pa.Cmwlth. 2002), 2002 Pa. Commw.</w:t>
      </w:r>
      <w:proofErr w:type="gramEnd"/>
      <w:r w:rsidRPr="00E10164">
        <w:t xml:space="preserve"> </w:t>
      </w:r>
      <w:proofErr w:type="gramStart"/>
      <w:r w:rsidRPr="00E10164">
        <w:t>LEXIS 580.</w:t>
      </w:r>
      <w:proofErr w:type="gramEnd"/>
      <w:r w:rsidRPr="00E10164">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Pr="00E10164">
        <w:rPr>
          <w:i/>
        </w:rPr>
        <w:t>Ridge v. State Employees’ Retirement Board</w:t>
      </w:r>
      <w:r w:rsidRPr="00E10164">
        <w:t>, 690 A.2d 1312 (Pa. Cmwlth. 1997) 1997 Pa. Commw.</w:t>
      </w:r>
      <w:proofErr w:type="gramEnd"/>
      <w:r w:rsidRPr="00E10164">
        <w:t xml:space="preserve"> </w:t>
      </w:r>
      <w:proofErr w:type="gramStart"/>
      <w:r w:rsidRPr="00E10164">
        <w:t>LEXIS 148.</w:t>
      </w:r>
      <w:proofErr w:type="gramEnd"/>
      <w:r w:rsidRPr="00E10164">
        <w:t xml:space="preserve">  </w:t>
      </w:r>
    </w:p>
    <w:p w:rsidR="00D943C3" w:rsidRPr="00E10164" w:rsidRDefault="00D943C3" w:rsidP="00E10164">
      <w:pPr>
        <w:contextualSpacing/>
        <w:jc w:val="left"/>
      </w:pPr>
    </w:p>
    <w:p w:rsidR="00D943C3" w:rsidRPr="00E10164" w:rsidRDefault="00D943C3" w:rsidP="00E10164">
      <w:pPr>
        <w:contextualSpacing/>
        <w:jc w:val="left"/>
      </w:pPr>
      <w:r w:rsidRPr="00E10164">
        <w:tab/>
      </w:r>
      <w:r w:rsidRPr="00E10164">
        <w:tab/>
        <w:t>Therefore, it is only the facts in the Complaint which can be presumed to be true in order to determine whether recovery is possible.  The allegations in the Complaint are that Complainant</w:t>
      </w:r>
      <w:r w:rsidR="003A652D" w:rsidRPr="00E10164">
        <w:t>s were</w:t>
      </w:r>
      <w:r w:rsidRPr="00E10164">
        <w:t xml:space="preserve"> not notified of the delinquency </w:t>
      </w:r>
      <w:proofErr w:type="gramStart"/>
      <w:r w:rsidRPr="00E10164">
        <w:t>nor</w:t>
      </w:r>
      <w:proofErr w:type="gramEnd"/>
      <w:r w:rsidRPr="00E10164">
        <w:t xml:space="preserve"> the lien</w:t>
      </w:r>
      <w:r w:rsidR="003A652D" w:rsidRPr="00E10164">
        <w:t>s</w:t>
      </w:r>
      <w:r w:rsidRPr="00E10164">
        <w:t>.  Complainant seeks removal of the lien</w:t>
      </w:r>
      <w:r w:rsidR="003A652D" w:rsidRPr="00E10164">
        <w:t>s</w:t>
      </w:r>
      <w:r w:rsidRPr="00E10164">
        <w:t>.</w:t>
      </w:r>
    </w:p>
    <w:p w:rsidR="00D943C3" w:rsidRPr="00E10164" w:rsidRDefault="00D943C3" w:rsidP="00E10164">
      <w:pPr>
        <w:tabs>
          <w:tab w:val="left" w:pos="1584"/>
        </w:tabs>
        <w:ind w:firstLine="1440"/>
        <w:jc w:val="left"/>
      </w:pPr>
    </w:p>
    <w:p w:rsidR="00D943C3" w:rsidRPr="00E10164" w:rsidRDefault="00D943C3" w:rsidP="00E10164">
      <w:pPr>
        <w:ind w:firstLine="1440"/>
        <w:jc w:val="left"/>
      </w:pPr>
      <w:r w:rsidRPr="00E10164">
        <w:t>The Preliminary Objections question the Commission’s subject matter jurisdiction and state that the portion of the Complaint seeking relief in the form of a Commission order that the arrearage of the tenant, which is now represented by the City’s lien</w:t>
      </w:r>
      <w:r w:rsidR="003A652D" w:rsidRPr="00E10164">
        <w:t>s</w:t>
      </w:r>
      <w:r w:rsidRPr="00E10164">
        <w:t>, be waived, should be stricken as impertinent matter.</w:t>
      </w:r>
    </w:p>
    <w:p w:rsidR="00D943C3" w:rsidRPr="00E10164" w:rsidRDefault="00D943C3" w:rsidP="005665CA">
      <w:pPr>
        <w:ind w:left="1440" w:right="1440"/>
        <w:jc w:val="left"/>
      </w:pPr>
    </w:p>
    <w:p w:rsidR="00D943C3" w:rsidRPr="00E10164" w:rsidRDefault="00D943C3" w:rsidP="005665CA">
      <w:pPr>
        <w:spacing w:line="240" w:lineRule="auto"/>
        <w:ind w:left="1440" w:right="1440"/>
        <w:jc w:val="left"/>
      </w:pPr>
      <w:r w:rsidRPr="00E10164">
        <w:t>Jurisdiction relates solely to the competency of the particular court or administrative body to determine controversies of the general class to which the case then presented for its consideration belongs.</w:t>
      </w:r>
    </w:p>
    <w:p w:rsidR="00D943C3" w:rsidRPr="00E10164" w:rsidRDefault="00D943C3" w:rsidP="005665CA">
      <w:pPr>
        <w:spacing w:line="240" w:lineRule="auto"/>
        <w:ind w:left="1440" w:right="1440"/>
        <w:jc w:val="left"/>
      </w:pPr>
      <w:proofErr w:type="gramStart"/>
      <w:r w:rsidRPr="00E10164">
        <w:rPr>
          <w:i/>
        </w:rPr>
        <w:t>Riedel v.</w:t>
      </w:r>
      <w:proofErr w:type="gramEnd"/>
      <w:r w:rsidRPr="00E10164">
        <w:rPr>
          <w:i/>
        </w:rPr>
        <w:t xml:space="preserve"> The Human Relations Comm’n </w:t>
      </w:r>
      <w:proofErr w:type="gramStart"/>
      <w:r w:rsidRPr="00E10164">
        <w:rPr>
          <w:i/>
        </w:rPr>
        <w:t>Of</w:t>
      </w:r>
      <w:proofErr w:type="gramEnd"/>
      <w:r w:rsidRPr="00E10164">
        <w:rPr>
          <w:i/>
        </w:rPr>
        <w:t xml:space="preserve"> the City Of Reading</w:t>
      </w:r>
      <w:r w:rsidRPr="00E10164">
        <w:t>, 559 Pa. 33; 39, 739 A.2d 121; 124 (1999).</w:t>
      </w:r>
    </w:p>
    <w:p w:rsidR="00D943C3" w:rsidRPr="00E10164" w:rsidRDefault="00D943C3" w:rsidP="00E10164">
      <w:pPr>
        <w:ind w:firstLine="1440"/>
        <w:jc w:val="left"/>
      </w:pPr>
    </w:p>
    <w:p w:rsidR="00D943C3" w:rsidRPr="00E10164" w:rsidRDefault="00D943C3" w:rsidP="00E10164">
      <w:pPr>
        <w:ind w:firstLine="1440"/>
        <w:jc w:val="left"/>
      </w:pPr>
      <w:r w:rsidRPr="00E10164">
        <w:t xml:space="preserve">The Commission must act within, and cannot exceed, its jurisdiction.  </w:t>
      </w:r>
      <w:r w:rsidRPr="00E10164">
        <w:rPr>
          <w:i/>
        </w:rPr>
        <w:t xml:space="preserve">City of Pittsburgh v. Pa. Public Utility </w:t>
      </w:r>
      <w:proofErr w:type="spellStart"/>
      <w:r w:rsidRPr="00E10164">
        <w:rPr>
          <w:i/>
        </w:rPr>
        <w:t>Comm’n</w:t>
      </w:r>
      <w:proofErr w:type="spellEnd"/>
      <w:r w:rsidRPr="00E10164">
        <w:t xml:space="preserve">, </w:t>
      </w:r>
      <w:proofErr w:type="gramStart"/>
      <w:r w:rsidRPr="00E10164">
        <w:t xml:space="preserve">157 </w:t>
      </w:r>
      <w:proofErr w:type="spellStart"/>
      <w:r w:rsidRPr="00E10164">
        <w:t>Pa.Super</w:t>
      </w:r>
      <w:proofErr w:type="spellEnd"/>
      <w:proofErr w:type="gramEnd"/>
      <w:r w:rsidRPr="00E10164">
        <w:t xml:space="preserve">. </w:t>
      </w:r>
      <w:proofErr w:type="gramStart"/>
      <w:r w:rsidRPr="00E10164">
        <w:t>595, 43 A.2d 348 (1945).</w:t>
      </w:r>
      <w:proofErr w:type="gramEnd"/>
    </w:p>
    <w:p w:rsidR="00D943C3" w:rsidRPr="00E10164" w:rsidRDefault="00D943C3" w:rsidP="00E10164">
      <w:pPr>
        <w:ind w:firstLine="1440"/>
        <w:jc w:val="left"/>
      </w:pPr>
    </w:p>
    <w:p w:rsidR="00D943C3" w:rsidRPr="00E10164" w:rsidRDefault="00D943C3" w:rsidP="00E10164">
      <w:pPr>
        <w:ind w:firstLine="1440"/>
        <w:jc w:val="left"/>
      </w:pPr>
      <w:r w:rsidRPr="00E10164">
        <w:lastRenderedPageBreak/>
        <w:t xml:space="preserve">Subject matter jurisdiction is a prerequisite to the exercise of the power to decide a controversy.  </w:t>
      </w:r>
      <w:r w:rsidRPr="00E10164">
        <w:rPr>
          <w:iCs/>
        </w:rPr>
        <w:t>Cf</w:t>
      </w:r>
      <w:r w:rsidRPr="00E10164">
        <w:t xml:space="preserve">., </w:t>
      </w:r>
      <w:r w:rsidRPr="00E10164">
        <w:rPr>
          <w:i/>
        </w:rPr>
        <w:t>Hughes v. Pa. State Police</w:t>
      </w:r>
      <w:r w:rsidRPr="00E10164">
        <w:t xml:space="preserve">, </w:t>
      </w:r>
      <w:proofErr w:type="gramStart"/>
      <w:r w:rsidRPr="00E10164">
        <w:t>152 Pa.Cmwlth</w:t>
      </w:r>
      <w:proofErr w:type="gramEnd"/>
      <w:r w:rsidRPr="00E10164">
        <w:t xml:space="preserve">. </w:t>
      </w:r>
      <w:proofErr w:type="gramStart"/>
      <w:r w:rsidRPr="00E10164">
        <w:t>409, 619 A.2d 390 (1992), app. denied, 536 Pa. 633, 637 A.2d 293 (1993).</w:t>
      </w:r>
      <w:proofErr w:type="gramEnd"/>
    </w:p>
    <w:p w:rsidR="00D943C3" w:rsidRPr="00E10164" w:rsidRDefault="00D943C3" w:rsidP="00E10164">
      <w:pPr>
        <w:ind w:firstLine="1440"/>
        <w:jc w:val="left"/>
      </w:pPr>
    </w:p>
    <w:p w:rsidR="00D943C3" w:rsidRPr="00E10164" w:rsidRDefault="00D943C3" w:rsidP="00E10164">
      <w:pPr>
        <w:ind w:firstLine="1440"/>
        <w:jc w:val="left"/>
      </w:pPr>
      <w:r w:rsidRPr="00E10164">
        <w:t xml:space="preserve">Jurisdiction may not be conferred by the parties where none exists.  </w:t>
      </w:r>
      <w:proofErr w:type="gramStart"/>
      <w:r w:rsidRPr="00E10164">
        <w:rPr>
          <w:i/>
        </w:rPr>
        <w:t xml:space="preserve">Roberts v. </w:t>
      </w:r>
      <w:proofErr w:type="spellStart"/>
      <w:r w:rsidRPr="00E10164">
        <w:rPr>
          <w:i/>
        </w:rPr>
        <w:t>Martorano</w:t>
      </w:r>
      <w:proofErr w:type="spellEnd"/>
      <w:r w:rsidRPr="00E10164">
        <w:t>, 427 Pa. 581, 235 A.2d 602 (1967).</w:t>
      </w:r>
      <w:proofErr w:type="gramEnd"/>
      <w:r w:rsidRPr="00E10164">
        <w:t xml:space="preserve">  Neither silence nor agreement of the parties will confer jurisdiction where it otherwise would not exist, </w:t>
      </w:r>
      <w:r w:rsidRPr="00E10164">
        <w:rPr>
          <w:i/>
        </w:rPr>
        <w:t xml:space="preserve">Commonwealth v. </w:t>
      </w:r>
      <w:proofErr w:type="spellStart"/>
      <w:r w:rsidRPr="00E10164">
        <w:rPr>
          <w:i/>
        </w:rPr>
        <w:t>VanBuskirk</w:t>
      </w:r>
      <w:proofErr w:type="spellEnd"/>
      <w:r w:rsidRPr="00E10164">
        <w:t xml:space="preserve">, 303 </w:t>
      </w:r>
      <w:proofErr w:type="spellStart"/>
      <w:r w:rsidRPr="00E10164">
        <w:t>Pa.Super</w:t>
      </w:r>
      <w:proofErr w:type="spellEnd"/>
      <w:r w:rsidRPr="00E10164">
        <w:t xml:space="preserve">. 148, 449 A.2d 621 (1982), nor can jurisdiction be obtained by waiver or estoppel, </w:t>
      </w:r>
      <w:r w:rsidRPr="00E10164">
        <w:rPr>
          <w:i/>
        </w:rPr>
        <w:t>Scott v. Bristol Twp. Police Dep’t</w:t>
      </w:r>
      <w:r w:rsidRPr="00E10164">
        <w:t>, 669 A.2d 457 (Pa.Cmwlth. 1995).</w:t>
      </w:r>
    </w:p>
    <w:p w:rsidR="00D943C3" w:rsidRPr="00E10164" w:rsidRDefault="00D943C3" w:rsidP="00E10164">
      <w:pPr>
        <w:ind w:firstLine="1440"/>
        <w:jc w:val="left"/>
      </w:pPr>
    </w:p>
    <w:p w:rsidR="00D943C3" w:rsidRPr="00E10164" w:rsidRDefault="00D943C3" w:rsidP="00E10164">
      <w:pPr>
        <w:ind w:firstLine="1440"/>
        <w:jc w:val="left"/>
      </w:pPr>
      <w:r w:rsidRPr="00E10164">
        <w:t>Keeping the foregoing principles regarding jurisdiction in mind, the issue is whether or not the Commission has jurisdiction with respect to the City’s municipal lien</w:t>
      </w:r>
      <w:r w:rsidR="003A652D" w:rsidRPr="00E10164">
        <w:t>s</w:t>
      </w:r>
      <w:r w:rsidRPr="00E10164">
        <w:t xml:space="preserve">, which </w:t>
      </w:r>
      <w:r w:rsidR="003A652D" w:rsidRPr="00E10164">
        <w:t>are</w:t>
      </w:r>
      <w:r w:rsidRPr="00E10164">
        <w:t xml:space="preserve"> where the tenant’s arrearage is now represented.</w:t>
      </w:r>
    </w:p>
    <w:p w:rsidR="00D943C3" w:rsidRPr="00E10164" w:rsidRDefault="00D943C3" w:rsidP="00E10164">
      <w:pPr>
        <w:ind w:firstLine="1440"/>
        <w:jc w:val="left"/>
      </w:pPr>
    </w:p>
    <w:p w:rsidR="00D943C3" w:rsidRPr="00E10164" w:rsidRDefault="00D943C3" w:rsidP="00E10164">
      <w:pPr>
        <w:ind w:firstLine="1440"/>
        <w:jc w:val="left"/>
      </w:pPr>
      <w:r w:rsidRPr="00E10164">
        <w:t>Acting under the authority and power granted in the Municipal Claim and Tax Lien Law, 53 P.S. § 7101 et seq., the City files a lien to enforce municipal claims against property for unpaid natural gas service rendered by respondent at a specific property.</w:t>
      </w:r>
    </w:p>
    <w:p w:rsidR="00D943C3" w:rsidRPr="00E10164" w:rsidRDefault="00D943C3" w:rsidP="00E10164">
      <w:pPr>
        <w:ind w:firstLine="1440"/>
        <w:jc w:val="left"/>
      </w:pPr>
    </w:p>
    <w:p w:rsidR="00D943C3" w:rsidRPr="00E10164" w:rsidRDefault="00D943C3" w:rsidP="00E10164">
      <w:pPr>
        <w:ind w:firstLine="1440"/>
        <w:jc w:val="left"/>
      </w:pPr>
      <w:r w:rsidRPr="00E10164">
        <w:t xml:space="preserve">Only the City, being a municipality, can file a municipal lien.  Respondent is a municipal utility that is wholly owned by the City.  Respondent consists only of the real and personal assets that are used to manufacture and deliver natural gas to entities within the City’s borders.  </w:t>
      </w:r>
      <w:proofErr w:type="gramStart"/>
      <w:r w:rsidRPr="00E10164">
        <w:rPr>
          <w:i/>
        </w:rPr>
        <w:t>Public Advocate v. Philadelphia Gas Comm’n</w:t>
      </w:r>
      <w:r w:rsidRPr="00E10164">
        <w:t>, 544 Pa. 129, 674 A.2d 1056 (1996).</w:t>
      </w:r>
      <w:proofErr w:type="gramEnd"/>
    </w:p>
    <w:p w:rsidR="00D943C3" w:rsidRPr="00E10164" w:rsidRDefault="00D943C3" w:rsidP="00E10164">
      <w:pPr>
        <w:ind w:firstLine="1440"/>
        <w:jc w:val="left"/>
      </w:pPr>
    </w:p>
    <w:p w:rsidR="00D943C3" w:rsidRPr="00E10164" w:rsidRDefault="00D943C3" w:rsidP="00E10164">
      <w:pPr>
        <w:ind w:firstLine="1440"/>
        <w:jc w:val="left"/>
      </w:pPr>
      <w:r w:rsidRPr="00E10164">
        <w:t>Respondent does not meet the legal definition of an entity authorized to file a lien to enforce a municipal claim as set forth in the Municipal Claim and Tax Lien Law.  See, 53 P.S. § 7101.  Consequently, when respondent provides natural gas service to an entity within the borders of the City and is not paid, it is the City that has a municipal claim which it can enforce by way of a lien on the property that was provided natural gas service.</w:t>
      </w:r>
    </w:p>
    <w:p w:rsidR="00D943C3" w:rsidRPr="00E10164" w:rsidRDefault="00D943C3" w:rsidP="00E10164">
      <w:pPr>
        <w:ind w:firstLine="1440"/>
        <w:jc w:val="left"/>
      </w:pPr>
    </w:p>
    <w:p w:rsidR="00D943C3" w:rsidRPr="00E10164" w:rsidRDefault="00D943C3" w:rsidP="00E10164">
      <w:pPr>
        <w:ind w:firstLine="1440"/>
        <w:jc w:val="left"/>
      </w:pPr>
      <w:r w:rsidRPr="00E10164">
        <w:t xml:space="preserve">The procedure which the City must follow to establish a lien on a specific property, such as the Premises, is set forth in the Municipal Claim and Tax Lien Law.  See, 53 </w:t>
      </w:r>
      <w:r w:rsidRPr="00E10164">
        <w:lastRenderedPageBreak/>
        <w:t xml:space="preserve">P.S. §§ 7106(b), (c), 7143.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E10164">
        <w:rPr>
          <w:i/>
        </w:rPr>
        <w:t>Newberry Twp. v. Stambaugh</w:t>
      </w:r>
      <w:r w:rsidRPr="00E10164">
        <w:t xml:space="preserve">, 848 A.2d 173 (Pa.Cmwlth. 2004), app. denied, 580 Pa. 708, 860 A.2d 491 (2004), 53 P.S. §§ 7106(c), 7283.  Ultimate recovery of the amount of the municipal claims resulting in the lien is effectuated by a court ordered sheriff’s sale.  </w:t>
      </w:r>
      <w:proofErr w:type="gramStart"/>
      <w:r w:rsidRPr="00E10164">
        <w:t>53 P.S. § 7283.</w:t>
      </w:r>
      <w:proofErr w:type="gramEnd"/>
    </w:p>
    <w:p w:rsidR="00D943C3" w:rsidRPr="00E10164" w:rsidRDefault="00D943C3" w:rsidP="00E10164">
      <w:pPr>
        <w:ind w:firstLine="1440"/>
        <w:jc w:val="left"/>
      </w:pPr>
    </w:p>
    <w:p w:rsidR="00D943C3" w:rsidRPr="00E10164" w:rsidRDefault="00D943C3" w:rsidP="00E10164">
      <w:pPr>
        <w:ind w:firstLine="1440"/>
        <w:jc w:val="left"/>
      </w:pPr>
      <w:r w:rsidRPr="00E10164">
        <w:t>The proceeding to obtain and enforce the City’s municipal claim lien is an in rem proceeding.</w:t>
      </w:r>
      <w:r w:rsidRPr="00E10164">
        <w:rPr>
          <w:rStyle w:val="FootnoteReference"/>
        </w:rPr>
        <w:footnoteReference w:id="1"/>
      </w:r>
      <w:r w:rsidRPr="00E10164">
        <w:t xml:space="preserve">  “Accordingly, the lien is either valid or invalid as to the property in question rather than as to the respective property interests involved.”  </w:t>
      </w:r>
      <w:r w:rsidRPr="00E10164">
        <w:rPr>
          <w:i/>
        </w:rPr>
        <w:t xml:space="preserve">Borough of Towanda v. </w:t>
      </w:r>
      <w:proofErr w:type="spellStart"/>
      <w:r w:rsidRPr="00E10164">
        <w:rPr>
          <w:i/>
        </w:rPr>
        <w:t>Brannaka</w:t>
      </w:r>
      <w:proofErr w:type="spellEnd"/>
      <w:r w:rsidRPr="00E10164">
        <w:t xml:space="preserve">, </w:t>
      </w:r>
      <w:proofErr w:type="gramStart"/>
      <w:r w:rsidRPr="00E10164">
        <w:t xml:space="preserve">61 </w:t>
      </w:r>
      <w:proofErr w:type="spellStart"/>
      <w:r w:rsidRPr="00E10164">
        <w:t>Pa.Cmwlth</w:t>
      </w:r>
      <w:proofErr w:type="spellEnd"/>
      <w:proofErr w:type="gramEnd"/>
      <w:r w:rsidRPr="00E10164">
        <w:t xml:space="preserve">. </w:t>
      </w:r>
      <w:proofErr w:type="gramStart"/>
      <w:r w:rsidRPr="00E10164">
        <w:t>622; 625-626, 434 A.2d 889; 891 (1981).</w:t>
      </w:r>
      <w:proofErr w:type="gramEnd"/>
      <w:r w:rsidRPr="00E10164">
        <w:t xml:space="preserve">  What this means is </w:t>
      </w:r>
      <w:proofErr w:type="gramStart"/>
      <w:r w:rsidRPr="00E10164">
        <w:t>that the</w:t>
      </w:r>
      <w:proofErr w:type="gramEnd"/>
      <w:r w:rsidRPr="00E10164">
        <w:t xml:space="preserve"> Premises, not complainant nor her tenant, is responsible for satisfying the claim secured by the municipal lien.  No personal responsibility is asserted against the complainant by the filing of the lien on the Premises.  </w:t>
      </w:r>
      <w:proofErr w:type="gramStart"/>
      <w:r w:rsidRPr="00E10164">
        <w:rPr>
          <w:i/>
        </w:rPr>
        <w:t>Philadelphia v. Northwood Textile Mills, Inc.</w:t>
      </w:r>
      <w:r w:rsidRPr="00E10164">
        <w:t>, 395 Pa. 112, 149 A.2d 60 (1959).</w:t>
      </w:r>
      <w:proofErr w:type="gramEnd"/>
      <w:r w:rsidRPr="00E10164">
        <w:t xml:space="preserve">  See, also, </w:t>
      </w:r>
      <w:r w:rsidRPr="00E10164">
        <w:rPr>
          <w:i/>
        </w:rPr>
        <w:t>Ransom v. Marrazzo</w:t>
      </w:r>
      <w:r w:rsidRPr="00E10164">
        <w:t xml:space="preserve">, 848 F.2d 398 (3d Cir. 1988).  This does not prevent payment of the amount due and satisfaction of the lien.  </w:t>
      </w:r>
    </w:p>
    <w:p w:rsidR="00D943C3" w:rsidRPr="00E10164" w:rsidRDefault="00D943C3" w:rsidP="00E10164">
      <w:pPr>
        <w:ind w:firstLine="1440"/>
        <w:jc w:val="left"/>
      </w:pPr>
    </w:p>
    <w:p w:rsidR="00D943C3" w:rsidRPr="00E10164" w:rsidRDefault="00D943C3" w:rsidP="00E10164">
      <w:pPr>
        <w:ind w:firstLine="1440"/>
        <w:jc w:val="left"/>
      </w:pPr>
      <w:r w:rsidRPr="00E10164">
        <w:t>Therefore, the entire proceeding for the effectuation of and defense to the statutory lien of the City is within the jurisdiction of the Court of Common Pleas of Philadelphia County</w:t>
      </w:r>
      <w:r w:rsidRPr="00E10164">
        <w:rPr>
          <w:rStyle w:val="FootnoteReference"/>
        </w:rPr>
        <w:footnoteReference w:id="2"/>
      </w:r>
      <w:r w:rsidRPr="00E10164">
        <w:t>, not the Commission.  Municipal lien proceedings are exclusively matters of judicial, not administrative, jurisdiction.</w:t>
      </w:r>
    </w:p>
    <w:p w:rsidR="00D943C3" w:rsidRPr="00E10164" w:rsidRDefault="00D943C3" w:rsidP="00E10164">
      <w:pPr>
        <w:ind w:firstLine="1440"/>
        <w:jc w:val="left"/>
      </w:pPr>
    </w:p>
    <w:p w:rsidR="00D943C3" w:rsidRPr="00E10164" w:rsidRDefault="00D943C3" w:rsidP="0018490F">
      <w:pPr>
        <w:ind w:firstLine="1440"/>
        <w:jc w:val="left"/>
      </w:pPr>
      <w:proofErr w:type="gramStart"/>
      <w:r w:rsidRPr="00E10164">
        <w:t>Additionally, keeping in mind that the lien is that of the City, not respondent, as to the lien proceeding there is no public utility involved.</w:t>
      </w:r>
      <w:proofErr w:type="gramEnd"/>
      <w:r w:rsidRPr="00E10164">
        <w:t xml:space="preserve">  In obtaining a municipal lien upon the Premises, the City is acting in its capacity as a municipality only.  The Commission is given </w:t>
      </w:r>
      <w:r w:rsidRPr="00E10164">
        <w:lastRenderedPageBreak/>
        <w:t xml:space="preserve">jurisdiction over public utilities by the Public Utility Code, 66 </w:t>
      </w:r>
      <w:proofErr w:type="spellStart"/>
      <w:r w:rsidRPr="00E10164">
        <w:t>Pa.C.S.A</w:t>
      </w:r>
      <w:proofErr w:type="spellEnd"/>
      <w:r w:rsidRPr="00E10164">
        <w:t xml:space="preserve">. </w:t>
      </w:r>
      <w:proofErr w:type="gramStart"/>
      <w:r w:rsidRPr="00E10164">
        <w:t>§ 101 et seq., not over municipalities acting in their municipal capacity.</w:t>
      </w:r>
      <w:proofErr w:type="gramEnd"/>
      <w:r w:rsidRPr="00E10164">
        <w:rPr>
          <w:rStyle w:val="FootnoteReference"/>
        </w:rPr>
        <w:footnoteReference w:id="3"/>
      </w:r>
    </w:p>
    <w:p w:rsidR="00D943C3" w:rsidRPr="00E10164" w:rsidRDefault="00D943C3" w:rsidP="00E10164">
      <w:pPr>
        <w:ind w:firstLine="1440"/>
        <w:jc w:val="left"/>
      </w:pPr>
    </w:p>
    <w:p w:rsidR="00D943C3" w:rsidRPr="00E10164" w:rsidRDefault="00D943C3" w:rsidP="00E10164">
      <w:pPr>
        <w:ind w:firstLine="1440"/>
        <w:jc w:val="left"/>
      </w:pPr>
      <w:r w:rsidRPr="00E10164">
        <w:t xml:space="preserve">The Commission has repeatedly recognized its lack of subject matter jurisdiction in cases involving a dispute over a municipal lien placed upon a property.  </w:t>
      </w:r>
      <w:r w:rsidRPr="00E10164">
        <w:rPr>
          <w:i/>
        </w:rPr>
        <w:t xml:space="preserve">Cornelia </w:t>
      </w:r>
      <w:proofErr w:type="spellStart"/>
      <w:r w:rsidRPr="00E10164">
        <w:rPr>
          <w:i/>
        </w:rPr>
        <w:t>Strowder</w:t>
      </w:r>
      <w:proofErr w:type="spellEnd"/>
      <w:r w:rsidRPr="00E10164">
        <w:rPr>
          <w:i/>
        </w:rPr>
        <w:t xml:space="preserve"> v. Philadelphia Gas Works</w:t>
      </w:r>
      <w:r w:rsidRPr="00E10164">
        <w:t>, 2002 WL 32069511 (2002) (</w:t>
      </w:r>
      <w:proofErr w:type="spellStart"/>
      <w:r w:rsidRPr="00E10164">
        <w:rPr>
          <w:i/>
        </w:rPr>
        <w:t>Strowder</w:t>
      </w:r>
      <w:proofErr w:type="spellEnd"/>
      <w:r w:rsidR="00243FCB">
        <w:t>);</w:t>
      </w:r>
      <w:r w:rsidRPr="00E10164">
        <w:t xml:space="preserve"> </w:t>
      </w:r>
      <w:r w:rsidRPr="00E10164">
        <w:rPr>
          <w:i/>
        </w:rPr>
        <w:t>Debra Williams Lawrence v. Philadelphia Gas Works</w:t>
      </w:r>
      <w:r w:rsidRPr="00E10164">
        <w:t>, Docket Number C-20066672, Final Order entered January 22, 2007 (</w:t>
      </w:r>
      <w:r w:rsidRPr="00E10164">
        <w:rPr>
          <w:i/>
        </w:rPr>
        <w:t>Lawrence</w:t>
      </w:r>
      <w:r w:rsidR="00243FCB">
        <w:t>);</w:t>
      </w:r>
      <w:r w:rsidRPr="00E10164">
        <w:t xml:space="preserve"> </w:t>
      </w:r>
      <w:r w:rsidRPr="00E10164">
        <w:rPr>
          <w:i/>
        </w:rPr>
        <w:t>Tina L. Francis-Young v. Philadelphia Gas Works</w:t>
      </w:r>
      <w:r w:rsidRPr="00E10164">
        <w:t xml:space="preserve">, Docket Number </w:t>
      </w:r>
    </w:p>
    <w:p w:rsidR="00D943C3" w:rsidRPr="00E10164" w:rsidRDefault="00D943C3" w:rsidP="00E10164">
      <w:pPr>
        <w:jc w:val="left"/>
      </w:pPr>
      <w:r w:rsidRPr="00E10164">
        <w:t>C-2008-2029672, Final Order entered February 23, 2009 (</w:t>
      </w:r>
      <w:r w:rsidRPr="00E10164">
        <w:rPr>
          <w:i/>
        </w:rPr>
        <w:t>Young</w:t>
      </w:r>
      <w:r w:rsidR="00243FCB">
        <w:t>);</w:t>
      </w:r>
      <w:r w:rsidRPr="00E10164">
        <w:t xml:space="preserve"> </w:t>
      </w:r>
      <w:r w:rsidRPr="00E10164">
        <w:rPr>
          <w:i/>
        </w:rPr>
        <w:t xml:space="preserve">Dung </w:t>
      </w:r>
      <w:proofErr w:type="spellStart"/>
      <w:r w:rsidRPr="00E10164">
        <w:rPr>
          <w:i/>
        </w:rPr>
        <w:t>Phat</w:t>
      </w:r>
      <w:proofErr w:type="spellEnd"/>
      <w:r w:rsidRPr="00E10164">
        <w:rPr>
          <w:i/>
        </w:rPr>
        <w:t>, LLC v. Philadelphia Gas Works</w:t>
      </w:r>
      <w:r w:rsidRPr="00E10164">
        <w:t xml:space="preserve">, Docket Number C-2009-2135667, </w:t>
      </w:r>
      <w:r w:rsidR="00772C33">
        <w:t>Final Order entered January 13, </w:t>
      </w:r>
      <w:r w:rsidRPr="00E10164">
        <w:t>2010 (</w:t>
      </w:r>
      <w:r w:rsidRPr="00E10164">
        <w:rPr>
          <w:i/>
        </w:rPr>
        <w:t xml:space="preserve">Dung </w:t>
      </w:r>
      <w:proofErr w:type="spellStart"/>
      <w:r w:rsidRPr="00E10164">
        <w:rPr>
          <w:i/>
        </w:rPr>
        <w:t>Phat</w:t>
      </w:r>
      <w:proofErr w:type="spellEnd"/>
      <w:r w:rsidR="00243FCB">
        <w:t>);</w:t>
      </w:r>
      <w:r w:rsidRPr="00E10164">
        <w:t xml:space="preserve"> </w:t>
      </w:r>
      <w:r w:rsidRPr="00E10164">
        <w:rPr>
          <w:i/>
        </w:rPr>
        <w:t>David Golan v. Philadelphia Gas Works</w:t>
      </w:r>
      <w:r w:rsidR="00772C33">
        <w:t>, Docket Number C</w:t>
      </w:r>
      <w:r w:rsidR="00772C33">
        <w:noBreakHyphen/>
      </w:r>
      <w:r w:rsidRPr="00E10164">
        <w:t>2009-2138115, Final Order entered February 4, 2010 (</w:t>
      </w:r>
      <w:r w:rsidRPr="00E10164">
        <w:rPr>
          <w:i/>
        </w:rPr>
        <w:t>Golan</w:t>
      </w:r>
      <w:r w:rsidR="00243FCB">
        <w:t>);</w:t>
      </w:r>
      <w:r w:rsidRPr="00E10164">
        <w:t xml:space="preserve"> </w:t>
      </w:r>
      <w:r w:rsidRPr="00E10164">
        <w:rPr>
          <w:i/>
        </w:rPr>
        <w:t xml:space="preserve">2020 West </w:t>
      </w:r>
      <w:proofErr w:type="spellStart"/>
      <w:r w:rsidRPr="00E10164">
        <w:rPr>
          <w:i/>
        </w:rPr>
        <w:t>Passyunk</w:t>
      </w:r>
      <w:proofErr w:type="spellEnd"/>
      <w:r w:rsidRPr="00E10164">
        <w:rPr>
          <w:i/>
        </w:rPr>
        <w:t xml:space="preserve"> Avenue Inc. v. Philadelphia Gas Works</w:t>
      </w:r>
      <w:r w:rsidRPr="00E10164">
        <w:t>, Docket Number C-2009-213872</w:t>
      </w:r>
      <w:r w:rsidR="00772C33">
        <w:t>7, Final Order entered February </w:t>
      </w:r>
      <w:r w:rsidRPr="00E10164">
        <w:t>4, 2010 (</w:t>
      </w:r>
      <w:r w:rsidRPr="00E10164">
        <w:rPr>
          <w:i/>
        </w:rPr>
        <w:t xml:space="preserve">2020 West </w:t>
      </w:r>
      <w:proofErr w:type="spellStart"/>
      <w:r w:rsidRPr="00E10164">
        <w:rPr>
          <w:i/>
        </w:rPr>
        <w:t>Passyunk</w:t>
      </w:r>
      <w:proofErr w:type="spellEnd"/>
      <w:r w:rsidR="00243FCB">
        <w:t>);</w:t>
      </w:r>
      <w:r w:rsidRPr="00E10164">
        <w:t xml:space="preserve"> </w:t>
      </w:r>
      <w:r w:rsidRPr="00E10164">
        <w:rPr>
          <w:i/>
        </w:rPr>
        <w:t>Jean Charles v. Philadelphia Gas Works</w:t>
      </w:r>
      <w:r w:rsidR="00772C33">
        <w:t>, Docket Number C</w:t>
      </w:r>
      <w:r w:rsidR="00772C33">
        <w:noBreakHyphen/>
      </w:r>
      <w:r w:rsidRPr="00E10164">
        <w:t>2009-2138638, Final Order entered February 5, 2010 (</w:t>
      </w:r>
      <w:r w:rsidRPr="00E10164">
        <w:rPr>
          <w:i/>
        </w:rPr>
        <w:t>Charles</w:t>
      </w:r>
      <w:r w:rsidRPr="00E10164">
        <w:t>).</w:t>
      </w:r>
    </w:p>
    <w:p w:rsidR="00D943C3" w:rsidRPr="00E10164" w:rsidRDefault="00D943C3" w:rsidP="00E10164">
      <w:pPr>
        <w:ind w:firstLine="1440"/>
        <w:jc w:val="left"/>
      </w:pPr>
    </w:p>
    <w:p w:rsidR="00D943C3" w:rsidRPr="00E10164" w:rsidRDefault="00D943C3" w:rsidP="00E10164">
      <w:pPr>
        <w:ind w:firstLine="1440"/>
        <w:jc w:val="left"/>
      </w:pPr>
      <w:r w:rsidRPr="00E10164">
        <w:t xml:space="preserve">These Commission decisions are consistent with established principles of jurisdiction and are buttressed by two separate provisions of the Public Utility Code, 66 </w:t>
      </w:r>
      <w:proofErr w:type="spellStart"/>
      <w:r w:rsidRPr="00E10164">
        <w:t>Pa.C.S.A</w:t>
      </w:r>
      <w:proofErr w:type="spellEnd"/>
      <w:r w:rsidRPr="00E10164">
        <w:t xml:space="preserve">. </w:t>
      </w:r>
      <w:proofErr w:type="gramStart"/>
      <w:r w:rsidRPr="00E10164">
        <w:t>§ 101 et seq. (Code).</w:t>
      </w:r>
      <w:proofErr w:type="gramEnd"/>
    </w:p>
    <w:p w:rsidR="00D943C3" w:rsidRPr="00E10164" w:rsidRDefault="00D943C3" w:rsidP="00E10164">
      <w:pPr>
        <w:ind w:firstLine="1440"/>
        <w:jc w:val="left"/>
      </w:pPr>
    </w:p>
    <w:p w:rsidR="00D943C3" w:rsidRPr="00E10164" w:rsidRDefault="00D943C3" w:rsidP="00E10164">
      <w:pPr>
        <w:ind w:firstLine="1440"/>
        <w:jc w:val="left"/>
      </w:pPr>
      <w:proofErr w:type="gramStart"/>
      <w:r w:rsidRPr="00E10164">
        <w:t xml:space="preserve">66 </w:t>
      </w:r>
      <w:proofErr w:type="spellStart"/>
      <w:r w:rsidRPr="00E10164">
        <w:t>Pa.C.S.A</w:t>
      </w:r>
      <w:proofErr w:type="spellEnd"/>
      <w:r w:rsidRPr="00E10164">
        <w:t>.</w:t>
      </w:r>
      <w:proofErr w:type="gramEnd"/>
      <w:r w:rsidRPr="00E10164">
        <w:t xml:space="preserve"> § 1414(a) provides:</w:t>
      </w:r>
    </w:p>
    <w:p w:rsidR="00D943C3" w:rsidRPr="00E10164" w:rsidRDefault="00D943C3" w:rsidP="00E10164">
      <w:pPr>
        <w:ind w:firstLine="1440"/>
        <w:jc w:val="left"/>
      </w:pPr>
    </w:p>
    <w:p w:rsidR="00D943C3" w:rsidRDefault="00D943C3" w:rsidP="00772C33">
      <w:pPr>
        <w:widowControl w:val="0"/>
        <w:adjustRightInd w:val="0"/>
        <w:spacing w:line="240" w:lineRule="auto"/>
        <w:ind w:left="1440" w:right="1440"/>
        <w:jc w:val="left"/>
        <w:rPr>
          <w:color w:val="000000"/>
        </w:rPr>
      </w:pPr>
      <w:r w:rsidRPr="00E10164">
        <w:rPr>
          <w:b/>
          <w:bCs/>
          <w:color w:val="000000"/>
        </w:rPr>
        <w:t>(a)</w:t>
      </w:r>
      <w:r w:rsidRPr="00E10164">
        <w:rPr>
          <w:b/>
          <w:bCs/>
          <w:color w:val="000000"/>
        </w:rPr>
        <w:tab/>
        <w:t>General rule.--</w:t>
      </w:r>
      <w:r w:rsidRPr="00E10164">
        <w:rPr>
          <w:color w:val="000000"/>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w:t>
      </w:r>
      <w:r w:rsidRPr="00E10164">
        <w:rPr>
          <w:color w:val="000000"/>
        </w:rPr>
        <w:lastRenderedPageBreak/>
        <w:t xml:space="preserve">to sections 3 and 9 of the act of May 16, 1923 (P.L. 207, No. 153), </w:t>
      </w:r>
      <w:bookmarkStart w:id="0" w:name="Document1zz[FN1]"/>
      <w:bookmarkEnd w:id="0"/>
      <w:r w:rsidRPr="00E10164">
        <w:rPr>
          <w:color w:val="000000"/>
        </w:rPr>
        <w:t xml:space="preserve">referred to as the Municipal Claim and Tax Lien Law, and chapter 22 </w:t>
      </w:r>
      <w:bookmarkStart w:id="1" w:name="Document1zz[FN2]"/>
      <w:bookmarkEnd w:id="1"/>
      <w:r w:rsidRPr="00E10164">
        <w:rPr>
          <w:color w:val="000000"/>
        </w:rPr>
        <w:t>(relating to natural gas competition).</w:t>
      </w:r>
    </w:p>
    <w:p w:rsidR="00243FCB" w:rsidRPr="00E10164" w:rsidRDefault="00243FCB" w:rsidP="00772C33">
      <w:pPr>
        <w:widowControl w:val="0"/>
        <w:adjustRightInd w:val="0"/>
        <w:spacing w:line="240" w:lineRule="auto"/>
        <w:ind w:left="1440" w:right="1440"/>
        <w:jc w:val="left"/>
        <w:rPr>
          <w:color w:val="000000"/>
        </w:rPr>
      </w:pPr>
    </w:p>
    <w:p w:rsidR="00D943C3" w:rsidRPr="00E10164" w:rsidRDefault="00D943C3" w:rsidP="00243FCB">
      <w:pPr>
        <w:widowControl w:val="0"/>
        <w:adjustRightInd w:val="0"/>
        <w:spacing w:line="240" w:lineRule="auto"/>
        <w:ind w:left="1440"/>
        <w:jc w:val="left"/>
        <w:rPr>
          <w:color w:val="000000"/>
        </w:rPr>
      </w:pPr>
      <w:proofErr w:type="gramStart"/>
      <w:r w:rsidRPr="00E10164">
        <w:rPr>
          <w:bCs/>
          <w:color w:val="000000"/>
        </w:rPr>
        <w:t xml:space="preserve">66 </w:t>
      </w:r>
      <w:proofErr w:type="spellStart"/>
      <w:r w:rsidRPr="00E10164">
        <w:rPr>
          <w:bCs/>
          <w:color w:val="000000"/>
        </w:rPr>
        <w:t>Pa.</w:t>
      </w:r>
      <w:r w:rsidRPr="00E10164">
        <w:rPr>
          <w:color w:val="000000"/>
        </w:rPr>
        <w:t>C.S.A</w:t>
      </w:r>
      <w:proofErr w:type="spellEnd"/>
      <w:r w:rsidRPr="00E10164">
        <w:rPr>
          <w:color w:val="000000"/>
        </w:rPr>
        <w:t>.</w:t>
      </w:r>
      <w:proofErr w:type="gramEnd"/>
      <w:r w:rsidRPr="00E10164">
        <w:rPr>
          <w:color w:val="000000"/>
        </w:rPr>
        <w:t xml:space="preserve"> § 1414(a) (footnotes omitted)</w:t>
      </w:r>
    </w:p>
    <w:p w:rsidR="00D943C3" w:rsidRPr="00E10164" w:rsidRDefault="00D943C3" w:rsidP="00E10164">
      <w:pPr>
        <w:ind w:firstLine="1440"/>
        <w:jc w:val="left"/>
      </w:pPr>
    </w:p>
    <w:p w:rsidR="00D943C3" w:rsidRPr="00E10164" w:rsidRDefault="00D943C3" w:rsidP="00E10164">
      <w:pPr>
        <w:ind w:firstLine="1440"/>
        <w:jc w:val="left"/>
        <w:rPr>
          <w:color w:val="000000"/>
        </w:rPr>
      </w:pPr>
      <w:r w:rsidRPr="00E10164">
        <w:t xml:space="preserve">Code section 1414(a) reiterates the General Assembly’s determination that the previously existing right of the City to enforce payment for natural gas service rendered by the respondent through the municipal claim and lien procedure of the </w:t>
      </w:r>
      <w:r w:rsidRPr="00E10164">
        <w:rPr>
          <w:color w:val="000000"/>
        </w:rPr>
        <w:t>Municipal Claim and Tax Lien Law remains unabated.</w:t>
      </w:r>
    </w:p>
    <w:p w:rsidR="00D943C3" w:rsidRPr="00E10164" w:rsidRDefault="00D943C3" w:rsidP="00E10164">
      <w:pPr>
        <w:ind w:firstLine="1440"/>
        <w:jc w:val="left"/>
        <w:rPr>
          <w:color w:val="000000"/>
        </w:rPr>
      </w:pPr>
    </w:p>
    <w:p w:rsidR="00D943C3" w:rsidRPr="00E10164" w:rsidRDefault="00D943C3" w:rsidP="00E10164">
      <w:pPr>
        <w:ind w:firstLine="1440"/>
        <w:jc w:val="left"/>
        <w:outlineLvl w:val="0"/>
        <w:rPr>
          <w:color w:val="000000"/>
        </w:rPr>
      </w:pPr>
      <w:r w:rsidRPr="00E10164">
        <w:rPr>
          <w:color w:val="000000"/>
        </w:rPr>
        <w:t xml:space="preserve">The reference to “chapter 22” (of the Code) in section 1414(a) is especially </w:t>
      </w:r>
    </w:p>
    <w:p w:rsidR="00D943C3" w:rsidRPr="00E10164" w:rsidRDefault="00D943C3" w:rsidP="00E10164">
      <w:pPr>
        <w:jc w:val="left"/>
        <w:rPr>
          <w:color w:val="000000"/>
        </w:rPr>
      </w:pPr>
      <w:proofErr w:type="gramStart"/>
      <w:r w:rsidRPr="00E10164">
        <w:rPr>
          <w:color w:val="000000"/>
        </w:rPr>
        <w:t>revealing</w:t>
      </w:r>
      <w:proofErr w:type="gramEnd"/>
      <w:r w:rsidRPr="00E10164">
        <w:rPr>
          <w:color w:val="000000"/>
        </w:rPr>
        <w:t xml:space="preserve"> as to the legislature’s intent.</w:t>
      </w:r>
    </w:p>
    <w:p w:rsidR="00D943C3" w:rsidRPr="00E10164" w:rsidRDefault="00D943C3" w:rsidP="00E10164">
      <w:pPr>
        <w:jc w:val="left"/>
        <w:rPr>
          <w:color w:val="000000"/>
        </w:rPr>
      </w:pPr>
    </w:p>
    <w:p w:rsidR="00D943C3" w:rsidRPr="00E10164" w:rsidRDefault="00D943C3" w:rsidP="00E10164">
      <w:pPr>
        <w:ind w:firstLine="1440"/>
        <w:jc w:val="left"/>
        <w:rPr>
          <w:color w:val="000000"/>
        </w:rPr>
      </w:pPr>
      <w:proofErr w:type="gramStart"/>
      <w:r w:rsidRPr="00E10164">
        <w:rPr>
          <w:color w:val="000000"/>
        </w:rPr>
        <w:t xml:space="preserve">66 </w:t>
      </w:r>
      <w:proofErr w:type="spellStart"/>
      <w:r w:rsidRPr="00E10164">
        <w:rPr>
          <w:color w:val="000000"/>
        </w:rPr>
        <w:t>Pa.C.S.A</w:t>
      </w:r>
      <w:proofErr w:type="spellEnd"/>
      <w:r w:rsidRPr="00E10164">
        <w:rPr>
          <w:color w:val="000000"/>
        </w:rPr>
        <w:t>.</w:t>
      </w:r>
      <w:proofErr w:type="gramEnd"/>
      <w:r w:rsidRPr="00E10164">
        <w:rPr>
          <w:color w:val="000000"/>
        </w:rPr>
        <w:t xml:space="preserve"> § 2212(n) states:</w:t>
      </w:r>
    </w:p>
    <w:p w:rsidR="00D943C3" w:rsidRPr="00E10164" w:rsidRDefault="00D943C3" w:rsidP="00E10164">
      <w:pPr>
        <w:ind w:firstLine="1440"/>
        <w:jc w:val="left"/>
        <w:rPr>
          <w:color w:val="000000"/>
        </w:rPr>
      </w:pPr>
    </w:p>
    <w:p w:rsidR="00D943C3" w:rsidRDefault="00D943C3" w:rsidP="00772C33">
      <w:pPr>
        <w:widowControl w:val="0"/>
        <w:adjustRightInd w:val="0"/>
        <w:spacing w:line="240" w:lineRule="auto"/>
        <w:ind w:left="1440" w:right="1440"/>
        <w:jc w:val="left"/>
        <w:rPr>
          <w:color w:val="000000"/>
        </w:rPr>
      </w:pPr>
      <w:r w:rsidRPr="00E10164">
        <w:rPr>
          <w:b/>
          <w:bCs/>
          <w:color w:val="000000"/>
        </w:rPr>
        <w:t>(n)</w:t>
      </w:r>
      <w:r w:rsidRPr="00E10164">
        <w:rPr>
          <w:b/>
          <w:bCs/>
          <w:color w:val="000000"/>
        </w:rPr>
        <w:tab/>
        <w:t>Collections.--</w:t>
      </w:r>
      <w:r w:rsidRPr="00E10164">
        <w:rPr>
          <w:color w:val="000000"/>
        </w:rPr>
        <w:t>Nothing contained in this title shall abrogate the power of a city natural gas distribution operation to collect delinquent receivables through the imposition of liens pursuant to section 3 of the act of May 16, 1923 (P.L. 207, No. 153),</w:t>
      </w:r>
      <w:bookmarkStart w:id="2" w:name="Document1zz[FN6]"/>
      <w:bookmarkEnd w:id="2"/>
      <w:r w:rsidRPr="00E10164">
        <w:rPr>
          <w:color w:val="000000"/>
        </w:rPr>
        <w:t xml:space="preserve"> referred to as the Municipal Claim and Tax Lien Law, or otherwise.</w:t>
      </w:r>
    </w:p>
    <w:p w:rsidR="00243FCB" w:rsidRPr="00E10164" w:rsidRDefault="00243FCB" w:rsidP="00772C33">
      <w:pPr>
        <w:widowControl w:val="0"/>
        <w:adjustRightInd w:val="0"/>
        <w:spacing w:line="240" w:lineRule="auto"/>
        <w:ind w:left="1440" w:right="1440"/>
        <w:jc w:val="left"/>
        <w:rPr>
          <w:color w:val="000000"/>
        </w:rPr>
      </w:pPr>
    </w:p>
    <w:p w:rsidR="00D943C3" w:rsidRPr="00E10164" w:rsidRDefault="00D943C3" w:rsidP="00772C33">
      <w:pPr>
        <w:widowControl w:val="0"/>
        <w:adjustRightInd w:val="0"/>
        <w:spacing w:line="240" w:lineRule="auto"/>
        <w:ind w:left="1440" w:right="1440"/>
        <w:jc w:val="left"/>
        <w:rPr>
          <w:color w:val="000000"/>
        </w:rPr>
      </w:pPr>
      <w:proofErr w:type="gramStart"/>
      <w:r w:rsidRPr="00E10164">
        <w:rPr>
          <w:color w:val="000000"/>
        </w:rPr>
        <w:t xml:space="preserve">66 </w:t>
      </w:r>
      <w:proofErr w:type="spellStart"/>
      <w:r w:rsidRPr="00E10164">
        <w:rPr>
          <w:color w:val="000000"/>
        </w:rPr>
        <w:t>Pa.C.S.A</w:t>
      </w:r>
      <w:proofErr w:type="spellEnd"/>
      <w:r w:rsidRPr="00E10164">
        <w:rPr>
          <w:color w:val="000000"/>
        </w:rPr>
        <w:t>.</w:t>
      </w:r>
      <w:proofErr w:type="gramEnd"/>
      <w:r w:rsidRPr="00E10164">
        <w:rPr>
          <w:color w:val="000000"/>
        </w:rPr>
        <w:t xml:space="preserve"> § 2212(n) (footnote omitted)</w:t>
      </w:r>
    </w:p>
    <w:p w:rsidR="00D943C3" w:rsidRPr="00E10164" w:rsidRDefault="00D943C3" w:rsidP="00E10164">
      <w:pPr>
        <w:ind w:firstLine="1440"/>
        <w:jc w:val="left"/>
      </w:pPr>
    </w:p>
    <w:p w:rsidR="00D943C3" w:rsidRPr="00E10164" w:rsidRDefault="00D943C3" w:rsidP="00E10164">
      <w:pPr>
        <w:ind w:firstLine="1440"/>
        <w:jc w:val="left"/>
        <w:rPr>
          <w:color w:val="000000"/>
        </w:rPr>
      </w:pPr>
      <w:r w:rsidRPr="00E10164">
        <w:t>Code section 2212(n) specifically states that “[n]</w:t>
      </w:r>
      <w:proofErr w:type="spellStart"/>
      <w:r w:rsidRPr="00E10164">
        <w:t>othing</w:t>
      </w:r>
      <w:proofErr w:type="spellEnd"/>
      <w:r w:rsidRPr="00E10164">
        <w:rPr>
          <w:color w:val="000000"/>
        </w:rPr>
        <w:t xml:space="preserve"> contained in this </w:t>
      </w:r>
      <w:r w:rsidRPr="00E10164">
        <w:rPr>
          <w:color w:val="000000"/>
          <w:u w:val="single"/>
        </w:rPr>
        <w:t>title</w:t>
      </w:r>
      <w:r w:rsidRPr="00E10164">
        <w:rPr>
          <w:color w:val="000000"/>
        </w:rPr>
        <w:t>”, that is; Title 66, the entire Code, shall abrogate the right of the City to collect unpaid bills for natural gas service through the mechanisms provided by the Municipal Claim and Tax Lien Law.  As explained above, those mechanisms are not within the jurisdiction of the Commission.</w:t>
      </w:r>
    </w:p>
    <w:p w:rsidR="00D943C3" w:rsidRPr="00E10164" w:rsidRDefault="00D943C3" w:rsidP="00E10164">
      <w:pPr>
        <w:ind w:firstLine="1440"/>
        <w:jc w:val="left"/>
        <w:rPr>
          <w:color w:val="000000"/>
        </w:rPr>
      </w:pPr>
    </w:p>
    <w:p w:rsidR="00243FCB" w:rsidRDefault="00D943C3" w:rsidP="00243FCB">
      <w:pPr>
        <w:ind w:firstLine="1440"/>
        <w:jc w:val="left"/>
        <w:rPr>
          <w:color w:val="000000"/>
        </w:rPr>
      </w:pPr>
      <w:proofErr w:type="gramStart"/>
      <w:r w:rsidRPr="00E10164">
        <w:rPr>
          <w:color w:val="000000"/>
        </w:rPr>
        <w:t xml:space="preserve">The Commission’s </w:t>
      </w:r>
      <w:r w:rsidRPr="00E10164">
        <w:t xml:space="preserve">holdings in </w:t>
      </w:r>
      <w:proofErr w:type="spellStart"/>
      <w:r w:rsidRPr="00E10164">
        <w:rPr>
          <w:i/>
        </w:rPr>
        <w:t>Strowder</w:t>
      </w:r>
      <w:proofErr w:type="spellEnd"/>
      <w:r w:rsidRPr="00E10164">
        <w:t xml:space="preserve">, </w:t>
      </w:r>
      <w:r w:rsidRPr="00E10164">
        <w:rPr>
          <w:i/>
        </w:rPr>
        <w:t>Lawrence</w:t>
      </w:r>
      <w:r w:rsidRPr="00E10164">
        <w:t xml:space="preserve">, </w:t>
      </w:r>
      <w:r w:rsidRPr="00E10164">
        <w:rPr>
          <w:i/>
        </w:rPr>
        <w:t>Young</w:t>
      </w:r>
      <w:r w:rsidRPr="00E10164">
        <w:t xml:space="preserve">, </w:t>
      </w:r>
      <w:r w:rsidRPr="00E10164">
        <w:rPr>
          <w:i/>
        </w:rPr>
        <w:t xml:space="preserve">Dung </w:t>
      </w:r>
      <w:proofErr w:type="spellStart"/>
      <w:r w:rsidRPr="00E10164">
        <w:rPr>
          <w:i/>
        </w:rPr>
        <w:t>Phat</w:t>
      </w:r>
      <w:proofErr w:type="spellEnd"/>
      <w:r w:rsidRPr="00E10164">
        <w:t xml:space="preserve">, </w:t>
      </w:r>
      <w:r w:rsidRPr="00E10164">
        <w:rPr>
          <w:i/>
        </w:rPr>
        <w:t>Golan</w:t>
      </w:r>
      <w:r w:rsidRPr="00E10164">
        <w:t xml:space="preserve">, </w:t>
      </w:r>
      <w:r w:rsidRPr="00E10164">
        <w:rPr>
          <w:i/>
        </w:rPr>
        <w:t xml:space="preserve">2020 West </w:t>
      </w:r>
      <w:proofErr w:type="spellStart"/>
      <w:r w:rsidRPr="00E10164">
        <w:rPr>
          <w:i/>
        </w:rPr>
        <w:t>Passyunk</w:t>
      </w:r>
      <w:proofErr w:type="spellEnd"/>
      <w:r w:rsidRPr="00E10164">
        <w:t xml:space="preserve"> and </w:t>
      </w:r>
      <w:r w:rsidRPr="00E10164">
        <w:rPr>
          <w:i/>
        </w:rPr>
        <w:t>Charles</w:t>
      </w:r>
      <w:r w:rsidRPr="00E10164">
        <w:t xml:space="preserve"> that it does not have subject matter jurisdiction over cases such as this one, is legally correct.</w:t>
      </w:r>
      <w:proofErr w:type="gramEnd"/>
      <w:r w:rsidRPr="00E10164">
        <w:t xml:space="preserve">  Complainant’s relief, if any, must be obtained under the procedures established by </w:t>
      </w:r>
      <w:r w:rsidRPr="00E10164">
        <w:rPr>
          <w:color w:val="000000"/>
        </w:rPr>
        <w:t>the Municipal Claim and Tax Lien Law.  Respondent’s Preliminary Objection under 52 Pa.Code § 5.101(a</w:t>
      </w:r>
      <w:proofErr w:type="gramStart"/>
      <w:r w:rsidRPr="00E10164">
        <w:rPr>
          <w:color w:val="000000"/>
        </w:rPr>
        <w:t>)(</w:t>
      </w:r>
      <w:proofErr w:type="gramEnd"/>
      <w:r w:rsidRPr="00E10164">
        <w:rPr>
          <w:color w:val="000000"/>
        </w:rPr>
        <w:t>1) challenging the Commission’s subject matter jurisdiction is sustained.</w:t>
      </w:r>
      <w:r w:rsidR="00243FCB">
        <w:rPr>
          <w:color w:val="000000"/>
        </w:rPr>
        <w:br w:type="page"/>
      </w:r>
    </w:p>
    <w:p w:rsidR="00D943C3" w:rsidRPr="00E10164" w:rsidRDefault="00D943C3" w:rsidP="00E10164">
      <w:pPr>
        <w:ind w:firstLine="1440"/>
        <w:jc w:val="left"/>
      </w:pPr>
      <w:r w:rsidRPr="00E10164">
        <w:rPr>
          <w:color w:val="000000"/>
        </w:rPr>
        <w:lastRenderedPageBreak/>
        <w:t xml:space="preserve">Because the Commission lacks subject matter jurisdiction over the Complaint, </w:t>
      </w:r>
      <w:r w:rsidRPr="00E10164">
        <w:t>the Complaint will be dismissed.</w:t>
      </w:r>
    </w:p>
    <w:p w:rsidR="00D943C3" w:rsidRPr="00E10164" w:rsidRDefault="00D943C3" w:rsidP="00E10164">
      <w:pPr>
        <w:ind w:firstLine="1440"/>
        <w:jc w:val="left"/>
      </w:pPr>
    </w:p>
    <w:p w:rsidR="00D943C3" w:rsidRPr="00E10164" w:rsidRDefault="00D943C3" w:rsidP="00E10164">
      <w:pPr>
        <w:outlineLvl w:val="0"/>
        <w:rPr>
          <w:u w:val="single"/>
        </w:rPr>
      </w:pPr>
      <w:r w:rsidRPr="00E10164">
        <w:rPr>
          <w:u w:val="single"/>
        </w:rPr>
        <w:t>CONCLUSIONS OF LAW</w:t>
      </w:r>
    </w:p>
    <w:p w:rsidR="00D943C3" w:rsidRPr="00E10164" w:rsidRDefault="00D943C3" w:rsidP="00E10164">
      <w:pPr>
        <w:ind w:firstLine="1440"/>
        <w:jc w:val="left"/>
      </w:pPr>
    </w:p>
    <w:p w:rsidR="00D943C3" w:rsidRPr="00E10164" w:rsidRDefault="00D943C3" w:rsidP="00E10164">
      <w:pPr>
        <w:ind w:firstLine="1440"/>
        <w:jc w:val="left"/>
      </w:pPr>
      <w:r w:rsidRPr="00E10164">
        <w:t>1.</w:t>
      </w:r>
      <w:r w:rsidRPr="00E10164">
        <w:tab/>
        <w:t>The Commission has jurisdiction to determine its own jurisdiction.</w:t>
      </w:r>
    </w:p>
    <w:p w:rsidR="00D943C3" w:rsidRPr="00E10164" w:rsidRDefault="00D943C3" w:rsidP="00E10164">
      <w:pPr>
        <w:ind w:firstLine="1440"/>
        <w:jc w:val="left"/>
      </w:pPr>
    </w:p>
    <w:p w:rsidR="00D943C3" w:rsidRPr="00E10164" w:rsidRDefault="00D943C3" w:rsidP="00E10164">
      <w:pPr>
        <w:jc w:val="left"/>
      </w:pPr>
      <w:r w:rsidRPr="00E10164">
        <w:tab/>
      </w:r>
      <w:r w:rsidRPr="00E10164">
        <w:tab/>
        <w:t>2.</w:t>
      </w:r>
      <w:r w:rsidRPr="00E10164">
        <w:tab/>
        <w:t xml:space="preserve">Commission preliminary objection practice is similar to Pennsylvania civil practice.  </w:t>
      </w:r>
      <w:r w:rsidRPr="00E10164">
        <w:rPr>
          <w:i/>
        </w:rPr>
        <w:t xml:space="preserve">Equitable Small Transportation Interveners v. Equitable Gas Company, </w:t>
      </w:r>
      <w:r w:rsidRPr="00E10164">
        <w:t xml:space="preserve">1994 Pa. PUC LEXIS 69, PUC Docket No. </w:t>
      </w:r>
      <w:proofErr w:type="gramStart"/>
      <w:r w:rsidRPr="00E10164">
        <w:t>C-000935435 (July 18, 1994).</w:t>
      </w:r>
      <w:proofErr w:type="gramEnd"/>
      <w:r w:rsidRPr="00E10164">
        <w:t xml:space="preserve"> </w:t>
      </w:r>
      <w:r w:rsidRPr="00E10164">
        <w:tab/>
        <w:t xml:space="preserve"> </w:t>
      </w:r>
    </w:p>
    <w:p w:rsidR="00D943C3" w:rsidRPr="00E10164" w:rsidRDefault="00D943C3" w:rsidP="00E10164">
      <w:pPr>
        <w:jc w:val="left"/>
      </w:pPr>
    </w:p>
    <w:p w:rsidR="00D943C3" w:rsidRPr="00E10164" w:rsidRDefault="00D943C3" w:rsidP="00E10164">
      <w:pPr>
        <w:jc w:val="left"/>
      </w:pPr>
      <w:r w:rsidRPr="00E10164">
        <w:tab/>
      </w:r>
      <w:r w:rsidRPr="00E10164">
        <w:tab/>
        <w:t>3.</w:t>
      </w:r>
      <w:r w:rsidRPr="00E10164">
        <w:tab/>
        <w:t>When considering the preliminary objection, the Commission must determine “whether the law says with certainty, based on well-</w:t>
      </w:r>
      <w:r w:rsidR="00F03152">
        <w:t xml:space="preserve">pleaded factual averments </w:t>
      </w:r>
      <w:r w:rsidRPr="00E10164">
        <w:t xml:space="preserve">that no recovery or relief is possible.  </w:t>
      </w:r>
      <w:proofErr w:type="gramStart"/>
      <w:r w:rsidRPr="00E10164">
        <w:rPr>
          <w:i/>
        </w:rPr>
        <w:t xml:space="preserve">P. J. S. v. Pa. State Ethics Commission, </w:t>
      </w:r>
      <w:r w:rsidRPr="00E10164">
        <w:t>669 A.2d 1105 (Pa. Cmwlth. 1996).</w:t>
      </w:r>
      <w:proofErr w:type="gramEnd"/>
      <w:r w:rsidRPr="00E10164">
        <w:t xml:space="preserve">  Any doubt must be resolved in favor of the non-moving party by refusing to sustain the preliminary objections.  </w:t>
      </w:r>
      <w:proofErr w:type="gramStart"/>
      <w:r w:rsidRPr="00E10164">
        <w:rPr>
          <w:i/>
        </w:rPr>
        <w:t xml:space="preserve">Boyd v. Ward, </w:t>
      </w:r>
      <w:r w:rsidRPr="00E10164">
        <w:t>802 A.2d 705 (Pa. Cmwlth. 2002).”</w:t>
      </w:r>
      <w:proofErr w:type="gramEnd"/>
      <w:r w:rsidRPr="00E10164">
        <w:t xml:space="preserve">  </w:t>
      </w:r>
      <w:proofErr w:type="gramStart"/>
      <w:r w:rsidRPr="00E10164">
        <w:rPr>
          <w:i/>
        </w:rPr>
        <w:t xml:space="preserve">Dept. of Auditor General, et al. v. State Employees’ Retirement System, et al., </w:t>
      </w:r>
      <w:r w:rsidRPr="00E10164">
        <w:t>836 A.2d 1053, 1064 (Pa. Cmwlth. 2003).</w:t>
      </w:r>
      <w:proofErr w:type="gramEnd"/>
      <w:r w:rsidRPr="00E10164">
        <w:t xml:space="preserve">  </w:t>
      </w:r>
      <w:r w:rsidRPr="00E10164">
        <w:rPr>
          <w:i/>
        </w:rPr>
        <w:t xml:space="preserve"> </w:t>
      </w:r>
    </w:p>
    <w:p w:rsidR="00D943C3" w:rsidRPr="00E10164" w:rsidRDefault="00D943C3" w:rsidP="00243FCB">
      <w:pPr>
        <w:jc w:val="both"/>
      </w:pPr>
    </w:p>
    <w:p w:rsidR="00D943C3" w:rsidRPr="00E10164" w:rsidRDefault="00D943C3" w:rsidP="00E10164">
      <w:pPr>
        <w:contextualSpacing/>
        <w:jc w:val="left"/>
      </w:pPr>
      <w:r w:rsidRPr="00E10164">
        <w:tab/>
      </w:r>
      <w:r w:rsidRPr="00E10164">
        <w:tab/>
        <w:t>4.</w:t>
      </w:r>
      <w:r w:rsidRPr="00E10164">
        <w:tab/>
      </w:r>
      <w:r w:rsidRPr="00E10164">
        <w:rPr>
          <w:i/>
        </w:rPr>
        <w:t xml:space="preserve"> </w:t>
      </w:r>
      <w:r w:rsidRPr="00E10164">
        <w:t xml:space="preserve">Jurisdiction relates solely to the competency of the particular court or administrative body to determine controversies of the general class to which the case then presented for its consideration belongs.  </w:t>
      </w:r>
      <w:proofErr w:type="gramStart"/>
      <w:r w:rsidRPr="00E10164">
        <w:rPr>
          <w:i/>
        </w:rPr>
        <w:t>Riedel v.</w:t>
      </w:r>
      <w:proofErr w:type="gramEnd"/>
      <w:r w:rsidRPr="00E10164">
        <w:rPr>
          <w:i/>
        </w:rPr>
        <w:t xml:space="preserve"> The Human Relations Comm’n </w:t>
      </w:r>
      <w:proofErr w:type="gramStart"/>
      <w:r w:rsidRPr="00E10164">
        <w:rPr>
          <w:i/>
        </w:rPr>
        <w:t>Of</w:t>
      </w:r>
      <w:proofErr w:type="gramEnd"/>
      <w:r w:rsidRPr="00E10164">
        <w:rPr>
          <w:i/>
        </w:rPr>
        <w:t xml:space="preserve"> the City Of Reading</w:t>
      </w:r>
      <w:r w:rsidRPr="00E10164">
        <w:t>, 559 Pa. 33; 39, 739 A.2d 121; 124 (1999).</w:t>
      </w:r>
    </w:p>
    <w:p w:rsidR="00D943C3" w:rsidRPr="00E10164" w:rsidRDefault="00D943C3" w:rsidP="00E10164">
      <w:pPr>
        <w:ind w:firstLine="1440"/>
        <w:contextualSpacing/>
        <w:jc w:val="left"/>
      </w:pPr>
    </w:p>
    <w:p w:rsidR="00D943C3" w:rsidRPr="00E10164" w:rsidRDefault="00D943C3" w:rsidP="00E10164">
      <w:pPr>
        <w:ind w:firstLine="1440"/>
        <w:jc w:val="left"/>
      </w:pPr>
      <w:r w:rsidRPr="00E10164">
        <w:t>5.</w:t>
      </w:r>
      <w:r w:rsidRPr="00E10164">
        <w:tab/>
        <w:t xml:space="preserve">The Commission must act within, and cannot exceed, its jurisdiction.  </w:t>
      </w:r>
      <w:r w:rsidRPr="00E10164">
        <w:rPr>
          <w:i/>
        </w:rPr>
        <w:t xml:space="preserve">City of Pittsburgh v. Pa. Public Utility </w:t>
      </w:r>
      <w:proofErr w:type="spellStart"/>
      <w:r w:rsidRPr="00E10164">
        <w:rPr>
          <w:i/>
        </w:rPr>
        <w:t>Comm’n</w:t>
      </w:r>
      <w:proofErr w:type="spellEnd"/>
      <w:r w:rsidRPr="00E10164">
        <w:t xml:space="preserve">, </w:t>
      </w:r>
      <w:proofErr w:type="gramStart"/>
      <w:r w:rsidRPr="00E10164">
        <w:t xml:space="preserve">157 </w:t>
      </w:r>
      <w:proofErr w:type="spellStart"/>
      <w:r w:rsidRPr="00E10164">
        <w:t>Pa.Super</w:t>
      </w:r>
      <w:proofErr w:type="spellEnd"/>
      <w:proofErr w:type="gramEnd"/>
      <w:r w:rsidRPr="00E10164">
        <w:t xml:space="preserve">. </w:t>
      </w:r>
      <w:proofErr w:type="gramStart"/>
      <w:r w:rsidRPr="00E10164">
        <w:t>595, 43 A.2d 348 (1945).</w:t>
      </w:r>
      <w:proofErr w:type="gramEnd"/>
    </w:p>
    <w:p w:rsidR="00D943C3" w:rsidRPr="00E10164" w:rsidRDefault="00D943C3" w:rsidP="00E10164">
      <w:pPr>
        <w:ind w:firstLine="1440"/>
        <w:jc w:val="left"/>
      </w:pPr>
    </w:p>
    <w:p w:rsidR="00D943C3" w:rsidRPr="00E10164" w:rsidRDefault="00D943C3" w:rsidP="00E10164">
      <w:pPr>
        <w:ind w:firstLine="1440"/>
        <w:jc w:val="left"/>
      </w:pPr>
      <w:r w:rsidRPr="00E10164">
        <w:t>6.</w:t>
      </w:r>
      <w:r w:rsidRPr="00E10164">
        <w:tab/>
        <w:t xml:space="preserve">Subject matter jurisdiction is a prerequisite to the exercise of the power to decide a controversy.  </w:t>
      </w:r>
      <w:r w:rsidRPr="00E10164">
        <w:rPr>
          <w:iCs/>
        </w:rPr>
        <w:t>Cf</w:t>
      </w:r>
      <w:r w:rsidRPr="00E10164">
        <w:t xml:space="preserve">., </w:t>
      </w:r>
      <w:r w:rsidRPr="00E10164">
        <w:rPr>
          <w:i/>
        </w:rPr>
        <w:t>Hughes v. Pa. State Police</w:t>
      </w:r>
      <w:r w:rsidRPr="00E10164">
        <w:t xml:space="preserve">, </w:t>
      </w:r>
      <w:proofErr w:type="gramStart"/>
      <w:r w:rsidRPr="00E10164">
        <w:t>152 Pa.Cmwlth</w:t>
      </w:r>
      <w:proofErr w:type="gramEnd"/>
      <w:r w:rsidRPr="00E10164">
        <w:t xml:space="preserve">. </w:t>
      </w:r>
      <w:proofErr w:type="gramStart"/>
      <w:r w:rsidRPr="00E10164">
        <w:t>409, 619 A.2d 390 (1992), app. denied, 536 Pa. 633, 637 A.2d 293 (1993).</w:t>
      </w:r>
      <w:proofErr w:type="gramEnd"/>
    </w:p>
    <w:p w:rsidR="00D943C3" w:rsidRPr="00E10164" w:rsidRDefault="00D943C3" w:rsidP="00E10164">
      <w:pPr>
        <w:ind w:firstLine="1440"/>
        <w:jc w:val="left"/>
      </w:pPr>
    </w:p>
    <w:p w:rsidR="00D943C3" w:rsidRPr="00E10164" w:rsidRDefault="00D943C3" w:rsidP="00E10164">
      <w:pPr>
        <w:ind w:firstLine="1440"/>
        <w:jc w:val="left"/>
      </w:pPr>
      <w:r w:rsidRPr="00E10164">
        <w:lastRenderedPageBreak/>
        <w:t>7.</w:t>
      </w:r>
      <w:r w:rsidRPr="00E10164">
        <w:tab/>
        <w:t xml:space="preserve">Jurisdiction may not be conferred by the parties where none exists.  </w:t>
      </w:r>
      <w:proofErr w:type="gramStart"/>
      <w:r w:rsidRPr="00E10164">
        <w:rPr>
          <w:i/>
        </w:rPr>
        <w:t xml:space="preserve">Roberts v. </w:t>
      </w:r>
      <w:proofErr w:type="spellStart"/>
      <w:r w:rsidRPr="00E10164">
        <w:rPr>
          <w:i/>
        </w:rPr>
        <w:t>Martorano</w:t>
      </w:r>
      <w:proofErr w:type="spellEnd"/>
      <w:r w:rsidRPr="00E10164">
        <w:t>, 427 Pa. 581, 235 A.2d 602 (1967).</w:t>
      </w:r>
      <w:proofErr w:type="gramEnd"/>
      <w:r w:rsidRPr="00E10164">
        <w:t xml:space="preserve">  Neither silence nor agreement of the parties will confer jurisdiction where it otherwise would not exist, </w:t>
      </w:r>
      <w:r w:rsidRPr="00E10164">
        <w:rPr>
          <w:i/>
        </w:rPr>
        <w:t xml:space="preserve">Commonwealth v. </w:t>
      </w:r>
      <w:proofErr w:type="spellStart"/>
      <w:r w:rsidRPr="00E10164">
        <w:rPr>
          <w:i/>
        </w:rPr>
        <w:t>VanBuskirk</w:t>
      </w:r>
      <w:proofErr w:type="spellEnd"/>
      <w:r w:rsidRPr="00E10164">
        <w:t xml:space="preserve">, 303 </w:t>
      </w:r>
      <w:proofErr w:type="spellStart"/>
      <w:r w:rsidRPr="00E10164">
        <w:t>Pa.Super</w:t>
      </w:r>
      <w:proofErr w:type="spellEnd"/>
      <w:r w:rsidRPr="00E10164">
        <w:t xml:space="preserve">. 148, 449 A.2d 621 (1982), nor can jurisdiction be obtained by waiver or estoppel, </w:t>
      </w:r>
      <w:r w:rsidRPr="00E10164">
        <w:rPr>
          <w:i/>
        </w:rPr>
        <w:t>Scott v. Bristol Twp. Police Dep’t</w:t>
      </w:r>
      <w:r w:rsidRPr="00E10164">
        <w:t>, 669 A.2d 457 (Pa.Cmwlth. 1995).</w:t>
      </w:r>
    </w:p>
    <w:p w:rsidR="00D943C3" w:rsidRPr="00E10164" w:rsidRDefault="00D943C3" w:rsidP="00E10164">
      <w:pPr>
        <w:ind w:firstLine="1440"/>
        <w:jc w:val="left"/>
      </w:pPr>
    </w:p>
    <w:p w:rsidR="00D943C3" w:rsidRPr="00E10164" w:rsidRDefault="00D943C3" w:rsidP="00E10164">
      <w:pPr>
        <w:ind w:firstLine="1440"/>
        <w:jc w:val="left"/>
      </w:pPr>
      <w:r w:rsidRPr="00E10164">
        <w:t>8.</w:t>
      </w:r>
      <w:r w:rsidRPr="00E10164">
        <w:tab/>
        <w:t>Acting under the authority and power granted in the Municipal Claim and Tax Lien Law, 53 P.S. § 7101 et seq., the City files a lien to enforce municipal claims against property for unpaid natural gas service rendered by respondent at a specific property.</w:t>
      </w:r>
    </w:p>
    <w:p w:rsidR="00D943C3" w:rsidRPr="00E10164" w:rsidRDefault="00D943C3" w:rsidP="00E10164">
      <w:pPr>
        <w:ind w:firstLine="1440"/>
        <w:jc w:val="left"/>
      </w:pPr>
    </w:p>
    <w:p w:rsidR="00D943C3" w:rsidRPr="00E10164" w:rsidRDefault="00D943C3" w:rsidP="00E10164">
      <w:pPr>
        <w:ind w:firstLine="1440"/>
        <w:jc w:val="left"/>
      </w:pPr>
      <w:r w:rsidRPr="00E10164">
        <w:t>9.</w:t>
      </w:r>
      <w:r w:rsidRPr="00E10164">
        <w:tab/>
        <w:t xml:space="preserve">Only the City, being a municipality, can file a municipal lien.  Respondent is a municipal utility that is wholly owned by the City.  Respondent consists only of the real and personal assets that are used to manufacture and deliver natural gas to entities within the City’s borders.  </w:t>
      </w:r>
      <w:proofErr w:type="gramStart"/>
      <w:r w:rsidRPr="00E10164">
        <w:rPr>
          <w:i/>
        </w:rPr>
        <w:t>Public Advocate v. Philadelphia Gas Comm’n</w:t>
      </w:r>
      <w:r w:rsidRPr="00E10164">
        <w:t>, 544 Pa. 129, 674 A.2d 1056 (1996).</w:t>
      </w:r>
      <w:proofErr w:type="gramEnd"/>
    </w:p>
    <w:p w:rsidR="00D943C3" w:rsidRPr="00E10164" w:rsidRDefault="00D943C3" w:rsidP="00E10164">
      <w:pPr>
        <w:ind w:firstLine="1440"/>
        <w:jc w:val="left"/>
      </w:pPr>
    </w:p>
    <w:p w:rsidR="00D943C3" w:rsidRPr="00E10164" w:rsidRDefault="00D943C3" w:rsidP="00E10164">
      <w:pPr>
        <w:ind w:firstLine="1440"/>
        <w:jc w:val="left"/>
      </w:pPr>
      <w:r w:rsidRPr="00E10164">
        <w:t>10.</w:t>
      </w:r>
      <w:r w:rsidRPr="00E10164">
        <w:tab/>
        <w:t>Respondent does not meet the legal definition of an entity authorized to file a lien to enforce a municipal claim as set forth in the Municipal Claim and Tax Lien Law.  See, 53 P.S. § 7101.  Consequently, when respondent provides natural gas service to an entity within the borders of the City and is not paid, it is the City that has a municipal claim which it can enforce by way of a lien on the property that was provided natural gas service.</w:t>
      </w:r>
    </w:p>
    <w:p w:rsidR="00D943C3" w:rsidRPr="00E10164" w:rsidRDefault="00D943C3" w:rsidP="00E10164">
      <w:pPr>
        <w:ind w:firstLine="1440"/>
        <w:jc w:val="left"/>
      </w:pPr>
    </w:p>
    <w:p w:rsidR="00D943C3" w:rsidRPr="00E10164" w:rsidRDefault="00D943C3" w:rsidP="00E10164">
      <w:pPr>
        <w:ind w:firstLine="1440"/>
        <w:jc w:val="left"/>
      </w:pPr>
      <w:r w:rsidRPr="00E10164">
        <w:t>11.</w:t>
      </w:r>
      <w:r w:rsidRPr="00E10164">
        <w:tab/>
        <w:t xml:space="preserve">The procedure which the City must follow to establish a lien on a specific property, such as the Premises, is set forth in the Municipal Claim and Tax Lien Law.  See, 53 P.S. §§ 7106(b), (c), 7143.  The lien is docketed with the Prothonotary (a clerk of the court) and maintained in an in rem index (an index maintained by property identification rather than by party name).  See, 53 P.S. § 7106(b).  </w:t>
      </w:r>
    </w:p>
    <w:p w:rsidR="00D943C3" w:rsidRPr="00E10164" w:rsidRDefault="00D943C3" w:rsidP="00E10164">
      <w:pPr>
        <w:ind w:firstLine="1440"/>
        <w:jc w:val="left"/>
      </w:pPr>
    </w:p>
    <w:p w:rsidR="00C0306B" w:rsidRPr="00E10164" w:rsidRDefault="00D943C3" w:rsidP="00E10164">
      <w:pPr>
        <w:ind w:firstLine="1440"/>
        <w:jc w:val="left"/>
      </w:pPr>
      <w:r w:rsidRPr="00E10164">
        <w:t>12.</w:t>
      </w:r>
      <w:r w:rsidRPr="00E10164">
        <w:tab/>
        <w:t xml:space="preserve">Enforcement of the lien is a judicial procedure controlled by the Court of Common Pleas, with due process safeguards provided to protect the rights of interested parties.  See, </w:t>
      </w:r>
      <w:r w:rsidRPr="00E10164">
        <w:rPr>
          <w:i/>
        </w:rPr>
        <w:t>Newberry Twp. v. Stambaugh</w:t>
      </w:r>
      <w:r w:rsidRPr="00E10164">
        <w:t xml:space="preserve">, 848 A.2d 173 (Pa.Cmwlth. 2004), app. denied, 580 Pa. 708, </w:t>
      </w:r>
      <w:r w:rsidRPr="00E10164">
        <w:lastRenderedPageBreak/>
        <w:t xml:space="preserve">860 A.2d 491 (2004), 53 P.S. §§ 7106(c), 7283.  Ultimate recovery of the amount of the municipal claims resulting in the lien is effectuated by a court ordered sheriff’s sale.  </w:t>
      </w:r>
      <w:proofErr w:type="gramStart"/>
      <w:r w:rsidRPr="00E10164">
        <w:t>53 P.S.</w:t>
      </w:r>
      <w:proofErr w:type="gramEnd"/>
      <w:r w:rsidRPr="00E10164">
        <w:t xml:space="preserve"> </w:t>
      </w:r>
    </w:p>
    <w:p w:rsidR="00D943C3" w:rsidRPr="00E10164" w:rsidRDefault="00D943C3" w:rsidP="00E10164">
      <w:pPr>
        <w:jc w:val="left"/>
      </w:pPr>
      <w:r w:rsidRPr="00E10164">
        <w:t>§ 7283.</w:t>
      </w:r>
    </w:p>
    <w:p w:rsidR="00D943C3" w:rsidRPr="00E10164" w:rsidRDefault="00D943C3" w:rsidP="00E10164">
      <w:pPr>
        <w:ind w:firstLine="1440"/>
        <w:jc w:val="left"/>
      </w:pPr>
    </w:p>
    <w:p w:rsidR="00D943C3" w:rsidRPr="00E10164" w:rsidRDefault="00D943C3" w:rsidP="00E10164">
      <w:pPr>
        <w:ind w:firstLine="1440"/>
        <w:jc w:val="left"/>
      </w:pPr>
      <w:r w:rsidRPr="00E10164">
        <w:t>13.</w:t>
      </w:r>
      <w:r w:rsidRPr="00E10164">
        <w:tab/>
        <w:t xml:space="preserve">The proceeding to obtain and enforce the City’s municipal claim lien is an in rem proceeding.  “Accordingly, the lien is either valid or invalid as to the property in question rather than as to the respective property interests involved.”  </w:t>
      </w:r>
      <w:r w:rsidRPr="00E10164">
        <w:rPr>
          <w:i/>
        </w:rPr>
        <w:t xml:space="preserve">Borough of Towanda v. </w:t>
      </w:r>
      <w:proofErr w:type="spellStart"/>
      <w:r w:rsidRPr="00E10164">
        <w:rPr>
          <w:i/>
        </w:rPr>
        <w:t>Brannaka</w:t>
      </w:r>
      <w:proofErr w:type="spellEnd"/>
      <w:r w:rsidRPr="00E10164">
        <w:t xml:space="preserve">, </w:t>
      </w:r>
      <w:proofErr w:type="gramStart"/>
      <w:r w:rsidRPr="00E10164">
        <w:t xml:space="preserve">61 </w:t>
      </w:r>
      <w:proofErr w:type="spellStart"/>
      <w:r w:rsidRPr="00E10164">
        <w:t>Pa.Cmwlth</w:t>
      </w:r>
      <w:proofErr w:type="spellEnd"/>
      <w:proofErr w:type="gramEnd"/>
      <w:r w:rsidRPr="00E10164">
        <w:t xml:space="preserve">. </w:t>
      </w:r>
      <w:proofErr w:type="gramStart"/>
      <w:r w:rsidRPr="00E10164">
        <w:t>622; 625-626, 434 A.2d 889; 891 (1981).</w:t>
      </w:r>
      <w:proofErr w:type="gramEnd"/>
      <w:r w:rsidRPr="00E10164">
        <w:t xml:space="preserve">  </w:t>
      </w:r>
    </w:p>
    <w:p w:rsidR="00D943C3" w:rsidRPr="00E10164" w:rsidRDefault="00D943C3" w:rsidP="00E10164">
      <w:pPr>
        <w:ind w:firstLine="1440"/>
        <w:jc w:val="left"/>
      </w:pPr>
    </w:p>
    <w:p w:rsidR="00D943C3" w:rsidRPr="00E10164" w:rsidRDefault="00D943C3" w:rsidP="00E10164">
      <w:pPr>
        <w:ind w:firstLine="1440"/>
        <w:jc w:val="left"/>
      </w:pPr>
      <w:r w:rsidRPr="00E10164">
        <w:t>14.</w:t>
      </w:r>
      <w:r w:rsidRPr="00E10164">
        <w:tab/>
        <w:t xml:space="preserve">The Premises, not complainant nor </w:t>
      </w:r>
      <w:r w:rsidR="00130391">
        <w:t>their</w:t>
      </w:r>
      <w:r w:rsidRPr="00E10164">
        <w:t xml:space="preserve"> </w:t>
      </w:r>
      <w:proofErr w:type="gramStart"/>
      <w:r w:rsidR="00130391" w:rsidRPr="00E10164">
        <w:t>tenant</w:t>
      </w:r>
      <w:r w:rsidR="00130391">
        <w:t>,</w:t>
      </w:r>
      <w:proofErr w:type="gramEnd"/>
      <w:r w:rsidRPr="00E10164">
        <w:t xml:space="preserve"> is responsible for satisfying the claim secured by the municipal lien.  No personal responsibility is asserted against the complainant by the filing of the lien on the Premises.  </w:t>
      </w:r>
      <w:proofErr w:type="gramStart"/>
      <w:r w:rsidRPr="00E10164">
        <w:rPr>
          <w:i/>
        </w:rPr>
        <w:t>Philadelphia v. Northwood Textile Mills, Inc.</w:t>
      </w:r>
      <w:r w:rsidRPr="00E10164">
        <w:t>, 395 Pa. 112, 149 A.2d 60 (1959).</w:t>
      </w:r>
      <w:proofErr w:type="gramEnd"/>
      <w:r w:rsidRPr="00E10164">
        <w:t xml:space="preserve">  See, also, </w:t>
      </w:r>
      <w:r w:rsidRPr="00E10164">
        <w:rPr>
          <w:i/>
        </w:rPr>
        <w:t>Ransom v. Marrazzo</w:t>
      </w:r>
      <w:r w:rsidRPr="00E10164">
        <w:t xml:space="preserve">, 848 F.2d 398 (3d Cir. 1988).  </w:t>
      </w:r>
    </w:p>
    <w:p w:rsidR="00D943C3" w:rsidRPr="00E10164" w:rsidRDefault="00D943C3" w:rsidP="00E10164">
      <w:pPr>
        <w:ind w:firstLine="1440"/>
        <w:jc w:val="left"/>
      </w:pPr>
    </w:p>
    <w:p w:rsidR="00D943C3" w:rsidRPr="00E10164" w:rsidRDefault="00D943C3" w:rsidP="00E10164">
      <w:pPr>
        <w:ind w:firstLine="1440"/>
        <w:jc w:val="left"/>
      </w:pPr>
      <w:r w:rsidRPr="00E10164">
        <w:t>15.</w:t>
      </w:r>
      <w:r w:rsidRPr="00E10164">
        <w:tab/>
        <w:t>The proceeding for the effectuation of and defense to the statutory lien of the City is within the jurisdiction of the Court of Common Pleas of Philadelphia County, not the Commission.  Municipal lien proceedings are exclusively matters of judicial, not administrative, jurisdiction.</w:t>
      </w:r>
    </w:p>
    <w:p w:rsidR="00D943C3" w:rsidRPr="00E10164" w:rsidRDefault="00D943C3" w:rsidP="00E10164">
      <w:pPr>
        <w:ind w:firstLine="1440"/>
        <w:jc w:val="left"/>
      </w:pPr>
    </w:p>
    <w:p w:rsidR="00C0306B" w:rsidRPr="00E10164" w:rsidRDefault="00D943C3" w:rsidP="00E10164">
      <w:pPr>
        <w:ind w:firstLine="1440"/>
        <w:jc w:val="left"/>
      </w:pPr>
      <w:r w:rsidRPr="00E10164">
        <w:t>16.</w:t>
      </w:r>
      <w:r w:rsidRPr="00E10164">
        <w:tab/>
        <w:t xml:space="preserve">As to the lien proceeding, there is no public utility involved.  In obtaining a municipal lien upon the Premises, the City is acting in its capacity as a municipality only.  The Commission is given jurisdiction over public utilities by the Public Utility Code, 66 </w:t>
      </w:r>
      <w:proofErr w:type="spellStart"/>
      <w:r w:rsidRPr="00E10164">
        <w:t>Pa.C.S.A</w:t>
      </w:r>
      <w:proofErr w:type="spellEnd"/>
      <w:r w:rsidRPr="00E10164">
        <w:t xml:space="preserve">. </w:t>
      </w:r>
    </w:p>
    <w:p w:rsidR="00D943C3" w:rsidRPr="00E10164" w:rsidRDefault="00D943C3" w:rsidP="00E10164">
      <w:pPr>
        <w:jc w:val="left"/>
      </w:pPr>
      <w:proofErr w:type="gramStart"/>
      <w:r w:rsidRPr="00E10164">
        <w:t>§ 101 et seq., not over municipalities acting in their municipal capacity.</w:t>
      </w:r>
      <w:proofErr w:type="gramEnd"/>
    </w:p>
    <w:p w:rsidR="00D943C3" w:rsidRPr="00E10164" w:rsidRDefault="00D943C3" w:rsidP="00E10164">
      <w:pPr>
        <w:ind w:firstLine="1440"/>
        <w:jc w:val="left"/>
      </w:pPr>
    </w:p>
    <w:p w:rsidR="00D943C3" w:rsidRPr="00E10164" w:rsidRDefault="00D943C3" w:rsidP="00130391">
      <w:pPr>
        <w:ind w:firstLine="1440"/>
        <w:jc w:val="left"/>
      </w:pPr>
      <w:r w:rsidRPr="00E10164">
        <w:t>17.</w:t>
      </w:r>
      <w:r w:rsidRPr="00E10164">
        <w:tab/>
        <w:t xml:space="preserve">The Commission has repeatedly recognized its lack of subject matter jurisdiction in cases involving a dispute over a municipal lien placed upon a property.  </w:t>
      </w:r>
      <w:r w:rsidRPr="00E10164">
        <w:rPr>
          <w:i/>
        </w:rPr>
        <w:t xml:space="preserve">Cornelia </w:t>
      </w:r>
      <w:proofErr w:type="spellStart"/>
      <w:r w:rsidRPr="00E10164">
        <w:rPr>
          <w:i/>
        </w:rPr>
        <w:t>Strowder</w:t>
      </w:r>
      <w:proofErr w:type="spellEnd"/>
      <w:r w:rsidRPr="00E10164">
        <w:rPr>
          <w:i/>
        </w:rPr>
        <w:t xml:space="preserve"> v. Philadelphia Gas Works</w:t>
      </w:r>
      <w:r w:rsidRPr="00E10164">
        <w:t>, 2002 WL 32069511 (2002) (</w:t>
      </w:r>
      <w:proofErr w:type="spellStart"/>
      <w:r w:rsidRPr="00E10164">
        <w:rPr>
          <w:i/>
        </w:rPr>
        <w:t>Strowder</w:t>
      </w:r>
      <w:proofErr w:type="spellEnd"/>
      <w:r w:rsidR="00130391">
        <w:t>);</w:t>
      </w:r>
      <w:r w:rsidRPr="00E10164">
        <w:t xml:space="preserve"> </w:t>
      </w:r>
      <w:r w:rsidRPr="00E10164">
        <w:rPr>
          <w:i/>
        </w:rPr>
        <w:t>Debra Williams Lawrence v. Philadelphia Gas Works</w:t>
      </w:r>
      <w:r w:rsidRPr="00E10164">
        <w:t>, Docket Number C-20066672, Final Order entered Januar</w:t>
      </w:r>
      <w:r w:rsidR="00F03152">
        <w:t>y </w:t>
      </w:r>
      <w:r w:rsidRPr="00E10164">
        <w:t>22, 2007 (</w:t>
      </w:r>
      <w:r w:rsidRPr="00E10164">
        <w:rPr>
          <w:i/>
        </w:rPr>
        <w:t>Lawrence</w:t>
      </w:r>
      <w:r w:rsidR="00130391">
        <w:t>);</w:t>
      </w:r>
      <w:r w:rsidRPr="00E10164">
        <w:t xml:space="preserve"> </w:t>
      </w:r>
      <w:r w:rsidRPr="00E10164">
        <w:rPr>
          <w:i/>
        </w:rPr>
        <w:t>Tina L. Francis-Young v. Philadelphia Gas Works</w:t>
      </w:r>
      <w:r w:rsidRPr="00E10164">
        <w:t xml:space="preserve">, Docket </w:t>
      </w:r>
      <w:r w:rsidR="00C32610">
        <w:t xml:space="preserve">Number </w:t>
      </w:r>
      <w:r w:rsidRPr="00E10164">
        <w:t>C-2008-2029672, Final Order entered February 23, 2009 (</w:t>
      </w:r>
      <w:r w:rsidRPr="00E10164">
        <w:rPr>
          <w:i/>
        </w:rPr>
        <w:t>Young</w:t>
      </w:r>
      <w:r w:rsidR="00130391">
        <w:t>);</w:t>
      </w:r>
      <w:r w:rsidRPr="00E10164">
        <w:t xml:space="preserve"> </w:t>
      </w:r>
      <w:r w:rsidRPr="00E10164">
        <w:rPr>
          <w:i/>
        </w:rPr>
        <w:t xml:space="preserve">Dung </w:t>
      </w:r>
      <w:proofErr w:type="spellStart"/>
      <w:r w:rsidRPr="00E10164">
        <w:rPr>
          <w:i/>
        </w:rPr>
        <w:t>Phat</w:t>
      </w:r>
      <w:proofErr w:type="spellEnd"/>
      <w:r w:rsidRPr="00E10164">
        <w:rPr>
          <w:i/>
        </w:rPr>
        <w:t xml:space="preserve">, LLC v. </w:t>
      </w:r>
      <w:r w:rsidRPr="00E10164">
        <w:rPr>
          <w:i/>
        </w:rPr>
        <w:lastRenderedPageBreak/>
        <w:t>Philadelphia Gas Works</w:t>
      </w:r>
      <w:r w:rsidRPr="00E10164">
        <w:t xml:space="preserve">, Docket Number C-2009-2135667, </w:t>
      </w:r>
      <w:r w:rsidR="00B160D8">
        <w:t>Final Order entered January 13, </w:t>
      </w:r>
      <w:r w:rsidRPr="00E10164">
        <w:t>2010 (</w:t>
      </w:r>
      <w:r w:rsidRPr="00E10164">
        <w:rPr>
          <w:i/>
        </w:rPr>
        <w:t xml:space="preserve">Dung </w:t>
      </w:r>
      <w:proofErr w:type="spellStart"/>
      <w:r w:rsidRPr="00E10164">
        <w:rPr>
          <w:i/>
        </w:rPr>
        <w:t>Phat</w:t>
      </w:r>
      <w:proofErr w:type="spellEnd"/>
      <w:r w:rsidR="00130391">
        <w:t>);</w:t>
      </w:r>
      <w:r w:rsidRPr="00E10164">
        <w:t xml:space="preserve"> </w:t>
      </w:r>
      <w:r w:rsidRPr="00E10164">
        <w:rPr>
          <w:i/>
        </w:rPr>
        <w:t>David Golan v. Philadelphia Gas Works</w:t>
      </w:r>
      <w:r w:rsidR="00B160D8">
        <w:t>, Docket Number C</w:t>
      </w:r>
      <w:r w:rsidR="00B160D8">
        <w:noBreakHyphen/>
      </w:r>
      <w:r w:rsidRPr="00E10164">
        <w:t>2009-2138115, Final Order entered February 4, 2010 (</w:t>
      </w:r>
      <w:r w:rsidRPr="00E10164">
        <w:rPr>
          <w:i/>
        </w:rPr>
        <w:t>Golan</w:t>
      </w:r>
      <w:r w:rsidR="00130391">
        <w:t>);</w:t>
      </w:r>
      <w:r w:rsidRPr="00E10164">
        <w:t xml:space="preserve"> </w:t>
      </w:r>
      <w:r w:rsidRPr="00E10164">
        <w:rPr>
          <w:i/>
        </w:rPr>
        <w:t xml:space="preserve">2020 West </w:t>
      </w:r>
      <w:proofErr w:type="spellStart"/>
      <w:r w:rsidRPr="00E10164">
        <w:rPr>
          <w:i/>
        </w:rPr>
        <w:t>Passyunk</w:t>
      </w:r>
      <w:proofErr w:type="spellEnd"/>
      <w:r w:rsidRPr="00E10164">
        <w:rPr>
          <w:i/>
        </w:rPr>
        <w:t xml:space="preserve"> Avenue Inc. v. Philadelphia Gas Works</w:t>
      </w:r>
      <w:r w:rsidRPr="00E10164">
        <w:t>, Docket Number C-2009-213872</w:t>
      </w:r>
      <w:r w:rsidR="00B160D8">
        <w:t>7, Final Order entered February </w:t>
      </w:r>
      <w:r w:rsidRPr="00E10164">
        <w:t>4, 2010 (</w:t>
      </w:r>
      <w:r w:rsidRPr="00E10164">
        <w:rPr>
          <w:i/>
        </w:rPr>
        <w:t xml:space="preserve">2020 West </w:t>
      </w:r>
      <w:proofErr w:type="spellStart"/>
      <w:r w:rsidRPr="00E10164">
        <w:rPr>
          <w:i/>
        </w:rPr>
        <w:t>Passyunk</w:t>
      </w:r>
      <w:proofErr w:type="spellEnd"/>
      <w:r w:rsidR="00130391">
        <w:t>);</w:t>
      </w:r>
      <w:r w:rsidRPr="00E10164">
        <w:t xml:space="preserve"> </w:t>
      </w:r>
      <w:r w:rsidRPr="00E10164">
        <w:rPr>
          <w:i/>
        </w:rPr>
        <w:t>Jean Charles v. Philadelphia Gas Works</w:t>
      </w:r>
      <w:r w:rsidRPr="00E10164">
        <w:t>, Docket Number C-2009-2138638, Final Order entered February 5, 2010 (</w:t>
      </w:r>
      <w:r w:rsidRPr="00E10164">
        <w:rPr>
          <w:i/>
        </w:rPr>
        <w:t>Charles</w:t>
      </w:r>
      <w:r w:rsidRPr="00E10164">
        <w:t>).</w:t>
      </w:r>
    </w:p>
    <w:p w:rsidR="00D943C3" w:rsidRPr="00E10164" w:rsidRDefault="00D943C3" w:rsidP="00E10164">
      <w:pPr>
        <w:ind w:firstLine="1440"/>
        <w:jc w:val="left"/>
      </w:pPr>
    </w:p>
    <w:p w:rsidR="00D943C3" w:rsidRPr="00E10164" w:rsidRDefault="00D943C3" w:rsidP="00E10164">
      <w:pPr>
        <w:ind w:firstLine="1440"/>
        <w:jc w:val="left"/>
      </w:pPr>
      <w:r w:rsidRPr="00E10164">
        <w:t>18.</w:t>
      </w:r>
      <w:r w:rsidRPr="00E10164">
        <w:tab/>
        <w:t>The Commission cannot require that the utility waive the amount of arrearage which is the subject of a municipal lien.</w:t>
      </w:r>
    </w:p>
    <w:p w:rsidR="00D943C3" w:rsidRPr="00E10164" w:rsidRDefault="00D943C3" w:rsidP="00E10164">
      <w:pPr>
        <w:jc w:val="left"/>
      </w:pPr>
    </w:p>
    <w:p w:rsidR="00D943C3" w:rsidRPr="00E10164" w:rsidRDefault="00D943C3" w:rsidP="00E10164">
      <w:pPr>
        <w:contextualSpacing/>
        <w:rPr>
          <w:u w:val="single"/>
        </w:rPr>
      </w:pPr>
      <w:r w:rsidRPr="00E10164">
        <w:rPr>
          <w:u w:val="single"/>
        </w:rPr>
        <w:t>ORDER</w:t>
      </w:r>
    </w:p>
    <w:p w:rsidR="00D943C3" w:rsidRDefault="00D943C3" w:rsidP="00E10164">
      <w:pPr>
        <w:contextualSpacing/>
        <w:rPr>
          <w:u w:val="single"/>
        </w:rPr>
      </w:pPr>
    </w:p>
    <w:p w:rsidR="00B160D8" w:rsidRPr="00E10164" w:rsidRDefault="00B160D8" w:rsidP="00E10164">
      <w:pPr>
        <w:contextualSpacing/>
        <w:rPr>
          <w:u w:val="single"/>
        </w:rPr>
      </w:pPr>
    </w:p>
    <w:p w:rsidR="00D943C3" w:rsidRPr="00E10164" w:rsidRDefault="00D943C3" w:rsidP="00E10164">
      <w:pPr>
        <w:contextualSpacing/>
        <w:jc w:val="left"/>
      </w:pPr>
      <w:r w:rsidRPr="00E10164">
        <w:tab/>
      </w:r>
      <w:r w:rsidRPr="00E10164">
        <w:tab/>
        <w:t>THEREFORE,</w:t>
      </w:r>
    </w:p>
    <w:p w:rsidR="00D943C3" w:rsidRPr="00E10164" w:rsidRDefault="00D943C3" w:rsidP="00E10164">
      <w:pPr>
        <w:contextualSpacing/>
        <w:jc w:val="left"/>
      </w:pPr>
    </w:p>
    <w:p w:rsidR="00D943C3" w:rsidRPr="00E10164" w:rsidRDefault="00D943C3" w:rsidP="00E10164">
      <w:pPr>
        <w:contextualSpacing/>
        <w:jc w:val="left"/>
      </w:pPr>
      <w:r w:rsidRPr="00E10164">
        <w:tab/>
      </w:r>
      <w:r w:rsidRPr="00E10164">
        <w:tab/>
        <w:t>IT IS ORDERED:</w:t>
      </w:r>
    </w:p>
    <w:p w:rsidR="00D943C3" w:rsidRPr="00E10164" w:rsidRDefault="00D943C3" w:rsidP="00E10164">
      <w:pPr>
        <w:contextualSpacing/>
        <w:jc w:val="left"/>
      </w:pPr>
    </w:p>
    <w:p w:rsidR="00D943C3" w:rsidRPr="00E10164" w:rsidRDefault="00D943C3" w:rsidP="00E10164">
      <w:pPr>
        <w:contextualSpacing/>
        <w:jc w:val="left"/>
      </w:pPr>
      <w:r w:rsidRPr="00E10164">
        <w:tab/>
      </w:r>
      <w:r w:rsidRPr="00E10164">
        <w:tab/>
        <w:t>1.</w:t>
      </w:r>
      <w:r w:rsidRPr="00E10164">
        <w:tab/>
        <w:t xml:space="preserve">That the Preliminary Objections of Philadelphia Gas Works filed in the case captioned </w:t>
      </w:r>
      <w:proofErr w:type="spellStart"/>
      <w:r w:rsidR="00C0306B" w:rsidRPr="00E10164">
        <w:rPr>
          <w:i/>
        </w:rPr>
        <w:t>Avner</w:t>
      </w:r>
      <w:proofErr w:type="spellEnd"/>
      <w:r w:rsidR="00C0306B" w:rsidRPr="00E10164">
        <w:rPr>
          <w:i/>
        </w:rPr>
        <w:t xml:space="preserve"> and Gail </w:t>
      </w:r>
      <w:proofErr w:type="spellStart"/>
      <w:r w:rsidR="00C0306B" w:rsidRPr="00E10164">
        <w:rPr>
          <w:i/>
        </w:rPr>
        <w:t>Yamin</w:t>
      </w:r>
      <w:proofErr w:type="spellEnd"/>
      <w:r w:rsidRPr="00E10164">
        <w:rPr>
          <w:i/>
        </w:rPr>
        <w:t xml:space="preserve"> v. Philadelphia Gas Works, </w:t>
      </w:r>
      <w:r w:rsidRPr="00E10164">
        <w:t>Docket No. C-201</w:t>
      </w:r>
      <w:r w:rsidR="00C0306B" w:rsidRPr="00E10164">
        <w:t>1</w:t>
      </w:r>
      <w:r w:rsidRPr="00E10164">
        <w:t>-222</w:t>
      </w:r>
      <w:r w:rsidR="00C0306B" w:rsidRPr="00E10164">
        <w:t>1883</w:t>
      </w:r>
      <w:r w:rsidRPr="00E10164">
        <w:t>, are granted.</w:t>
      </w:r>
    </w:p>
    <w:p w:rsidR="00D943C3" w:rsidRPr="00E10164" w:rsidRDefault="00D943C3" w:rsidP="00E10164">
      <w:pPr>
        <w:contextualSpacing/>
        <w:jc w:val="left"/>
      </w:pPr>
    </w:p>
    <w:p w:rsidR="00D943C3" w:rsidRPr="00E10164" w:rsidRDefault="00D943C3" w:rsidP="00E10164">
      <w:pPr>
        <w:contextualSpacing/>
        <w:jc w:val="left"/>
      </w:pPr>
      <w:r w:rsidRPr="00E10164">
        <w:tab/>
      </w:r>
      <w:r w:rsidRPr="00E10164">
        <w:tab/>
        <w:t>2.</w:t>
      </w:r>
      <w:r w:rsidRPr="00E10164">
        <w:tab/>
        <w:t xml:space="preserve">That the Complaint filed by </w:t>
      </w:r>
      <w:proofErr w:type="spellStart"/>
      <w:r w:rsidR="00C0306B" w:rsidRPr="00E10164">
        <w:t>Avner</w:t>
      </w:r>
      <w:proofErr w:type="spellEnd"/>
      <w:r w:rsidR="00C0306B" w:rsidRPr="00E10164">
        <w:t xml:space="preserve"> and Gail </w:t>
      </w:r>
      <w:proofErr w:type="spellStart"/>
      <w:r w:rsidR="00C0306B" w:rsidRPr="00E10164">
        <w:t>Yamin</w:t>
      </w:r>
      <w:proofErr w:type="spellEnd"/>
      <w:r w:rsidRPr="00E10164">
        <w:t xml:space="preserve"> against Philadelphia Gas Works at Docket No. C-201</w:t>
      </w:r>
      <w:r w:rsidR="00C0306B" w:rsidRPr="00E10164">
        <w:t>1-</w:t>
      </w:r>
      <w:proofErr w:type="gramStart"/>
      <w:r w:rsidR="00C0306B" w:rsidRPr="00E10164">
        <w:t>22</w:t>
      </w:r>
      <w:r w:rsidRPr="00E10164">
        <w:t>2</w:t>
      </w:r>
      <w:r w:rsidR="00C0306B" w:rsidRPr="00E10164">
        <w:t>1883</w:t>
      </w:r>
      <w:r w:rsidRPr="00E10164">
        <w:t>,</w:t>
      </w:r>
      <w:proofErr w:type="gramEnd"/>
      <w:r w:rsidRPr="00E10164">
        <w:t xml:space="preserve"> is dismissed.</w:t>
      </w:r>
    </w:p>
    <w:p w:rsidR="00D943C3" w:rsidRPr="00E10164" w:rsidRDefault="00D943C3" w:rsidP="00E10164">
      <w:pPr>
        <w:contextualSpacing/>
        <w:jc w:val="left"/>
      </w:pPr>
    </w:p>
    <w:p w:rsidR="00D943C3" w:rsidRPr="00E10164" w:rsidRDefault="00D943C3" w:rsidP="00E10164">
      <w:pPr>
        <w:contextualSpacing/>
        <w:jc w:val="left"/>
      </w:pPr>
      <w:r w:rsidRPr="00E10164">
        <w:tab/>
      </w:r>
      <w:r w:rsidRPr="00E10164">
        <w:tab/>
        <w:t>3.</w:t>
      </w:r>
      <w:r w:rsidRPr="00E10164">
        <w:tab/>
        <w:t xml:space="preserve">That the Secretary </w:t>
      </w:r>
      <w:proofErr w:type="gramStart"/>
      <w:r w:rsidRPr="00E10164">
        <w:t>mark</w:t>
      </w:r>
      <w:proofErr w:type="gramEnd"/>
      <w:r w:rsidRPr="00E10164">
        <w:t xml:space="preserve"> this docket closed.</w:t>
      </w:r>
    </w:p>
    <w:p w:rsidR="00D943C3" w:rsidRDefault="00D943C3" w:rsidP="00E10164">
      <w:pPr>
        <w:contextualSpacing/>
        <w:jc w:val="left"/>
      </w:pPr>
    </w:p>
    <w:p w:rsidR="00130391" w:rsidRPr="00E10164" w:rsidRDefault="00130391" w:rsidP="00E10164">
      <w:pPr>
        <w:contextualSpacing/>
        <w:jc w:val="left"/>
      </w:pPr>
    </w:p>
    <w:p w:rsidR="00D943C3" w:rsidRPr="00E10164" w:rsidRDefault="00D943C3" w:rsidP="00E10164">
      <w:pPr>
        <w:spacing w:line="240" w:lineRule="auto"/>
        <w:contextualSpacing/>
        <w:jc w:val="left"/>
      </w:pPr>
      <w:r w:rsidRPr="00E10164">
        <w:t>Dated:</w:t>
      </w:r>
      <w:r w:rsidRPr="00E10164">
        <w:tab/>
      </w:r>
      <w:r w:rsidR="00C0306B" w:rsidRPr="00E10164">
        <w:rPr>
          <w:u w:val="single"/>
        </w:rPr>
        <w:t>March 17, 2011</w:t>
      </w:r>
      <w:r w:rsidR="00130391">
        <w:tab/>
      </w:r>
      <w:r w:rsidR="00130391">
        <w:tab/>
      </w:r>
      <w:r w:rsidR="00130391">
        <w:tab/>
      </w:r>
      <w:r w:rsidR="00130391">
        <w:tab/>
      </w:r>
      <w:r w:rsidRPr="00E10164">
        <w:t>__________________________</w:t>
      </w:r>
      <w:r w:rsidR="00130391">
        <w:t>______</w:t>
      </w:r>
      <w:r w:rsidRPr="00E10164">
        <w:t>____</w:t>
      </w:r>
      <w:r w:rsidRPr="00E10164">
        <w:tab/>
      </w:r>
      <w:r w:rsidRPr="00E10164">
        <w:tab/>
      </w:r>
      <w:r w:rsidRPr="00E10164">
        <w:tab/>
      </w:r>
      <w:r w:rsidRPr="00E10164">
        <w:tab/>
      </w:r>
      <w:r w:rsidRPr="00E10164">
        <w:tab/>
      </w:r>
      <w:r w:rsidRPr="00E10164">
        <w:tab/>
      </w:r>
      <w:r w:rsidRPr="00E10164">
        <w:tab/>
        <w:t>Susan D. Colwell</w:t>
      </w:r>
    </w:p>
    <w:p w:rsidR="00D943C3" w:rsidRPr="00E10164" w:rsidRDefault="00D943C3" w:rsidP="00E10164">
      <w:pPr>
        <w:spacing w:line="240" w:lineRule="auto"/>
        <w:contextualSpacing/>
        <w:jc w:val="left"/>
      </w:pPr>
      <w:r w:rsidRPr="00E10164">
        <w:tab/>
      </w:r>
      <w:r w:rsidRPr="00E10164">
        <w:tab/>
      </w:r>
      <w:r w:rsidRPr="00E10164">
        <w:tab/>
      </w:r>
      <w:r w:rsidRPr="00E10164">
        <w:tab/>
      </w:r>
      <w:r w:rsidRPr="00E10164">
        <w:tab/>
      </w:r>
      <w:r w:rsidRPr="00E10164">
        <w:tab/>
      </w:r>
      <w:r w:rsidRPr="00E10164">
        <w:tab/>
        <w:t>Administrative Law Judge</w:t>
      </w:r>
    </w:p>
    <w:p w:rsidR="00D943C3" w:rsidRPr="00E10164" w:rsidRDefault="00D943C3" w:rsidP="00E10164">
      <w:pPr>
        <w:jc w:val="left"/>
      </w:pPr>
    </w:p>
    <w:sectPr w:rsidR="00D943C3" w:rsidRPr="00E10164" w:rsidSect="00C0306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09B" w:rsidRDefault="004F409B" w:rsidP="00D943C3">
      <w:pPr>
        <w:spacing w:line="240" w:lineRule="auto"/>
      </w:pPr>
      <w:r>
        <w:separator/>
      </w:r>
    </w:p>
  </w:endnote>
  <w:endnote w:type="continuationSeparator" w:id="0">
    <w:p w:rsidR="004F409B" w:rsidRDefault="004F409B" w:rsidP="00D943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63110"/>
      <w:docPartObj>
        <w:docPartGallery w:val="Page Numbers (Bottom of Page)"/>
        <w:docPartUnique/>
      </w:docPartObj>
    </w:sdtPr>
    <w:sdtContent>
      <w:p w:rsidR="00C0306B" w:rsidRDefault="002543D4">
        <w:pPr>
          <w:pStyle w:val="Footer"/>
        </w:pPr>
        <w:r w:rsidRPr="00A37DD1">
          <w:rPr>
            <w:sz w:val="20"/>
            <w:szCs w:val="20"/>
          </w:rPr>
          <w:fldChar w:fldCharType="begin"/>
        </w:r>
        <w:r w:rsidR="00953F3E" w:rsidRPr="00A37DD1">
          <w:rPr>
            <w:sz w:val="20"/>
            <w:szCs w:val="20"/>
          </w:rPr>
          <w:instrText xml:space="preserve"> PAGE   \* MERGEFORMAT </w:instrText>
        </w:r>
        <w:r w:rsidRPr="00A37DD1">
          <w:rPr>
            <w:sz w:val="20"/>
            <w:szCs w:val="20"/>
          </w:rPr>
          <w:fldChar w:fldCharType="separate"/>
        </w:r>
        <w:r w:rsidR="00130391">
          <w:rPr>
            <w:noProof/>
            <w:sz w:val="20"/>
            <w:szCs w:val="20"/>
          </w:rPr>
          <w:t>2</w:t>
        </w:r>
        <w:r w:rsidRPr="00A37DD1">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09B" w:rsidRDefault="004F409B" w:rsidP="005912DF">
      <w:pPr>
        <w:spacing w:line="240" w:lineRule="auto"/>
        <w:jc w:val="both"/>
      </w:pPr>
      <w:r>
        <w:separator/>
      </w:r>
    </w:p>
  </w:footnote>
  <w:footnote w:type="continuationSeparator" w:id="0">
    <w:p w:rsidR="004F409B" w:rsidRDefault="004F409B" w:rsidP="00D943C3">
      <w:pPr>
        <w:spacing w:line="240" w:lineRule="auto"/>
      </w:pPr>
      <w:r>
        <w:continuationSeparator/>
      </w:r>
    </w:p>
  </w:footnote>
  <w:footnote w:id="1">
    <w:p w:rsidR="00D943C3" w:rsidRDefault="00D943C3" w:rsidP="00D943C3">
      <w:pPr>
        <w:pStyle w:val="FootnoteText"/>
        <w:rPr>
          <w:sz w:val="20"/>
          <w:szCs w:val="20"/>
        </w:rPr>
      </w:pPr>
      <w:r w:rsidRPr="00C863BA">
        <w:rPr>
          <w:rStyle w:val="FootnoteReference"/>
          <w:sz w:val="20"/>
          <w:szCs w:val="20"/>
        </w:rPr>
        <w:footnoteRef/>
      </w:r>
      <w:r w:rsidRPr="00C863BA">
        <w:rPr>
          <w:sz w:val="20"/>
          <w:szCs w:val="20"/>
        </w:rPr>
        <w:tab/>
        <w:t xml:space="preserve">“A technical term used to designate proceedings or actions instituted </w:t>
      </w:r>
      <w:r w:rsidRPr="00C863BA">
        <w:rPr>
          <w:i/>
          <w:sz w:val="20"/>
          <w:szCs w:val="20"/>
        </w:rPr>
        <w:t>against the thing,</w:t>
      </w:r>
      <w:r w:rsidRPr="00C863BA">
        <w:rPr>
          <w:sz w:val="20"/>
          <w:szCs w:val="20"/>
        </w:rPr>
        <w:t xml:space="preserve"> in contradistinction to personal actions, which are said to be </w:t>
      </w:r>
      <w:r w:rsidRPr="00C863BA">
        <w:rPr>
          <w:i/>
          <w:sz w:val="20"/>
          <w:szCs w:val="20"/>
        </w:rPr>
        <w:t>in personam</w:t>
      </w:r>
      <w:r w:rsidRPr="00C863BA">
        <w:rPr>
          <w:sz w:val="20"/>
          <w:szCs w:val="20"/>
        </w:rPr>
        <w:t xml:space="preserve">.  An ‘action in rem’ is a proceeding that takes no cognizance of owner but determines right in specific property against </w:t>
      </w:r>
      <w:proofErr w:type="gramStart"/>
      <w:r w:rsidRPr="00C863BA">
        <w:rPr>
          <w:sz w:val="20"/>
          <w:szCs w:val="20"/>
        </w:rPr>
        <w:t>all the</w:t>
      </w:r>
      <w:proofErr w:type="gramEnd"/>
      <w:r w:rsidRPr="00C863BA">
        <w:rPr>
          <w:sz w:val="20"/>
          <w:szCs w:val="20"/>
        </w:rPr>
        <w:t xml:space="preserve"> world, equally binding on everyone.”  Black’s Law Dictionary 713 (5</w:t>
      </w:r>
      <w:r w:rsidRPr="00C863BA">
        <w:rPr>
          <w:sz w:val="20"/>
          <w:szCs w:val="20"/>
          <w:vertAlign w:val="superscript"/>
        </w:rPr>
        <w:t>th</w:t>
      </w:r>
      <w:r w:rsidRPr="00C863BA">
        <w:rPr>
          <w:sz w:val="20"/>
          <w:szCs w:val="20"/>
        </w:rPr>
        <w:t xml:space="preserve"> ed. 1979).</w:t>
      </w:r>
    </w:p>
    <w:p w:rsidR="00243FCB" w:rsidRPr="00C863BA" w:rsidRDefault="00243FCB" w:rsidP="00D943C3">
      <w:pPr>
        <w:pStyle w:val="FootnoteText"/>
        <w:rPr>
          <w:sz w:val="20"/>
          <w:szCs w:val="20"/>
        </w:rPr>
      </w:pPr>
    </w:p>
  </w:footnote>
  <w:footnote w:id="2">
    <w:p w:rsidR="00D943C3" w:rsidRPr="008D7410" w:rsidRDefault="00D943C3" w:rsidP="00D943C3">
      <w:pPr>
        <w:pStyle w:val="FootnoteText"/>
        <w:rPr>
          <w:sz w:val="20"/>
          <w:szCs w:val="20"/>
        </w:rPr>
      </w:pPr>
      <w:r w:rsidRPr="008D7410">
        <w:rPr>
          <w:rStyle w:val="FootnoteReference"/>
          <w:sz w:val="20"/>
          <w:szCs w:val="20"/>
        </w:rPr>
        <w:footnoteRef/>
      </w:r>
      <w:r w:rsidRPr="008D7410">
        <w:rPr>
          <w:sz w:val="20"/>
          <w:szCs w:val="20"/>
        </w:rPr>
        <w:tab/>
        <w:t xml:space="preserve">Or the Municipal Court of Philadelphia if the amount is within its jurisdiction.  </w:t>
      </w:r>
      <w:proofErr w:type="gramStart"/>
      <w:r w:rsidRPr="008D7410">
        <w:rPr>
          <w:sz w:val="20"/>
          <w:szCs w:val="20"/>
        </w:rPr>
        <w:t>53 P.S. § 7101 et seq.</w:t>
      </w:r>
      <w:proofErr w:type="gramEnd"/>
    </w:p>
  </w:footnote>
  <w:footnote w:id="3">
    <w:p w:rsidR="00D943C3" w:rsidRPr="00816091" w:rsidRDefault="00D943C3" w:rsidP="00D943C3">
      <w:pPr>
        <w:pStyle w:val="FootnoteText"/>
        <w:rPr>
          <w:sz w:val="20"/>
          <w:szCs w:val="20"/>
        </w:rPr>
      </w:pPr>
      <w:r w:rsidRPr="00816091">
        <w:rPr>
          <w:rStyle w:val="FootnoteReference"/>
          <w:sz w:val="20"/>
          <w:szCs w:val="20"/>
        </w:rPr>
        <w:footnoteRef/>
      </w:r>
      <w:r w:rsidRPr="00816091">
        <w:rPr>
          <w:sz w:val="20"/>
          <w:szCs w:val="20"/>
        </w:rPr>
        <w:tab/>
        <w:t xml:space="preserve">The Commission has jurisdiction over municipalities providing public utility service outside of their municipal boundaries, but </w:t>
      </w:r>
      <w:r w:rsidRPr="00816091">
        <w:rPr>
          <w:sz w:val="20"/>
          <w:szCs w:val="20"/>
          <w:u w:val="single"/>
        </w:rPr>
        <w:t>only</w:t>
      </w:r>
      <w:r w:rsidRPr="00816091">
        <w:rPr>
          <w:sz w:val="20"/>
          <w:szCs w:val="20"/>
        </w:rPr>
        <w:t xml:space="preserve"> as to the public utility service being rendered.  </w:t>
      </w:r>
      <w:r w:rsidRPr="00816091">
        <w:rPr>
          <w:i/>
          <w:sz w:val="20"/>
          <w:szCs w:val="20"/>
        </w:rPr>
        <w:t>Petition of Borough of Boyertown</w:t>
      </w:r>
      <w:r w:rsidRPr="00816091">
        <w:rPr>
          <w:sz w:val="20"/>
          <w:szCs w:val="20"/>
        </w:rPr>
        <w:t xml:space="preserve">, </w:t>
      </w:r>
      <w:proofErr w:type="gramStart"/>
      <w:r w:rsidRPr="00816091">
        <w:rPr>
          <w:sz w:val="20"/>
          <w:szCs w:val="20"/>
        </w:rPr>
        <w:t>77 Pa.Cmwlth</w:t>
      </w:r>
      <w:proofErr w:type="gramEnd"/>
      <w:r w:rsidRPr="00816091">
        <w:rPr>
          <w:sz w:val="20"/>
          <w:szCs w:val="20"/>
        </w:rPr>
        <w:t xml:space="preserve">. </w:t>
      </w:r>
      <w:proofErr w:type="gramStart"/>
      <w:r w:rsidRPr="00816091">
        <w:rPr>
          <w:sz w:val="20"/>
          <w:szCs w:val="20"/>
        </w:rPr>
        <w:t>357, 466 A.2d 239 (1983).</w:t>
      </w:r>
      <w:proofErr w:type="gramEnd"/>
      <w:r w:rsidRPr="00816091">
        <w:rPr>
          <w:sz w:val="20"/>
          <w:szCs w:val="20"/>
        </w:rPr>
        <w:t xml:space="preserve">  The instant case does not involve municipal extra-territorial service, nor is the lien </w:t>
      </w:r>
      <w:proofErr w:type="gramStart"/>
      <w:r w:rsidRPr="00816091">
        <w:rPr>
          <w:sz w:val="20"/>
          <w:szCs w:val="20"/>
        </w:rPr>
        <w:t>proceeding</w:t>
      </w:r>
      <w:proofErr w:type="gramEnd"/>
      <w:r w:rsidRPr="00816091">
        <w:rPr>
          <w:sz w:val="20"/>
          <w:szCs w:val="20"/>
        </w:rPr>
        <w:t xml:space="preserve"> public utility service.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77F83"/>
    <w:rsid w:val="00001E3A"/>
    <w:rsid w:val="00001EF6"/>
    <w:rsid w:val="00003D11"/>
    <w:rsid w:val="00004AA3"/>
    <w:rsid w:val="00005558"/>
    <w:rsid w:val="000079FE"/>
    <w:rsid w:val="00012104"/>
    <w:rsid w:val="0001305A"/>
    <w:rsid w:val="00016E55"/>
    <w:rsid w:val="0002105C"/>
    <w:rsid w:val="00025D7A"/>
    <w:rsid w:val="000315E4"/>
    <w:rsid w:val="00032379"/>
    <w:rsid w:val="0003306B"/>
    <w:rsid w:val="00033303"/>
    <w:rsid w:val="00034357"/>
    <w:rsid w:val="00035BB8"/>
    <w:rsid w:val="00040EB6"/>
    <w:rsid w:val="00044B8B"/>
    <w:rsid w:val="00044FC0"/>
    <w:rsid w:val="0004643F"/>
    <w:rsid w:val="00046714"/>
    <w:rsid w:val="000478E2"/>
    <w:rsid w:val="000541C0"/>
    <w:rsid w:val="0005423F"/>
    <w:rsid w:val="00055078"/>
    <w:rsid w:val="00055CC5"/>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852E5"/>
    <w:rsid w:val="00086449"/>
    <w:rsid w:val="000902E3"/>
    <w:rsid w:val="00091F08"/>
    <w:rsid w:val="0009220F"/>
    <w:rsid w:val="00092B4E"/>
    <w:rsid w:val="00092E44"/>
    <w:rsid w:val="0009318F"/>
    <w:rsid w:val="000931F7"/>
    <w:rsid w:val="00093562"/>
    <w:rsid w:val="00094E20"/>
    <w:rsid w:val="00097D77"/>
    <w:rsid w:val="000A2192"/>
    <w:rsid w:val="000A4551"/>
    <w:rsid w:val="000A5DEA"/>
    <w:rsid w:val="000A652E"/>
    <w:rsid w:val="000A770B"/>
    <w:rsid w:val="000B1BFC"/>
    <w:rsid w:val="000B2D0C"/>
    <w:rsid w:val="000B339A"/>
    <w:rsid w:val="000B7111"/>
    <w:rsid w:val="000C0311"/>
    <w:rsid w:val="000C2696"/>
    <w:rsid w:val="000C2A2B"/>
    <w:rsid w:val="000C34F3"/>
    <w:rsid w:val="000C4163"/>
    <w:rsid w:val="000C6B6E"/>
    <w:rsid w:val="000C6EF0"/>
    <w:rsid w:val="000C7A4F"/>
    <w:rsid w:val="000D29BA"/>
    <w:rsid w:val="000D3E49"/>
    <w:rsid w:val="000D4998"/>
    <w:rsid w:val="000D5763"/>
    <w:rsid w:val="000E06BC"/>
    <w:rsid w:val="000E2F36"/>
    <w:rsid w:val="000E44C4"/>
    <w:rsid w:val="000E49E6"/>
    <w:rsid w:val="000E7EF5"/>
    <w:rsid w:val="000F1890"/>
    <w:rsid w:val="000F2E5F"/>
    <w:rsid w:val="000F47F1"/>
    <w:rsid w:val="000F678B"/>
    <w:rsid w:val="000F680A"/>
    <w:rsid w:val="000F78BE"/>
    <w:rsid w:val="0010080E"/>
    <w:rsid w:val="001021FB"/>
    <w:rsid w:val="00102A77"/>
    <w:rsid w:val="0010420D"/>
    <w:rsid w:val="00104518"/>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2770C"/>
    <w:rsid w:val="00130391"/>
    <w:rsid w:val="0013068D"/>
    <w:rsid w:val="00135526"/>
    <w:rsid w:val="00140273"/>
    <w:rsid w:val="0014105E"/>
    <w:rsid w:val="00143142"/>
    <w:rsid w:val="00143C25"/>
    <w:rsid w:val="00145327"/>
    <w:rsid w:val="00150084"/>
    <w:rsid w:val="00152FD8"/>
    <w:rsid w:val="001537E3"/>
    <w:rsid w:val="00153C39"/>
    <w:rsid w:val="00154F0C"/>
    <w:rsid w:val="0015569F"/>
    <w:rsid w:val="00155E87"/>
    <w:rsid w:val="0015737B"/>
    <w:rsid w:val="00157E46"/>
    <w:rsid w:val="00162A12"/>
    <w:rsid w:val="00162D2F"/>
    <w:rsid w:val="0016521D"/>
    <w:rsid w:val="00170FE6"/>
    <w:rsid w:val="00171416"/>
    <w:rsid w:val="00172857"/>
    <w:rsid w:val="00172B0B"/>
    <w:rsid w:val="00172E8C"/>
    <w:rsid w:val="00173570"/>
    <w:rsid w:val="00173C70"/>
    <w:rsid w:val="00174F7E"/>
    <w:rsid w:val="0017580D"/>
    <w:rsid w:val="00175F76"/>
    <w:rsid w:val="00176C44"/>
    <w:rsid w:val="00181AB1"/>
    <w:rsid w:val="0018490F"/>
    <w:rsid w:val="001857EA"/>
    <w:rsid w:val="00186328"/>
    <w:rsid w:val="001868F5"/>
    <w:rsid w:val="00190B2C"/>
    <w:rsid w:val="00191522"/>
    <w:rsid w:val="00192EB5"/>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B2B"/>
    <w:rsid w:val="001B4EC8"/>
    <w:rsid w:val="001B6470"/>
    <w:rsid w:val="001B760E"/>
    <w:rsid w:val="001C537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4882"/>
    <w:rsid w:val="001F6E43"/>
    <w:rsid w:val="001F6F77"/>
    <w:rsid w:val="001F74FC"/>
    <w:rsid w:val="001F77B2"/>
    <w:rsid w:val="002004A8"/>
    <w:rsid w:val="002019B1"/>
    <w:rsid w:val="00201E65"/>
    <w:rsid w:val="0021162B"/>
    <w:rsid w:val="002125E4"/>
    <w:rsid w:val="00215381"/>
    <w:rsid w:val="002163B7"/>
    <w:rsid w:val="00216C32"/>
    <w:rsid w:val="00216F76"/>
    <w:rsid w:val="0021750E"/>
    <w:rsid w:val="0022017F"/>
    <w:rsid w:val="00220D97"/>
    <w:rsid w:val="00221A88"/>
    <w:rsid w:val="002241D0"/>
    <w:rsid w:val="00224756"/>
    <w:rsid w:val="00227A4A"/>
    <w:rsid w:val="00230CC6"/>
    <w:rsid w:val="002337D7"/>
    <w:rsid w:val="00234DEB"/>
    <w:rsid w:val="0023584A"/>
    <w:rsid w:val="002358D2"/>
    <w:rsid w:val="00236C44"/>
    <w:rsid w:val="00240343"/>
    <w:rsid w:val="002403E6"/>
    <w:rsid w:val="002422D0"/>
    <w:rsid w:val="00243FCB"/>
    <w:rsid w:val="00245181"/>
    <w:rsid w:val="002451F7"/>
    <w:rsid w:val="002455CC"/>
    <w:rsid w:val="00246523"/>
    <w:rsid w:val="0024777B"/>
    <w:rsid w:val="00247CE0"/>
    <w:rsid w:val="002502F2"/>
    <w:rsid w:val="00251E5A"/>
    <w:rsid w:val="00252DB6"/>
    <w:rsid w:val="00252F2A"/>
    <w:rsid w:val="0025351B"/>
    <w:rsid w:val="002543D4"/>
    <w:rsid w:val="002546D8"/>
    <w:rsid w:val="002558A3"/>
    <w:rsid w:val="00256505"/>
    <w:rsid w:val="00260459"/>
    <w:rsid w:val="00260814"/>
    <w:rsid w:val="00262A17"/>
    <w:rsid w:val="00262AF8"/>
    <w:rsid w:val="00263AD5"/>
    <w:rsid w:val="0026705F"/>
    <w:rsid w:val="002704DD"/>
    <w:rsid w:val="00270AF3"/>
    <w:rsid w:val="0027210A"/>
    <w:rsid w:val="002748C2"/>
    <w:rsid w:val="002752C3"/>
    <w:rsid w:val="00277591"/>
    <w:rsid w:val="00283282"/>
    <w:rsid w:val="00284760"/>
    <w:rsid w:val="00287CB1"/>
    <w:rsid w:val="0029096F"/>
    <w:rsid w:val="00290AD2"/>
    <w:rsid w:val="0029353E"/>
    <w:rsid w:val="00293F4E"/>
    <w:rsid w:val="00297286"/>
    <w:rsid w:val="002A05C6"/>
    <w:rsid w:val="002A4E7E"/>
    <w:rsid w:val="002A5F4D"/>
    <w:rsid w:val="002A70E9"/>
    <w:rsid w:val="002A7A0A"/>
    <w:rsid w:val="002B3E20"/>
    <w:rsid w:val="002B541A"/>
    <w:rsid w:val="002B754D"/>
    <w:rsid w:val="002C1023"/>
    <w:rsid w:val="002C4F02"/>
    <w:rsid w:val="002C69AD"/>
    <w:rsid w:val="002D0E4D"/>
    <w:rsid w:val="002D11F2"/>
    <w:rsid w:val="002D29B0"/>
    <w:rsid w:val="002D7978"/>
    <w:rsid w:val="002E2283"/>
    <w:rsid w:val="002E7DDB"/>
    <w:rsid w:val="002F21B6"/>
    <w:rsid w:val="002F222D"/>
    <w:rsid w:val="002F42FC"/>
    <w:rsid w:val="002F5C03"/>
    <w:rsid w:val="002F6F4F"/>
    <w:rsid w:val="002F75DA"/>
    <w:rsid w:val="00303761"/>
    <w:rsid w:val="00304AA1"/>
    <w:rsid w:val="00306C33"/>
    <w:rsid w:val="00311531"/>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EB"/>
    <w:rsid w:val="00336CE8"/>
    <w:rsid w:val="003425CF"/>
    <w:rsid w:val="0034272B"/>
    <w:rsid w:val="00342BFE"/>
    <w:rsid w:val="00344C34"/>
    <w:rsid w:val="00345C65"/>
    <w:rsid w:val="00346679"/>
    <w:rsid w:val="003470E8"/>
    <w:rsid w:val="0035100D"/>
    <w:rsid w:val="00354574"/>
    <w:rsid w:val="003550C3"/>
    <w:rsid w:val="00356988"/>
    <w:rsid w:val="003601E1"/>
    <w:rsid w:val="00360F5F"/>
    <w:rsid w:val="0036124A"/>
    <w:rsid w:val="0036153E"/>
    <w:rsid w:val="0036237C"/>
    <w:rsid w:val="003625F5"/>
    <w:rsid w:val="003643C9"/>
    <w:rsid w:val="003657F1"/>
    <w:rsid w:val="00365826"/>
    <w:rsid w:val="00365A2F"/>
    <w:rsid w:val="0036754C"/>
    <w:rsid w:val="00375889"/>
    <w:rsid w:val="003760EB"/>
    <w:rsid w:val="00380892"/>
    <w:rsid w:val="00381B05"/>
    <w:rsid w:val="00385BF0"/>
    <w:rsid w:val="00385DAD"/>
    <w:rsid w:val="00386626"/>
    <w:rsid w:val="003908D7"/>
    <w:rsid w:val="00390929"/>
    <w:rsid w:val="00390DBB"/>
    <w:rsid w:val="00391CFF"/>
    <w:rsid w:val="003924CC"/>
    <w:rsid w:val="00396333"/>
    <w:rsid w:val="0039716B"/>
    <w:rsid w:val="003A0B9C"/>
    <w:rsid w:val="003A0E5A"/>
    <w:rsid w:val="003A5E83"/>
    <w:rsid w:val="003A645E"/>
    <w:rsid w:val="003A652D"/>
    <w:rsid w:val="003A6A5F"/>
    <w:rsid w:val="003A7581"/>
    <w:rsid w:val="003B2E77"/>
    <w:rsid w:val="003B3FDD"/>
    <w:rsid w:val="003B4D40"/>
    <w:rsid w:val="003B5B39"/>
    <w:rsid w:val="003B5D19"/>
    <w:rsid w:val="003B610B"/>
    <w:rsid w:val="003C47E8"/>
    <w:rsid w:val="003C5102"/>
    <w:rsid w:val="003C6962"/>
    <w:rsid w:val="003C6F65"/>
    <w:rsid w:val="003D1F46"/>
    <w:rsid w:val="003D41CF"/>
    <w:rsid w:val="003E1442"/>
    <w:rsid w:val="003E2B14"/>
    <w:rsid w:val="003F01A7"/>
    <w:rsid w:val="003F2E62"/>
    <w:rsid w:val="003F3925"/>
    <w:rsid w:val="00401386"/>
    <w:rsid w:val="004047B1"/>
    <w:rsid w:val="0040584C"/>
    <w:rsid w:val="00406807"/>
    <w:rsid w:val="004078EF"/>
    <w:rsid w:val="00407C2F"/>
    <w:rsid w:val="0041082C"/>
    <w:rsid w:val="00411425"/>
    <w:rsid w:val="00413B28"/>
    <w:rsid w:val="00413BA5"/>
    <w:rsid w:val="00413DAC"/>
    <w:rsid w:val="0041623E"/>
    <w:rsid w:val="00416AB2"/>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7A63"/>
    <w:rsid w:val="004521D4"/>
    <w:rsid w:val="0045300F"/>
    <w:rsid w:val="00453A6E"/>
    <w:rsid w:val="00454158"/>
    <w:rsid w:val="00454723"/>
    <w:rsid w:val="004565C0"/>
    <w:rsid w:val="00460024"/>
    <w:rsid w:val="00460140"/>
    <w:rsid w:val="0046238B"/>
    <w:rsid w:val="00464B18"/>
    <w:rsid w:val="00465D71"/>
    <w:rsid w:val="0047070D"/>
    <w:rsid w:val="00477A71"/>
    <w:rsid w:val="00481269"/>
    <w:rsid w:val="004839FC"/>
    <w:rsid w:val="00483C70"/>
    <w:rsid w:val="00484589"/>
    <w:rsid w:val="00484BCE"/>
    <w:rsid w:val="00487E8F"/>
    <w:rsid w:val="00491F39"/>
    <w:rsid w:val="0049422F"/>
    <w:rsid w:val="0049475D"/>
    <w:rsid w:val="0049575D"/>
    <w:rsid w:val="00496DB8"/>
    <w:rsid w:val="004A11A6"/>
    <w:rsid w:val="004A5318"/>
    <w:rsid w:val="004A741E"/>
    <w:rsid w:val="004B0321"/>
    <w:rsid w:val="004B1ADE"/>
    <w:rsid w:val="004B570B"/>
    <w:rsid w:val="004B652A"/>
    <w:rsid w:val="004B7DB2"/>
    <w:rsid w:val="004C30D2"/>
    <w:rsid w:val="004C3AE2"/>
    <w:rsid w:val="004C4C1E"/>
    <w:rsid w:val="004D0BE0"/>
    <w:rsid w:val="004D14F0"/>
    <w:rsid w:val="004D1505"/>
    <w:rsid w:val="004D17DF"/>
    <w:rsid w:val="004D4A68"/>
    <w:rsid w:val="004D6D13"/>
    <w:rsid w:val="004D6DCE"/>
    <w:rsid w:val="004E429F"/>
    <w:rsid w:val="004F160A"/>
    <w:rsid w:val="004F2F62"/>
    <w:rsid w:val="004F37CB"/>
    <w:rsid w:val="004F409B"/>
    <w:rsid w:val="004F45CA"/>
    <w:rsid w:val="004F616B"/>
    <w:rsid w:val="00500A53"/>
    <w:rsid w:val="00504F92"/>
    <w:rsid w:val="00505551"/>
    <w:rsid w:val="005078B3"/>
    <w:rsid w:val="00511C54"/>
    <w:rsid w:val="00520C27"/>
    <w:rsid w:val="00521B57"/>
    <w:rsid w:val="00522DE9"/>
    <w:rsid w:val="00522EF8"/>
    <w:rsid w:val="0052399F"/>
    <w:rsid w:val="00523FBA"/>
    <w:rsid w:val="00524079"/>
    <w:rsid w:val="005255C0"/>
    <w:rsid w:val="00526890"/>
    <w:rsid w:val="0052764F"/>
    <w:rsid w:val="00527AFE"/>
    <w:rsid w:val="005328F4"/>
    <w:rsid w:val="00535220"/>
    <w:rsid w:val="00540ED6"/>
    <w:rsid w:val="00541C1D"/>
    <w:rsid w:val="00544A16"/>
    <w:rsid w:val="005472EC"/>
    <w:rsid w:val="00547C82"/>
    <w:rsid w:val="00552915"/>
    <w:rsid w:val="005534BD"/>
    <w:rsid w:val="005623DE"/>
    <w:rsid w:val="00562A9A"/>
    <w:rsid w:val="00564A3A"/>
    <w:rsid w:val="005650FF"/>
    <w:rsid w:val="005665CA"/>
    <w:rsid w:val="005674EF"/>
    <w:rsid w:val="00570C2E"/>
    <w:rsid w:val="00571577"/>
    <w:rsid w:val="00571C60"/>
    <w:rsid w:val="0057213D"/>
    <w:rsid w:val="005732E9"/>
    <w:rsid w:val="0057454E"/>
    <w:rsid w:val="00575D4F"/>
    <w:rsid w:val="00575F27"/>
    <w:rsid w:val="0058036C"/>
    <w:rsid w:val="0058073B"/>
    <w:rsid w:val="00580815"/>
    <w:rsid w:val="00582289"/>
    <w:rsid w:val="0058363F"/>
    <w:rsid w:val="00583B6A"/>
    <w:rsid w:val="00585BD9"/>
    <w:rsid w:val="00587B74"/>
    <w:rsid w:val="005912DF"/>
    <w:rsid w:val="00593FF1"/>
    <w:rsid w:val="00594E77"/>
    <w:rsid w:val="0059623B"/>
    <w:rsid w:val="005A1839"/>
    <w:rsid w:val="005A2923"/>
    <w:rsid w:val="005A3759"/>
    <w:rsid w:val="005A44D9"/>
    <w:rsid w:val="005B3D45"/>
    <w:rsid w:val="005B78C4"/>
    <w:rsid w:val="005C373B"/>
    <w:rsid w:val="005C3DD2"/>
    <w:rsid w:val="005C4AAA"/>
    <w:rsid w:val="005D1442"/>
    <w:rsid w:val="005D2788"/>
    <w:rsid w:val="005E06D4"/>
    <w:rsid w:val="005F064D"/>
    <w:rsid w:val="005F512E"/>
    <w:rsid w:val="005F5A21"/>
    <w:rsid w:val="005F6A04"/>
    <w:rsid w:val="00600458"/>
    <w:rsid w:val="0060118D"/>
    <w:rsid w:val="0060369E"/>
    <w:rsid w:val="00603824"/>
    <w:rsid w:val="00605D75"/>
    <w:rsid w:val="006073B5"/>
    <w:rsid w:val="00610CE1"/>
    <w:rsid w:val="006113D8"/>
    <w:rsid w:val="00616232"/>
    <w:rsid w:val="00620850"/>
    <w:rsid w:val="00620DB5"/>
    <w:rsid w:val="006225AC"/>
    <w:rsid w:val="006230A9"/>
    <w:rsid w:val="00623799"/>
    <w:rsid w:val="00624D32"/>
    <w:rsid w:val="006273ED"/>
    <w:rsid w:val="00634EB5"/>
    <w:rsid w:val="0063516D"/>
    <w:rsid w:val="00635AE1"/>
    <w:rsid w:val="00635DA6"/>
    <w:rsid w:val="006416B8"/>
    <w:rsid w:val="0064349A"/>
    <w:rsid w:val="00643E46"/>
    <w:rsid w:val="006466B3"/>
    <w:rsid w:val="0064692D"/>
    <w:rsid w:val="00646FCC"/>
    <w:rsid w:val="0064750C"/>
    <w:rsid w:val="00651F0A"/>
    <w:rsid w:val="006543FB"/>
    <w:rsid w:val="00655505"/>
    <w:rsid w:val="00655AA7"/>
    <w:rsid w:val="00655F80"/>
    <w:rsid w:val="00656541"/>
    <w:rsid w:val="006621E9"/>
    <w:rsid w:val="00662904"/>
    <w:rsid w:val="00664A57"/>
    <w:rsid w:val="00664C73"/>
    <w:rsid w:val="00671999"/>
    <w:rsid w:val="00680B65"/>
    <w:rsid w:val="00681287"/>
    <w:rsid w:val="006815A6"/>
    <w:rsid w:val="0068285E"/>
    <w:rsid w:val="00684EF6"/>
    <w:rsid w:val="006856E2"/>
    <w:rsid w:val="00693995"/>
    <w:rsid w:val="00695397"/>
    <w:rsid w:val="0069562F"/>
    <w:rsid w:val="006A177A"/>
    <w:rsid w:val="006A5F8B"/>
    <w:rsid w:val="006A600F"/>
    <w:rsid w:val="006B114D"/>
    <w:rsid w:val="006B1A6D"/>
    <w:rsid w:val="006B2B00"/>
    <w:rsid w:val="006B2FA8"/>
    <w:rsid w:val="006B3E08"/>
    <w:rsid w:val="006B529B"/>
    <w:rsid w:val="006C3BAF"/>
    <w:rsid w:val="006C4536"/>
    <w:rsid w:val="006C4D4E"/>
    <w:rsid w:val="006C51E2"/>
    <w:rsid w:val="006C5247"/>
    <w:rsid w:val="006C62F8"/>
    <w:rsid w:val="006C71BB"/>
    <w:rsid w:val="006D071F"/>
    <w:rsid w:val="006D1276"/>
    <w:rsid w:val="006D13C4"/>
    <w:rsid w:val="006D1E5C"/>
    <w:rsid w:val="006D2C14"/>
    <w:rsid w:val="006D3945"/>
    <w:rsid w:val="006D4C15"/>
    <w:rsid w:val="006D7692"/>
    <w:rsid w:val="006E1753"/>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0289"/>
    <w:rsid w:val="00713444"/>
    <w:rsid w:val="0071374E"/>
    <w:rsid w:val="00716D0A"/>
    <w:rsid w:val="00717AF6"/>
    <w:rsid w:val="00720579"/>
    <w:rsid w:val="00721ECF"/>
    <w:rsid w:val="00722D13"/>
    <w:rsid w:val="007230FE"/>
    <w:rsid w:val="00725BEA"/>
    <w:rsid w:val="00726409"/>
    <w:rsid w:val="007306D1"/>
    <w:rsid w:val="007344C3"/>
    <w:rsid w:val="00736C31"/>
    <w:rsid w:val="00742CE1"/>
    <w:rsid w:val="0074372C"/>
    <w:rsid w:val="00744C7C"/>
    <w:rsid w:val="00746657"/>
    <w:rsid w:val="00746973"/>
    <w:rsid w:val="00747C4D"/>
    <w:rsid w:val="007517A4"/>
    <w:rsid w:val="0075585E"/>
    <w:rsid w:val="00755A77"/>
    <w:rsid w:val="00772458"/>
    <w:rsid w:val="00772C33"/>
    <w:rsid w:val="00775812"/>
    <w:rsid w:val="00781AFB"/>
    <w:rsid w:val="00782461"/>
    <w:rsid w:val="007833DA"/>
    <w:rsid w:val="0078470A"/>
    <w:rsid w:val="0078583D"/>
    <w:rsid w:val="00785939"/>
    <w:rsid w:val="00785D73"/>
    <w:rsid w:val="00787AF1"/>
    <w:rsid w:val="0079132B"/>
    <w:rsid w:val="0079360E"/>
    <w:rsid w:val="00795245"/>
    <w:rsid w:val="007969E6"/>
    <w:rsid w:val="00796DA1"/>
    <w:rsid w:val="007A2C57"/>
    <w:rsid w:val="007A3440"/>
    <w:rsid w:val="007A34B3"/>
    <w:rsid w:val="007B1039"/>
    <w:rsid w:val="007B1644"/>
    <w:rsid w:val="007B3B6F"/>
    <w:rsid w:val="007B3F3D"/>
    <w:rsid w:val="007B413B"/>
    <w:rsid w:val="007B4FD7"/>
    <w:rsid w:val="007B5461"/>
    <w:rsid w:val="007C19EC"/>
    <w:rsid w:val="007C342D"/>
    <w:rsid w:val="007C60E2"/>
    <w:rsid w:val="007D158A"/>
    <w:rsid w:val="007D5B1C"/>
    <w:rsid w:val="007E0ADA"/>
    <w:rsid w:val="007E15CF"/>
    <w:rsid w:val="007E5866"/>
    <w:rsid w:val="007F07AF"/>
    <w:rsid w:val="007F2A44"/>
    <w:rsid w:val="007F6E2B"/>
    <w:rsid w:val="007F7699"/>
    <w:rsid w:val="007F773D"/>
    <w:rsid w:val="008003C8"/>
    <w:rsid w:val="00802118"/>
    <w:rsid w:val="00804065"/>
    <w:rsid w:val="008047DD"/>
    <w:rsid w:val="00806213"/>
    <w:rsid w:val="00812B80"/>
    <w:rsid w:val="008168A2"/>
    <w:rsid w:val="008213E7"/>
    <w:rsid w:val="00821687"/>
    <w:rsid w:val="0082217D"/>
    <w:rsid w:val="00822A40"/>
    <w:rsid w:val="008236C7"/>
    <w:rsid w:val="00823E67"/>
    <w:rsid w:val="00826045"/>
    <w:rsid w:val="00830A48"/>
    <w:rsid w:val="00833331"/>
    <w:rsid w:val="00833C36"/>
    <w:rsid w:val="00834B96"/>
    <w:rsid w:val="00836415"/>
    <w:rsid w:val="00836B47"/>
    <w:rsid w:val="00840A53"/>
    <w:rsid w:val="008427B3"/>
    <w:rsid w:val="0085047D"/>
    <w:rsid w:val="008524EA"/>
    <w:rsid w:val="0085263B"/>
    <w:rsid w:val="008530B9"/>
    <w:rsid w:val="00857642"/>
    <w:rsid w:val="00857872"/>
    <w:rsid w:val="00857F8E"/>
    <w:rsid w:val="00860759"/>
    <w:rsid w:val="0086268A"/>
    <w:rsid w:val="008644EC"/>
    <w:rsid w:val="00864B15"/>
    <w:rsid w:val="00864D3B"/>
    <w:rsid w:val="00865C18"/>
    <w:rsid w:val="0086621E"/>
    <w:rsid w:val="0087121E"/>
    <w:rsid w:val="00882CB8"/>
    <w:rsid w:val="00884650"/>
    <w:rsid w:val="008851B9"/>
    <w:rsid w:val="00885F50"/>
    <w:rsid w:val="00887314"/>
    <w:rsid w:val="00891D35"/>
    <w:rsid w:val="00893901"/>
    <w:rsid w:val="0089728F"/>
    <w:rsid w:val="008A0874"/>
    <w:rsid w:val="008A0FF6"/>
    <w:rsid w:val="008A51AD"/>
    <w:rsid w:val="008B2982"/>
    <w:rsid w:val="008B456E"/>
    <w:rsid w:val="008B51B9"/>
    <w:rsid w:val="008B5BC6"/>
    <w:rsid w:val="008B62FA"/>
    <w:rsid w:val="008B7153"/>
    <w:rsid w:val="008C03AD"/>
    <w:rsid w:val="008C11EE"/>
    <w:rsid w:val="008C1485"/>
    <w:rsid w:val="008C175C"/>
    <w:rsid w:val="008C2DAF"/>
    <w:rsid w:val="008D2DBA"/>
    <w:rsid w:val="008D530C"/>
    <w:rsid w:val="008D56D1"/>
    <w:rsid w:val="008D638B"/>
    <w:rsid w:val="008D7ECE"/>
    <w:rsid w:val="008E1BF6"/>
    <w:rsid w:val="008E44FF"/>
    <w:rsid w:val="008E5F96"/>
    <w:rsid w:val="008E6FB7"/>
    <w:rsid w:val="008E7557"/>
    <w:rsid w:val="008E7FE5"/>
    <w:rsid w:val="008F25DF"/>
    <w:rsid w:val="008F29E0"/>
    <w:rsid w:val="008F4FCE"/>
    <w:rsid w:val="008F63E4"/>
    <w:rsid w:val="008F7E50"/>
    <w:rsid w:val="00900008"/>
    <w:rsid w:val="00902EB1"/>
    <w:rsid w:val="00904C01"/>
    <w:rsid w:val="009050BB"/>
    <w:rsid w:val="00905609"/>
    <w:rsid w:val="00905F7A"/>
    <w:rsid w:val="00906A31"/>
    <w:rsid w:val="00906B1B"/>
    <w:rsid w:val="00910398"/>
    <w:rsid w:val="0091039C"/>
    <w:rsid w:val="00911640"/>
    <w:rsid w:val="0091213F"/>
    <w:rsid w:val="00912783"/>
    <w:rsid w:val="0091451C"/>
    <w:rsid w:val="00915C3E"/>
    <w:rsid w:val="00915D45"/>
    <w:rsid w:val="00922DF5"/>
    <w:rsid w:val="00923349"/>
    <w:rsid w:val="00923CE8"/>
    <w:rsid w:val="009252D3"/>
    <w:rsid w:val="00926002"/>
    <w:rsid w:val="00930EBA"/>
    <w:rsid w:val="0093268C"/>
    <w:rsid w:val="00935580"/>
    <w:rsid w:val="009366E0"/>
    <w:rsid w:val="00936EB3"/>
    <w:rsid w:val="00940622"/>
    <w:rsid w:val="009412D9"/>
    <w:rsid w:val="00944730"/>
    <w:rsid w:val="00944858"/>
    <w:rsid w:val="009471B5"/>
    <w:rsid w:val="00951A6C"/>
    <w:rsid w:val="00952928"/>
    <w:rsid w:val="009531DA"/>
    <w:rsid w:val="00953CFD"/>
    <w:rsid w:val="00953F3E"/>
    <w:rsid w:val="0096539B"/>
    <w:rsid w:val="009669E3"/>
    <w:rsid w:val="009671DB"/>
    <w:rsid w:val="0096755D"/>
    <w:rsid w:val="00972738"/>
    <w:rsid w:val="009727FE"/>
    <w:rsid w:val="00974C35"/>
    <w:rsid w:val="00976E81"/>
    <w:rsid w:val="00977F83"/>
    <w:rsid w:val="009808B0"/>
    <w:rsid w:val="00980958"/>
    <w:rsid w:val="00983488"/>
    <w:rsid w:val="00983EDB"/>
    <w:rsid w:val="009849EF"/>
    <w:rsid w:val="00987014"/>
    <w:rsid w:val="009871AC"/>
    <w:rsid w:val="00990892"/>
    <w:rsid w:val="00997443"/>
    <w:rsid w:val="009A1BA1"/>
    <w:rsid w:val="009A2A81"/>
    <w:rsid w:val="009A2AFB"/>
    <w:rsid w:val="009A2DE2"/>
    <w:rsid w:val="009A3B62"/>
    <w:rsid w:val="009A5C47"/>
    <w:rsid w:val="009A68E7"/>
    <w:rsid w:val="009A6BC5"/>
    <w:rsid w:val="009B4A92"/>
    <w:rsid w:val="009B4B7B"/>
    <w:rsid w:val="009B66C0"/>
    <w:rsid w:val="009B72A1"/>
    <w:rsid w:val="009B74A5"/>
    <w:rsid w:val="009C0E90"/>
    <w:rsid w:val="009C24F9"/>
    <w:rsid w:val="009D3AAC"/>
    <w:rsid w:val="009D5B63"/>
    <w:rsid w:val="009E1679"/>
    <w:rsid w:val="009E2348"/>
    <w:rsid w:val="009E239E"/>
    <w:rsid w:val="009E271D"/>
    <w:rsid w:val="009E362F"/>
    <w:rsid w:val="009E4013"/>
    <w:rsid w:val="009E59CA"/>
    <w:rsid w:val="009F1EA5"/>
    <w:rsid w:val="009F5E68"/>
    <w:rsid w:val="009F768D"/>
    <w:rsid w:val="00A00F26"/>
    <w:rsid w:val="00A018F7"/>
    <w:rsid w:val="00A02ABC"/>
    <w:rsid w:val="00A039B4"/>
    <w:rsid w:val="00A0555A"/>
    <w:rsid w:val="00A063F2"/>
    <w:rsid w:val="00A0799C"/>
    <w:rsid w:val="00A07D8F"/>
    <w:rsid w:val="00A12531"/>
    <w:rsid w:val="00A13C95"/>
    <w:rsid w:val="00A1707A"/>
    <w:rsid w:val="00A215E2"/>
    <w:rsid w:val="00A2304B"/>
    <w:rsid w:val="00A23803"/>
    <w:rsid w:val="00A249F6"/>
    <w:rsid w:val="00A26704"/>
    <w:rsid w:val="00A27248"/>
    <w:rsid w:val="00A27289"/>
    <w:rsid w:val="00A34AEC"/>
    <w:rsid w:val="00A35AFD"/>
    <w:rsid w:val="00A37DD1"/>
    <w:rsid w:val="00A40295"/>
    <w:rsid w:val="00A40731"/>
    <w:rsid w:val="00A429D5"/>
    <w:rsid w:val="00A433E2"/>
    <w:rsid w:val="00A448EF"/>
    <w:rsid w:val="00A4598C"/>
    <w:rsid w:val="00A510EE"/>
    <w:rsid w:val="00A52A4E"/>
    <w:rsid w:val="00A5343C"/>
    <w:rsid w:val="00A57AB1"/>
    <w:rsid w:val="00A64C8D"/>
    <w:rsid w:val="00A6721B"/>
    <w:rsid w:val="00A70355"/>
    <w:rsid w:val="00A73547"/>
    <w:rsid w:val="00A73D17"/>
    <w:rsid w:val="00A73D4F"/>
    <w:rsid w:val="00A74128"/>
    <w:rsid w:val="00A7538D"/>
    <w:rsid w:val="00A75DD6"/>
    <w:rsid w:val="00A7618B"/>
    <w:rsid w:val="00A77155"/>
    <w:rsid w:val="00A77757"/>
    <w:rsid w:val="00A8008F"/>
    <w:rsid w:val="00A8092D"/>
    <w:rsid w:val="00A80E74"/>
    <w:rsid w:val="00A851A4"/>
    <w:rsid w:val="00A86BD8"/>
    <w:rsid w:val="00A87EDF"/>
    <w:rsid w:val="00A90897"/>
    <w:rsid w:val="00A90C67"/>
    <w:rsid w:val="00A92B4B"/>
    <w:rsid w:val="00A940DD"/>
    <w:rsid w:val="00A9585F"/>
    <w:rsid w:val="00AA013D"/>
    <w:rsid w:val="00AA0422"/>
    <w:rsid w:val="00AA1496"/>
    <w:rsid w:val="00AA155D"/>
    <w:rsid w:val="00AA3354"/>
    <w:rsid w:val="00AA3D06"/>
    <w:rsid w:val="00AA4899"/>
    <w:rsid w:val="00AA4D37"/>
    <w:rsid w:val="00AA59F2"/>
    <w:rsid w:val="00AA639F"/>
    <w:rsid w:val="00AB16AD"/>
    <w:rsid w:val="00AB3CE6"/>
    <w:rsid w:val="00AB3E2B"/>
    <w:rsid w:val="00AB671D"/>
    <w:rsid w:val="00AB7130"/>
    <w:rsid w:val="00AC0D42"/>
    <w:rsid w:val="00AC2C30"/>
    <w:rsid w:val="00AC350C"/>
    <w:rsid w:val="00AC3558"/>
    <w:rsid w:val="00AC46EE"/>
    <w:rsid w:val="00AC701A"/>
    <w:rsid w:val="00AC74A3"/>
    <w:rsid w:val="00AC7DAD"/>
    <w:rsid w:val="00AD02BB"/>
    <w:rsid w:val="00AD11DB"/>
    <w:rsid w:val="00AD344D"/>
    <w:rsid w:val="00AD3F55"/>
    <w:rsid w:val="00AD49BE"/>
    <w:rsid w:val="00AD53F5"/>
    <w:rsid w:val="00AD5E7B"/>
    <w:rsid w:val="00AD7989"/>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34C7"/>
    <w:rsid w:val="00B136CC"/>
    <w:rsid w:val="00B160D8"/>
    <w:rsid w:val="00B17683"/>
    <w:rsid w:val="00B20FAA"/>
    <w:rsid w:val="00B21CD8"/>
    <w:rsid w:val="00B21FBA"/>
    <w:rsid w:val="00B23036"/>
    <w:rsid w:val="00B23264"/>
    <w:rsid w:val="00B2793E"/>
    <w:rsid w:val="00B3022C"/>
    <w:rsid w:val="00B32E35"/>
    <w:rsid w:val="00B33B37"/>
    <w:rsid w:val="00B374E5"/>
    <w:rsid w:val="00B41FA0"/>
    <w:rsid w:val="00B42826"/>
    <w:rsid w:val="00B43982"/>
    <w:rsid w:val="00B459AF"/>
    <w:rsid w:val="00B475B6"/>
    <w:rsid w:val="00B55869"/>
    <w:rsid w:val="00B567F1"/>
    <w:rsid w:val="00B569FA"/>
    <w:rsid w:val="00B571D3"/>
    <w:rsid w:val="00B635A5"/>
    <w:rsid w:val="00B63BE5"/>
    <w:rsid w:val="00B64CAA"/>
    <w:rsid w:val="00B66D36"/>
    <w:rsid w:val="00B7342D"/>
    <w:rsid w:val="00B73BCE"/>
    <w:rsid w:val="00B7490A"/>
    <w:rsid w:val="00B74F55"/>
    <w:rsid w:val="00B759EC"/>
    <w:rsid w:val="00B75F96"/>
    <w:rsid w:val="00B773AD"/>
    <w:rsid w:val="00B774F6"/>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631"/>
    <w:rsid w:val="00BB3FF6"/>
    <w:rsid w:val="00BB5630"/>
    <w:rsid w:val="00BB6BE1"/>
    <w:rsid w:val="00BC392E"/>
    <w:rsid w:val="00BC60A6"/>
    <w:rsid w:val="00BC62E0"/>
    <w:rsid w:val="00BC6FBF"/>
    <w:rsid w:val="00BD00D9"/>
    <w:rsid w:val="00BD40BC"/>
    <w:rsid w:val="00BD6234"/>
    <w:rsid w:val="00BE0437"/>
    <w:rsid w:val="00BE04F6"/>
    <w:rsid w:val="00BE107D"/>
    <w:rsid w:val="00BE5D1C"/>
    <w:rsid w:val="00BE701E"/>
    <w:rsid w:val="00BE7640"/>
    <w:rsid w:val="00BF0242"/>
    <w:rsid w:val="00BF0AE5"/>
    <w:rsid w:val="00BF144D"/>
    <w:rsid w:val="00BF214A"/>
    <w:rsid w:val="00BF3E1B"/>
    <w:rsid w:val="00BF7D51"/>
    <w:rsid w:val="00C02723"/>
    <w:rsid w:val="00C02A91"/>
    <w:rsid w:val="00C0306B"/>
    <w:rsid w:val="00C04960"/>
    <w:rsid w:val="00C05ABD"/>
    <w:rsid w:val="00C06163"/>
    <w:rsid w:val="00C10713"/>
    <w:rsid w:val="00C11391"/>
    <w:rsid w:val="00C114A8"/>
    <w:rsid w:val="00C1324E"/>
    <w:rsid w:val="00C138A5"/>
    <w:rsid w:val="00C14B96"/>
    <w:rsid w:val="00C158D4"/>
    <w:rsid w:val="00C211F9"/>
    <w:rsid w:val="00C22F92"/>
    <w:rsid w:val="00C25927"/>
    <w:rsid w:val="00C27126"/>
    <w:rsid w:val="00C273D7"/>
    <w:rsid w:val="00C2755A"/>
    <w:rsid w:val="00C310B8"/>
    <w:rsid w:val="00C31DBD"/>
    <w:rsid w:val="00C32610"/>
    <w:rsid w:val="00C3305D"/>
    <w:rsid w:val="00C3343C"/>
    <w:rsid w:val="00C3343E"/>
    <w:rsid w:val="00C3643C"/>
    <w:rsid w:val="00C36C29"/>
    <w:rsid w:val="00C4383B"/>
    <w:rsid w:val="00C478FE"/>
    <w:rsid w:val="00C502DD"/>
    <w:rsid w:val="00C613E2"/>
    <w:rsid w:val="00C65047"/>
    <w:rsid w:val="00C653CC"/>
    <w:rsid w:val="00C665D4"/>
    <w:rsid w:val="00C67E56"/>
    <w:rsid w:val="00C73CE1"/>
    <w:rsid w:val="00C74775"/>
    <w:rsid w:val="00C76F9B"/>
    <w:rsid w:val="00C77064"/>
    <w:rsid w:val="00C80AB6"/>
    <w:rsid w:val="00C833D6"/>
    <w:rsid w:val="00C84CDE"/>
    <w:rsid w:val="00C8762A"/>
    <w:rsid w:val="00C9306D"/>
    <w:rsid w:val="00C93320"/>
    <w:rsid w:val="00C95318"/>
    <w:rsid w:val="00C95A99"/>
    <w:rsid w:val="00C96B98"/>
    <w:rsid w:val="00C96F6B"/>
    <w:rsid w:val="00C97ED3"/>
    <w:rsid w:val="00CA043D"/>
    <w:rsid w:val="00CA069B"/>
    <w:rsid w:val="00CA09C4"/>
    <w:rsid w:val="00CA27F9"/>
    <w:rsid w:val="00CA4F28"/>
    <w:rsid w:val="00CB067C"/>
    <w:rsid w:val="00CB15CA"/>
    <w:rsid w:val="00CB26B3"/>
    <w:rsid w:val="00CB3B7D"/>
    <w:rsid w:val="00CB687E"/>
    <w:rsid w:val="00CC074E"/>
    <w:rsid w:val="00CC1659"/>
    <w:rsid w:val="00CC3092"/>
    <w:rsid w:val="00CC30C3"/>
    <w:rsid w:val="00CC363A"/>
    <w:rsid w:val="00CC3D4E"/>
    <w:rsid w:val="00CC4003"/>
    <w:rsid w:val="00CC74BD"/>
    <w:rsid w:val="00CD0768"/>
    <w:rsid w:val="00CD3CC4"/>
    <w:rsid w:val="00CE047D"/>
    <w:rsid w:val="00CE1017"/>
    <w:rsid w:val="00CE43AF"/>
    <w:rsid w:val="00CE665D"/>
    <w:rsid w:val="00CE6758"/>
    <w:rsid w:val="00CE7731"/>
    <w:rsid w:val="00CF1226"/>
    <w:rsid w:val="00CF6A79"/>
    <w:rsid w:val="00CF73D7"/>
    <w:rsid w:val="00D00AAE"/>
    <w:rsid w:val="00D02D5A"/>
    <w:rsid w:val="00D03B9D"/>
    <w:rsid w:val="00D0498A"/>
    <w:rsid w:val="00D06F2D"/>
    <w:rsid w:val="00D11B6A"/>
    <w:rsid w:val="00D13B2D"/>
    <w:rsid w:val="00D15660"/>
    <w:rsid w:val="00D16E7D"/>
    <w:rsid w:val="00D17731"/>
    <w:rsid w:val="00D20E86"/>
    <w:rsid w:val="00D21DFB"/>
    <w:rsid w:val="00D227C4"/>
    <w:rsid w:val="00D23048"/>
    <w:rsid w:val="00D2352A"/>
    <w:rsid w:val="00D23DD0"/>
    <w:rsid w:val="00D251C3"/>
    <w:rsid w:val="00D26CB5"/>
    <w:rsid w:val="00D27EA0"/>
    <w:rsid w:val="00D33231"/>
    <w:rsid w:val="00D36240"/>
    <w:rsid w:val="00D36D3E"/>
    <w:rsid w:val="00D36DB7"/>
    <w:rsid w:val="00D40E5E"/>
    <w:rsid w:val="00D4138D"/>
    <w:rsid w:val="00D41493"/>
    <w:rsid w:val="00D4152F"/>
    <w:rsid w:val="00D43EF1"/>
    <w:rsid w:val="00D43F6F"/>
    <w:rsid w:val="00D46755"/>
    <w:rsid w:val="00D46CFF"/>
    <w:rsid w:val="00D46FBF"/>
    <w:rsid w:val="00D47BB6"/>
    <w:rsid w:val="00D62214"/>
    <w:rsid w:val="00D632D1"/>
    <w:rsid w:val="00D64B7A"/>
    <w:rsid w:val="00D65E10"/>
    <w:rsid w:val="00D709A0"/>
    <w:rsid w:val="00D70A78"/>
    <w:rsid w:val="00D71394"/>
    <w:rsid w:val="00D7252A"/>
    <w:rsid w:val="00D73BC0"/>
    <w:rsid w:val="00D76C93"/>
    <w:rsid w:val="00D81512"/>
    <w:rsid w:val="00D85346"/>
    <w:rsid w:val="00D90E7B"/>
    <w:rsid w:val="00D91EDC"/>
    <w:rsid w:val="00D92D94"/>
    <w:rsid w:val="00D943C3"/>
    <w:rsid w:val="00DA0625"/>
    <w:rsid w:val="00DA3748"/>
    <w:rsid w:val="00DA671A"/>
    <w:rsid w:val="00DA756A"/>
    <w:rsid w:val="00DA78D9"/>
    <w:rsid w:val="00DA7E6E"/>
    <w:rsid w:val="00DB07B8"/>
    <w:rsid w:val="00DB2D76"/>
    <w:rsid w:val="00DB3871"/>
    <w:rsid w:val="00DB38BB"/>
    <w:rsid w:val="00DB45E2"/>
    <w:rsid w:val="00DB4F49"/>
    <w:rsid w:val="00DB6D5A"/>
    <w:rsid w:val="00DC4772"/>
    <w:rsid w:val="00DC48CF"/>
    <w:rsid w:val="00DC6711"/>
    <w:rsid w:val="00DC6826"/>
    <w:rsid w:val="00DD20E3"/>
    <w:rsid w:val="00DD2605"/>
    <w:rsid w:val="00DD5F86"/>
    <w:rsid w:val="00DD6047"/>
    <w:rsid w:val="00DD771A"/>
    <w:rsid w:val="00DD7F78"/>
    <w:rsid w:val="00DE2759"/>
    <w:rsid w:val="00DE2977"/>
    <w:rsid w:val="00DE4037"/>
    <w:rsid w:val="00DE43F4"/>
    <w:rsid w:val="00DE466B"/>
    <w:rsid w:val="00DE4A72"/>
    <w:rsid w:val="00DE5D8B"/>
    <w:rsid w:val="00DE761A"/>
    <w:rsid w:val="00DF2338"/>
    <w:rsid w:val="00DF4C70"/>
    <w:rsid w:val="00DF4D56"/>
    <w:rsid w:val="00DF63EB"/>
    <w:rsid w:val="00DF78BC"/>
    <w:rsid w:val="00E02A20"/>
    <w:rsid w:val="00E030AE"/>
    <w:rsid w:val="00E04587"/>
    <w:rsid w:val="00E04EFF"/>
    <w:rsid w:val="00E05D02"/>
    <w:rsid w:val="00E0690D"/>
    <w:rsid w:val="00E10164"/>
    <w:rsid w:val="00E101A9"/>
    <w:rsid w:val="00E12954"/>
    <w:rsid w:val="00E12FAE"/>
    <w:rsid w:val="00E13468"/>
    <w:rsid w:val="00E2457B"/>
    <w:rsid w:val="00E247DE"/>
    <w:rsid w:val="00E257AB"/>
    <w:rsid w:val="00E3212A"/>
    <w:rsid w:val="00E32512"/>
    <w:rsid w:val="00E333C7"/>
    <w:rsid w:val="00E3374E"/>
    <w:rsid w:val="00E33A7F"/>
    <w:rsid w:val="00E34A79"/>
    <w:rsid w:val="00E376F7"/>
    <w:rsid w:val="00E4104D"/>
    <w:rsid w:val="00E41293"/>
    <w:rsid w:val="00E41C3F"/>
    <w:rsid w:val="00E44479"/>
    <w:rsid w:val="00E45108"/>
    <w:rsid w:val="00E475F0"/>
    <w:rsid w:val="00E50CA8"/>
    <w:rsid w:val="00E536DE"/>
    <w:rsid w:val="00E538E6"/>
    <w:rsid w:val="00E553E9"/>
    <w:rsid w:val="00E563DF"/>
    <w:rsid w:val="00E569B2"/>
    <w:rsid w:val="00E577FD"/>
    <w:rsid w:val="00E61098"/>
    <w:rsid w:val="00E619A4"/>
    <w:rsid w:val="00E62177"/>
    <w:rsid w:val="00E62A45"/>
    <w:rsid w:val="00E645FC"/>
    <w:rsid w:val="00E6494D"/>
    <w:rsid w:val="00E6634F"/>
    <w:rsid w:val="00E6716A"/>
    <w:rsid w:val="00E67F40"/>
    <w:rsid w:val="00E70167"/>
    <w:rsid w:val="00E703C3"/>
    <w:rsid w:val="00E73F29"/>
    <w:rsid w:val="00E74899"/>
    <w:rsid w:val="00E759B1"/>
    <w:rsid w:val="00E80333"/>
    <w:rsid w:val="00E8107B"/>
    <w:rsid w:val="00E83629"/>
    <w:rsid w:val="00E838DB"/>
    <w:rsid w:val="00E83F7E"/>
    <w:rsid w:val="00E865F0"/>
    <w:rsid w:val="00E9310C"/>
    <w:rsid w:val="00E93979"/>
    <w:rsid w:val="00E93CD3"/>
    <w:rsid w:val="00E9501F"/>
    <w:rsid w:val="00E9676A"/>
    <w:rsid w:val="00EA379C"/>
    <w:rsid w:val="00EA4CB5"/>
    <w:rsid w:val="00EA67B2"/>
    <w:rsid w:val="00EB0757"/>
    <w:rsid w:val="00EB3C74"/>
    <w:rsid w:val="00EB5D98"/>
    <w:rsid w:val="00EB7A35"/>
    <w:rsid w:val="00EC027A"/>
    <w:rsid w:val="00EC05B4"/>
    <w:rsid w:val="00EC074E"/>
    <w:rsid w:val="00EC0B10"/>
    <w:rsid w:val="00EC33EA"/>
    <w:rsid w:val="00EC62F1"/>
    <w:rsid w:val="00EC6D41"/>
    <w:rsid w:val="00EC7E43"/>
    <w:rsid w:val="00ED03A3"/>
    <w:rsid w:val="00ED0AA7"/>
    <w:rsid w:val="00ED2F8A"/>
    <w:rsid w:val="00ED58AF"/>
    <w:rsid w:val="00ED7658"/>
    <w:rsid w:val="00EE1EE5"/>
    <w:rsid w:val="00EE2928"/>
    <w:rsid w:val="00EE359A"/>
    <w:rsid w:val="00EE5BA1"/>
    <w:rsid w:val="00EF2966"/>
    <w:rsid w:val="00EF7235"/>
    <w:rsid w:val="00F00A4D"/>
    <w:rsid w:val="00F01EA8"/>
    <w:rsid w:val="00F023A3"/>
    <w:rsid w:val="00F030F9"/>
    <w:rsid w:val="00F03152"/>
    <w:rsid w:val="00F04C8C"/>
    <w:rsid w:val="00F054DA"/>
    <w:rsid w:val="00F06144"/>
    <w:rsid w:val="00F07BCF"/>
    <w:rsid w:val="00F16EF8"/>
    <w:rsid w:val="00F16FAB"/>
    <w:rsid w:val="00F21CA5"/>
    <w:rsid w:val="00F31625"/>
    <w:rsid w:val="00F31BDC"/>
    <w:rsid w:val="00F32242"/>
    <w:rsid w:val="00F361A3"/>
    <w:rsid w:val="00F36CDE"/>
    <w:rsid w:val="00F36E39"/>
    <w:rsid w:val="00F40A8F"/>
    <w:rsid w:val="00F40FF5"/>
    <w:rsid w:val="00F41E1E"/>
    <w:rsid w:val="00F43ED1"/>
    <w:rsid w:val="00F44759"/>
    <w:rsid w:val="00F45144"/>
    <w:rsid w:val="00F4680B"/>
    <w:rsid w:val="00F47445"/>
    <w:rsid w:val="00F5046F"/>
    <w:rsid w:val="00F5088C"/>
    <w:rsid w:val="00F510AC"/>
    <w:rsid w:val="00F5374F"/>
    <w:rsid w:val="00F55E69"/>
    <w:rsid w:val="00F56B64"/>
    <w:rsid w:val="00F579BE"/>
    <w:rsid w:val="00F61E12"/>
    <w:rsid w:val="00F624C0"/>
    <w:rsid w:val="00F626E7"/>
    <w:rsid w:val="00F62D04"/>
    <w:rsid w:val="00F6434A"/>
    <w:rsid w:val="00F70887"/>
    <w:rsid w:val="00F70A7D"/>
    <w:rsid w:val="00F748DD"/>
    <w:rsid w:val="00F77EEC"/>
    <w:rsid w:val="00F81710"/>
    <w:rsid w:val="00F83E64"/>
    <w:rsid w:val="00F86EF9"/>
    <w:rsid w:val="00F86FB1"/>
    <w:rsid w:val="00F908E0"/>
    <w:rsid w:val="00F9335A"/>
    <w:rsid w:val="00F93755"/>
    <w:rsid w:val="00F93A32"/>
    <w:rsid w:val="00F94769"/>
    <w:rsid w:val="00F97EE2"/>
    <w:rsid w:val="00FA0810"/>
    <w:rsid w:val="00FA2895"/>
    <w:rsid w:val="00FA3DD7"/>
    <w:rsid w:val="00FA5031"/>
    <w:rsid w:val="00FA56FF"/>
    <w:rsid w:val="00FB106B"/>
    <w:rsid w:val="00FB4C6F"/>
    <w:rsid w:val="00FB64A1"/>
    <w:rsid w:val="00FB6732"/>
    <w:rsid w:val="00FB7D16"/>
    <w:rsid w:val="00FC110D"/>
    <w:rsid w:val="00FC3800"/>
    <w:rsid w:val="00FC4527"/>
    <w:rsid w:val="00FC65BE"/>
    <w:rsid w:val="00FC70C0"/>
    <w:rsid w:val="00FC7307"/>
    <w:rsid w:val="00FD1EEA"/>
    <w:rsid w:val="00FD30C0"/>
    <w:rsid w:val="00FD36CA"/>
    <w:rsid w:val="00FD3B41"/>
    <w:rsid w:val="00FD6C73"/>
    <w:rsid w:val="00FE486C"/>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943C3"/>
    <w:pPr>
      <w:autoSpaceDE w:val="0"/>
      <w:autoSpaceDN w:val="0"/>
      <w:spacing w:line="240" w:lineRule="auto"/>
      <w:jc w:val="left"/>
    </w:pPr>
    <w:rPr>
      <w:rFonts w:eastAsia="Times New Roman"/>
    </w:rPr>
  </w:style>
  <w:style w:type="character" w:customStyle="1" w:styleId="FootnoteTextChar">
    <w:name w:val="Footnote Text Char"/>
    <w:basedOn w:val="DefaultParagraphFont"/>
    <w:link w:val="FootnoteText"/>
    <w:semiHidden/>
    <w:rsid w:val="00D943C3"/>
    <w:rPr>
      <w:rFonts w:eastAsia="Times New Roman"/>
    </w:rPr>
  </w:style>
  <w:style w:type="character" w:styleId="FootnoteReference">
    <w:name w:val="footnote reference"/>
    <w:basedOn w:val="DefaultParagraphFont"/>
    <w:semiHidden/>
    <w:rsid w:val="00D943C3"/>
    <w:rPr>
      <w:vertAlign w:val="superscript"/>
    </w:rPr>
  </w:style>
  <w:style w:type="paragraph" w:styleId="Header">
    <w:name w:val="header"/>
    <w:basedOn w:val="Normal"/>
    <w:link w:val="HeaderChar"/>
    <w:uiPriority w:val="99"/>
    <w:semiHidden/>
    <w:unhideWhenUsed/>
    <w:rsid w:val="00C0306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0306B"/>
  </w:style>
  <w:style w:type="paragraph" w:styleId="Footer">
    <w:name w:val="footer"/>
    <w:basedOn w:val="Normal"/>
    <w:link w:val="FooterChar"/>
    <w:uiPriority w:val="99"/>
    <w:unhideWhenUsed/>
    <w:rsid w:val="00C0306B"/>
    <w:pPr>
      <w:tabs>
        <w:tab w:val="center" w:pos="4680"/>
        <w:tab w:val="right" w:pos="9360"/>
      </w:tabs>
      <w:spacing w:line="240" w:lineRule="auto"/>
    </w:pPr>
  </w:style>
  <w:style w:type="character" w:customStyle="1" w:styleId="FooterChar">
    <w:name w:val="Footer Char"/>
    <w:basedOn w:val="DefaultParagraphFont"/>
    <w:link w:val="Footer"/>
    <w:uiPriority w:val="99"/>
    <w:rsid w:val="00C0306B"/>
  </w:style>
  <w:style w:type="paragraph" w:styleId="ListParagraph">
    <w:name w:val="List Paragraph"/>
    <w:basedOn w:val="Normal"/>
    <w:uiPriority w:val="34"/>
    <w:qFormat/>
    <w:rsid w:val="00B74F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51EF9-6F1C-465D-8159-91EAE177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ashiflett</cp:lastModifiedBy>
  <cp:revision>4</cp:revision>
  <cp:lastPrinted>2011-03-30T15:16:00Z</cp:lastPrinted>
  <dcterms:created xsi:type="dcterms:W3CDTF">2011-03-18T13:33:00Z</dcterms:created>
  <dcterms:modified xsi:type="dcterms:W3CDTF">2011-05-11T18:01:00Z</dcterms:modified>
</cp:coreProperties>
</file>