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20" w:rsidRDefault="003C2720" w:rsidP="00F131FC">
      <w:pPr>
        <w:spacing w:after="0" w:line="240" w:lineRule="auto"/>
        <w:jc w:val="center"/>
        <w:rPr>
          <w:b/>
        </w:rPr>
      </w:pPr>
      <w:r>
        <w:rPr>
          <w:b/>
        </w:rPr>
        <w:t>BEFORE THE</w:t>
      </w:r>
    </w:p>
    <w:p w:rsidR="003C2720" w:rsidRDefault="003C2720" w:rsidP="00F131FC">
      <w:pPr>
        <w:spacing w:after="0" w:line="240" w:lineRule="auto"/>
        <w:jc w:val="center"/>
      </w:pPr>
      <w:r>
        <w:rPr>
          <w:b/>
        </w:rPr>
        <w:t>PENNSYLVANIA PUBLIC UTILITY COMMISSION</w:t>
      </w:r>
    </w:p>
    <w:p w:rsidR="003C2720" w:rsidRDefault="003C2720" w:rsidP="00F131FC">
      <w:pPr>
        <w:spacing w:after="0" w:line="240" w:lineRule="auto"/>
      </w:pPr>
    </w:p>
    <w:p w:rsidR="003C2720" w:rsidRDefault="003C2720" w:rsidP="00F131FC">
      <w:pPr>
        <w:spacing w:after="0" w:line="240" w:lineRule="auto"/>
      </w:pPr>
    </w:p>
    <w:p w:rsidR="003C2720" w:rsidRDefault="003C2720" w:rsidP="00F131FC">
      <w:pPr>
        <w:spacing w:after="0" w:line="240" w:lineRule="auto"/>
      </w:pPr>
    </w:p>
    <w:p w:rsidR="003C2720" w:rsidRDefault="003C2720" w:rsidP="00F131FC">
      <w:pPr>
        <w:spacing w:after="0" w:line="240" w:lineRule="auto"/>
      </w:pPr>
      <w:r>
        <w:t>Barry Laudenslager</w:t>
      </w:r>
      <w:r>
        <w:tab/>
      </w:r>
      <w:r>
        <w:tab/>
      </w:r>
      <w:r>
        <w:tab/>
      </w:r>
      <w:r>
        <w:tab/>
      </w:r>
      <w:r w:rsidR="00A257CA">
        <w:tab/>
      </w:r>
      <w:r>
        <w:t>:</w:t>
      </w:r>
    </w:p>
    <w:p w:rsidR="003C2720" w:rsidRDefault="00A257CA" w:rsidP="00F131F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720">
        <w:t>:</w:t>
      </w:r>
    </w:p>
    <w:p w:rsidR="003C2720" w:rsidRDefault="003C2720" w:rsidP="00F131FC">
      <w:pPr>
        <w:spacing w:after="0" w:line="240" w:lineRule="auto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 w:rsidR="00A257CA">
        <w:tab/>
      </w:r>
      <w:r>
        <w:t>:</w:t>
      </w:r>
      <w:r>
        <w:tab/>
      </w:r>
      <w:r w:rsidR="00A257CA">
        <w:tab/>
      </w:r>
      <w:r>
        <w:t>C-2010-2156300</w:t>
      </w:r>
    </w:p>
    <w:p w:rsidR="003C2720" w:rsidRDefault="00A257CA" w:rsidP="00F131F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720">
        <w:t>:</w:t>
      </w:r>
    </w:p>
    <w:p w:rsidR="003C2720" w:rsidRDefault="003C2720" w:rsidP="00F131FC">
      <w:pPr>
        <w:spacing w:after="0" w:line="240" w:lineRule="auto"/>
      </w:pPr>
      <w:r>
        <w:t>Duquesne Light Company</w:t>
      </w:r>
      <w:r w:rsidR="00A257CA">
        <w:tab/>
      </w:r>
      <w:r w:rsidR="00A257CA">
        <w:tab/>
      </w:r>
      <w:r w:rsidR="00A257CA">
        <w:tab/>
      </w:r>
      <w:r w:rsidR="00A257CA">
        <w:tab/>
      </w:r>
      <w:r>
        <w:t>:</w:t>
      </w:r>
    </w:p>
    <w:p w:rsidR="003C2720" w:rsidRDefault="003C2720" w:rsidP="00F131FC">
      <w:pPr>
        <w:spacing w:after="0" w:line="240" w:lineRule="auto"/>
      </w:pPr>
    </w:p>
    <w:p w:rsidR="00A257CA" w:rsidRDefault="00A257CA" w:rsidP="00F131FC">
      <w:pPr>
        <w:spacing w:after="0" w:line="240" w:lineRule="auto"/>
      </w:pPr>
    </w:p>
    <w:p w:rsidR="00564C5B" w:rsidRDefault="00564C5B" w:rsidP="00F131FC">
      <w:pPr>
        <w:spacing w:after="0" w:line="240" w:lineRule="auto"/>
        <w:jc w:val="center"/>
        <w:rPr>
          <w:b/>
          <w:u w:val="single"/>
        </w:rPr>
      </w:pPr>
    </w:p>
    <w:p w:rsidR="00B458BE" w:rsidRPr="003978F4" w:rsidRDefault="00B458BE" w:rsidP="00F131FC">
      <w:pPr>
        <w:spacing w:after="0" w:line="240" w:lineRule="auto"/>
        <w:jc w:val="center"/>
        <w:rPr>
          <w:b/>
          <w:u w:val="single"/>
        </w:rPr>
      </w:pPr>
      <w:r w:rsidRPr="003978F4">
        <w:rPr>
          <w:b/>
          <w:u w:val="single"/>
        </w:rPr>
        <w:t>INITIAL DECISION</w:t>
      </w:r>
    </w:p>
    <w:p w:rsidR="00B458BE" w:rsidRPr="003978F4" w:rsidRDefault="00B458BE" w:rsidP="00F131FC">
      <w:pPr>
        <w:spacing w:after="0" w:line="240" w:lineRule="auto"/>
        <w:jc w:val="center"/>
        <w:rPr>
          <w:b/>
        </w:rPr>
      </w:pPr>
    </w:p>
    <w:p w:rsidR="00564C5B" w:rsidRDefault="00564C5B" w:rsidP="00F131FC">
      <w:pPr>
        <w:spacing w:after="0" w:line="240" w:lineRule="auto"/>
        <w:jc w:val="center"/>
      </w:pPr>
    </w:p>
    <w:p w:rsidR="00B458BE" w:rsidRPr="003978F4" w:rsidRDefault="00B458BE" w:rsidP="00F131FC">
      <w:pPr>
        <w:spacing w:after="0" w:line="240" w:lineRule="auto"/>
        <w:jc w:val="center"/>
      </w:pPr>
      <w:r w:rsidRPr="003978F4">
        <w:t>Before</w:t>
      </w:r>
    </w:p>
    <w:p w:rsidR="00B458BE" w:rsidRPr="003978F4" w:rsidRDefault="00B458BE" w:rsidP="00F131FC">
      <w:pPr>
        <w:spacing w:after="0" w:line="240" w:lineRule="auto"/>
        <w:jc w:val="center"/>
      </w:pPr>
      <w:r w:rsidRPr="003978F4">
        <w:t>Mary D. Long</w:t>
      </w:r>
    </w:p>
    <w:p w:rsidR="00B458BE" w:rsidRDefault="00B458BE" w:rsidP="00F131FC">
      <w:pPr>
        <w:spacing w:after="0" w:line="240" w:lineRule="auto"/>
        <w:jc w:val="center"/>
      </w:pPr>
      <w:r w:rsidRPr="003978F4">
        <w:t>Administrative Law Judge</w:t>
      </w:r>
    </w:p>
    <w:p w:rsidR="00564C5B" w:rsidRPr="003978F4" w:rsidRDefault="00564C5B" w:rsidP="00564C5B">
      <w:pPr>
        <w:spacing w:after="0" w:line="240" w:lineRule="auto"/>
        <w:jc w:val="center"/>
        <w:rPr>
          <w:b/>
        </w:rPr>
      </w:pPr>
    </w:p>
    <w:p w:rsidR="00B458BE" w:rsidRDefault="00B458BE" w:rsidP="00564C5B">
      <w:pPr>
        <w:spacing w:after="0"/>
      </w:pPr>
    </w:p>
    <w:p w:rsidR="006A363D" w:rsidRDefault="00B458BE" w:rsidP="00564C5B">
      <w:pPr>
        <w:spacing w:after="0"/>
      </w:pPr>
      <w:r>
        <w:tab/>
      </w:r>
      <w:r w:rsidR="00564C5B">
        <w:tab/>
      </w:r>
      <w:r w:rsidR="006A363D">
        <w:t>This decision dismisses the complaint of Barry Laudenslager against Duquesne Light Company for failure to sustain his burden of proof.</w:t>
      </w:r>
    </w:p>
    <w:p w:rsidR="00A257CA" w:rsidRDefault="00A257CA" w:rsidP="00564C5B">
      <w:pPr>
        <w:spacing w:after="0"/>
      </w:pPr>
    </w:p>
    <w:p w:rsidR="006A363D" w:rsidRPr="00554CF5" w:rsidRDefault="006A363D" w:rsidP="00564C5B">
      <w:pPr>
        <w:spacing w:after="0"/>
        <w:jc w:val="center"/>
      </w:pPr>
      <w:r w:rsidRPr="00554CF5">
        <w:rPr>
          <w:u w:val="single"/>
        </w:rPr>
        <w:t>HISTORY OF THE PROCEEDINGS</w:t>
      </w:r>
    </w:p>
    <w:p w:rsidR="00A257CA" w:rsidRDefault="00A257CA" w:rsidP="00564C5B">
      <w:pPr>
        <w:spacing w:after="0"/>
      </w:pPr>
    </w:p>
    <w:p w:rsidR="006A363D" w:rsidRDefault="006A363D" w:rsidP="00564C5B">
      <w:pPr>
        <w:spacing w:after="0"/>
      </w:pPr>
      <w:r>
        <w:tab/>
      </w:r>
      <w:r w:rsidR="00564C5B">
        <w:tab/>
      </w:r>
      <w:r>
        <w:t>Barry Laudenslager (Complainant) filed a complaint against Duquesne Light Company (Duquesne) on January 25, 2010, alleging that he had installed an electric furnace</w:t>
      </w:r>
      <w:r w:rsidR="001F0A4D">
        <w:t xml:space="preserve"> in </w:t>
      </w:r>
      <w:r w:rsidR="00762223">
        <w:t>1999</w:t>
      </w:r>
      <w:r w:rsidR="0085557B">
        <w:t xml:space="preserve"> based upon a</w:t>
      </w:r>
      <w:r>
        <w:t xml:space="preserve"> “</w:t>
      </w:r>
      <w:r w:rsidR="0085557B">
        <w:t>discounted</w:t>
      </w:r>
      <w:r>
        <w:t xml:space="preserve"> rate” offered by Duquesne</w:t>
      </w:r>
      <w:r w:rsidR="001F0A4D">
        <w:t xml:space="preserve"> at that time, which had subsequently been phased out as of January 2010. </w:t>
      </w:r>
      <w:r w:rsidR="00EC1E3D">
        <w:t xml:space="preserve"> </w:t>
      </w:r>
      <w:r w:rsidR="001F0A4D">
        <w:t>He sought to either be “grandfathered” under the old rates or compensated for the cost to convert his electric furnace to a propane furnace.  Duquesne filed an answer on February 25, 2010</w:t>
      </w:r>
      <w:r w:rsidR="0039708A">
        <w:t>.  By letter dated March 3, 2011, this matter was assigned to me and scheduled for hearing on April 4, 2011.</w:t>
      </w:r>
      <w:r w:rsidR="00051A92">
        <w:t xml:space="preserve">  I issued a prehearing order on March 4, 2011.</w:t>
      </w:r>
    </w:p>
    <w:p w:rsidR="00564C5B" w:rsidRDefault="00564C5B" w:rsidP="00564C5B">
      <w:pPr>
        <w:spacing w:after="0"/>
      </w:pPr>
    </w:p>
    <w:p w:rsidR="00051A92" w:rsidRDefault="00564C5B" w:rsidP="00564C5B">
      <w:pPr>
        <w:spacing w:after="0"/>
        <w:ind w:firstLine="720"/>
      </w:pPr>
      <w:r>
        <w:tab/>
      </w:r>
      <w:r w:rsidR="00051A92">
        <w:t xml:space="preserve">A hearing was held as scheduled on April 4, 2011. </w:t>
      </w:r>
      <w:r w:rsidR="004A2848">
        <w:t xml:space="preserve"> </w:t>
      </w:r>
      <w:r w:rsidR="00051A92">
        <w:t xml:space="preserve">The Complainant appeared on his own behalf, but did not offer any exhibits into the record. </w:t>
      </w:r>
      <w:r w:rsidR="004A2848">
        <w:t xml:space="preserve"> </w:t>
      </w:r>
      <w:r w:rsidR="00051A92">
        <w:t xml:space="preserve">Duquesne, represented by </w:t>
      </w:r>
      <w:r w:rsidR="00C34C97">
        <w:t>Krysia</w:t>
      </w:r>
      <w:r w:rsidR="00051A92">
        <w:t xml:space="preserve"> Kubiak, Esquire, offered the testimony of two witnesses and offered six exhibits for admission into the record. </w:t>
      </w:r>
      <w:r w:rsidR="004A2848">
        <w:t xml:space="preserve"> </w:t>
      </w:r>
      <w:r w:rsidR="00051A92">
        <w:t xml:space="preserve">These exhibits were admitted without objection. </w:t>
      </w:r>
      <w:r w:rsidR="004A2848">
        <w:t xml:space="preserve"> </w:t>
      </w:r>
      <w:r w:rsidR="00051A92">
        <w:t xml:space="preserve">The record, consisting of the </w:t>
      </w:r>
      <w:r w:rsidR="00A257CA">
        <w:lastRenderedPageBreak/>
        <w:t>32</w:t>
      </w:r>
      <w:r w:rsidR="00051A92">
        <w:t xml:space="preserve">-page transcript of the hearing and the six exhibits, was closed by Order dated </w:t>
      </w:r>
      <w:r w:rsidR="00A257CA">
        <w:t>April 19, 2011</w:t>
      </w:r>
      <w:r w:rsidR="00051A92">
        <w:t>.</w:t>
      </w:r>
      <w:r w:rsidR="004A2848">
        <w:t xml:space="preserve"> </w:t>
      </w:r>
      <w:r w:rsidR="00051A92">
        <w:t xml:space="preserve"> Briefs have not been filed in this case. </w:t>
      </w:r>
    </w:p>
    <w:p w:rsidR="00564C5B" w:rsidRDefault="00564C5B" w:rsidP="00564C5B">
      <w:pPr>
        <w:spacing w:after="0"/>
        <w:ind w:firstLine="720"/>
      </w:pPr>
    </w:p>
    <w:p w:rsidR="00051A92" w:rsidRDefault="00564C5B" w:rsidP="00564C5B">
      <w:pPr>
        <w:spacing w:after="0"/>
        <w:ind w:firstLine="720"/>
      </w:pPr>
      <w:r>
        <w:tab/>
      </w:r>
      <w:r w:rsidR="00051A92">
        <w:t>After full consideration of all these materials, I make the following:</w:t>
      </w:r>
    </w:p>
    <w:p w:rsidR="00051A92" w:rsidRDefault="00051A92" w:rsidP="00564C5B">
      <w:pPr>
        <w:spacing w:after="0"/>
        <w:ind w:firstLine="720"/>
      </w:pPr>
    </w:p>
    <w:p w:rsidR="00051A92" w:rsidRPr="00C61974" w:rsidRDefault="00051A92" w:rsidP="00564C5B">
      <w:pPr>
        <w:spacing w:after="0"/>
        <w:jc w:val="center"/>
        <w:rPr>
          <w:u w:val="single"/>
        </w:rPr>
      </w:pPr>
      <w:r w:rsidRPr="00C61974">
        <w:rPr>
          <w:u w:val="single"/>
        </w:rPr>
        <w:t>FINDINGS OF FACT</w:t>
      </w:r>
    </w:p>
    <w:p w:rsidR="00564C5B" w:rsidRPr="003978F4" w:rsidRDefault="00564C5B" w:rsidP="00564C5B">
      <w:pPr>
        <w:spacing w:after="0"/>
        <w:jc w:val="center"/>
        <w:rPr>
          <w:b/>
          <w:u w:val="single"/>
        </w:rPr>
      </w:pPr>
    </w:p>
    <w:p w:rsidR="00051A92" w:rsidRDefault="00277F57" w:rsidP="00564C5B">
      <w:pPr>
        <w:pStyle w:val="ListParagraph"/>
      </w:pPr>
      <w:r>
        <w:t>The Complainant, Barry Laudenslager, resides at 87 Hookstown Road, Clinton, Pennsylvania in Allegheny County.</w:t>
      </w:r>
    </w:p>
    <w:p w:rsidR="00564C5B" w:rsidRDefault="00564C5B" w:rsidP="00564C5B">
      <w:pPr>
        <w:pStyle w:val="ListParagraph"/>
        <w:numPr>
          <w:ilvl w:val="0"/>
          <w:numId w:val="0"/>
        </w:numPr>
        <w:ind w:left="1440"/>
      </w:pPr>
    </w:p>
    <w:p w:rsidR="00277F57" w:rsidRDefault="00A257CA" w:rsidP="00564C5B">
      <w:pPr>
        <w:pStyle w:val="ListParagraph"/>
      </w:pPr>
      <w:r>
        <w:t>The R</w:t>
      </w:r>
      <w:r w:rsidR="00277F57">
        <w:t>espondent is Duquesne Light Company.</w:t>
      </w:r>
    </w:p>
    <w:p w:rsidR="00564C5B" w:rsidRDefault="00564C5B" w:rsidP="00564C5B">
      <w:pPr>
        <w:pStyle w:val="ListParagraph"/>
        <w:numPr>
          <w:ilvl w:val="0"/>
          <w:numId w:val="0"/>
        </w:numPr>
        <w:ind w:left="1440"/>
      </w:pPr>
    </w:p>
    <w:p w:rsidR="00277F57" w:rsidRDefault="009F7680" w:rsidP="00564C5B">
      <w:pPr>
        <w:pStyle w:val="ListParagraph"/>
      </w:pPr>
      <w:r>
        <w:t>In 1999, the</w:t>
      </w:r>
      <w:r w:rsidR="00277F57">
        <w:t xml:space="preserve"> Complainant chose to install an electric furnace rather than a propane furnace in his home. </w:t>
      </w:r>
      <w:r w:rsidR="004A2848">
        <w:t xml:space="preserve"> </w:t>
      </w:r>
      <w:r w:rsidR="00277F57">
        <w:t xml:space="preserve">He based this decision upon the representation of the installer that Duquesne offered a </w:t>
      </w:r>
      <w:r w:rsidR="005C6280">
        <w:t>“</w:t>
      </w:r>
      <w:r w:rsidR="00277F57">
        <w:t>discounted</w:t>
      </w:r>
      <w:r w:rsidR="005C6280">
        <w:t>”</w:t>
      </w:r>
      <w:r w:rsidR="00277F57">
        <w:t xml:space="preserve"> electricity rate</w:t>
      </w:r>
      <w:r w:rsidR="002A4DB2">
        <w:t>.</w:t>
      </w:r>
      <w:r w:rsidR="005C6280">
        <w:t xml:space="preserve">  (N.T. 14)</w:t>
      </w:r>
    </w:p>
    <w:p w:rsidR="00564C5B" w:rsidRDefault="00564C5B" w:rsidP="00564C5B">
      <w:pPr>
        <w:pStyle w:val="ListParagraph"/>
        <w:numPr>
          <w:ilvl w:val="0"/>
          <w:numId w:val="0"/>
        </w:numPr>
        <w:ind w:left="1440"/>
      </w:pPr>
    </w:p>
    <w:p w:rsidR="002A4DB2" w:rsidRDefault="002A4DB2" w:rsidP="00564C5B">
      <w:pPr>
        <w:pStyle w:val="ListParagraph"/>
      </w:pPr>
      <w:r>
        <w:t xml:space="preserve">After installing the furnace, he contacted Duquesne to verify that he qualified for the </w:t>
      </w:r>
      <w:r w:rsidR="005C6280">
        <w:t>“</w:t>
      </w:r>
      <w:r>
        <w:t>discounted</w:t>
      </w:r>
      <w:r w:rsidR="005C6280">
        <w:t>”</w:t>
      </w:r>
      <w:r>
        <w:t xml:space="preserve"> rate and was told that he did.</w:t>
      </w:r>
      <w:r w:rsidR="005C6280">
        <w:t xml:space="preserve">  This rate is rate RH or “residential heating” which is a rate for use by consumers who heat their homes</w:t>
      </w:r>
      <w:r w:rsidR="009F7680">
        <w:t xml:space="preserve"> primarily</w:t>
      </w:r>
      <w:r w:rsidR="005C6280">
        <w:t xml:space="preserve"> by electricity. </w:t>
      </w:r>
      <w:r w:rsidR="004A2848">
        <w:t xml:space="preserve"> </w:t>
      </w:r>
      <w:r w:rsidR="005C6280">
        <w:t>(N.T. 11, 14)</w:t>
      </w:r>
    </w:p>
    <w:p w:rsidR="00564C5B" w:rsidRDefault="00564C5B" w:rsidP="00564C5B">
      <w:pPr>
        <w:pStyle w:val="ListParagraph"/>
        <w:numPr>
          <w:ilvl w:val="0"/>
          <w:numId w:val="0"/>
        </w:numPr>
        <w:ind w:left="1440"/>
      </w:pPr>
    </w:p>
    <w:p w:rsidR="002A4DB2" w:rsidRDefault="005C6280" w:rsidP="00564C5B">
      <w:pPr>
        <w:pStyle w:val="ListParagraph"/>
      </w:pPr>
      <w:r>
        <w:t xml:space="preserve">Duquesne’s records indicate that he contacted them in January 2001. </w:t>
      </w:r>
      <w:r w:rsidR="004A2848">
        <w:t xml:space="preserve"> </w:t>
      </w:r>
      <w:r>
        <w:t>(N.T. 14)</w:t>
      </w:r>
    </w:p>
    <w:p w:rsidR="00564C5B" w:rsidRDefault="00564C5B" w:rsidP="00564C5B">
      <w:pPr>
        <w:pStyle w:val="ListParagraph"/>
        <w:numPr>
          <w:ilvl w:val="0"/>
          <w:numId w:val="0"/>
        </w:numPr>
        <w:ind w:left="1440"/>
      </w:pPr>
    </w:p>
    <w:p w:rsidR="002A4DB2" w:rsidRDefault="002A4DB2" w:rsidP="00564C5B">
      <w:pPr>
        <w:pStyle w:val="ListParagraph"/>
      </w:pPr>
      <w:r>
        <w:t>When the Complainant received his bill in January 2010, it was higher than he expected.</w:t>
      </w:r>
      <w:r w:rsidR="005B4962">
        <w:t xml:space="preserve"> </w:t>
      </w:r>
      <w:r w:rsidR="00A858BD">
        <w:t xml:space="preserve"> (N.T. 10)</w:t>
      </w:r>
    </w:p>
    <w:p w:rsidR="00564C5B" w:rsidRDefault="00564C5B" w:rsidP="00564C5B">
      <w:pPr>
        <w:pStyle w:val="ListParagraph"/>
        <w:numPr>
          <w:ilvl w:val="0"/>
          <w:numId w:val="0"/>
        </w:numPr>
        <w:ind w:left="1440"/>
      </w:pPr>
    </w:p>
    <w:p w:rsidR="002A4DB2" w:rsidRDefault="002A4DB2" w:rsidP="00564C5B">
      <w:pPr>
        <w:pStyle w:val="ListParagraph"/>
      </w:pPr>
      <w:r>
        <w:t>Thereafter, he turned off his electric furnace and began heating his home with electric space heaters, a wood stove and his wood-burning fireplace.</w:t>
      </w:r>
      <w:r w:rsidR="00A858BD">
        <w:t xml:space="preserve"> </w:t>
      </w:r>
      <w:r w:rsidR="005B4962">
        <w:t xml:space="preserve"> </w:t>
      </w:r>
      <w:r w:rsidR="00A858BD">
        <w:t>(N.T. 10-11)</w:t>
      </w:r>
    </w:p>
    <w:p w:rsidR="00564C5B" w:rsidRDefault="00564C5B" w:rsidP="00564C5B">
      <w:pPr>
        <w:pStyle w:val="ListParagraph"/>
        <w:numPr>
          <w:ilvl w:val="0"/>
          <w:numId w:val="0"/>
        </w:numPr>
        <w:ind w:left="1440"/>
      </w:pPr>
    </w:p>
    <w:p w:rsidR="00A858BD" w:rsidRDefault="00A858BD" w:rsidP="00564C5B">
      <w:pPr>
        <w:pStyle w:val="ListParagraph"/>
      </w:pPr>
      <w:r>
        <w:lastRenderedPageBreak/>
        <w:t>In January 2008, Duquesne received approval for a new RH and RS (residential service)</w:t>
      </w:r>
      <w:r w:rsidR="00C34A34">
        <w:t xml:space="preserve"> tariff, which phased out block rates for the winter months throughout 2008 and 2009, and transitioned to a single flat rate by January 2010. </w:t>
      </w:r>
      <w:r w:rsidR="005B4962">
        <w:t xml:space="preserve"> </w:t>
      </w:r>
      <w:r w:rsidR="00C34A34">
        <w:t>(N.T. 22; Duquesne Light Exs. 2 and 3)</w:t>
      </w:r>
    </w:p>
    <w:p w:rsidR="00564C5B" w:rsidRDefault="00564C5B" w:rsidP="00564C5B">
      <w:pPr>
        <w:pStyle w:val="ListParagraph"/>
        <w:numPr>
          <w:ilvl w:val="0"/>
          <w:numId w:val="0"/>
        </w:numPr>
        <w:ind w:left="1440"/>
      </w:pPr>
    </w:p>
    <w:p w:rsidR="00C34A34" w:rsidRDefault="00C34A34" w:rsidP="00564C5B">
      <w:pPr>
        <w:pStyle w:val="ListParagraph"/>
      </w:pPr>
      <w:r>
        <w:t>As of January 2010, the RH supply rate costs les</w:t>
      </w:r>
      <w:r w:rsidR="00CA12B3">
        <w:t xml:space="preserve">s per kilowatt-hour than the RS rate. </w:t>
      </w:r>
      <w:r w:rsidR="005B4962">
        <w:t xml:space="preserve"> </w:t>
      </w:r>
      <w:r w:rsidR="00CA12B3">
        <w:t>(N.T. 25-26; Duquesne Light Exs. 2 and 3)</w:t>
      </w:r>
    </w:p>
    <w:p w:rsidR="00564C5B" w:rsidRDefault="00564C5B" w:rsidP="00564C5B">
      <w:pPr>
        <w:pStyle w:val="ListParagraph"/>
        <w:numPr>
          <w:ilvl w:val="0"/>
          <w:numId w:val="0"/>
        </w:numPr>
        <w:ind w:left="1440"/>
      </w:pPr>
    </w:p>
    <w:p w:rsidR="00CA12B3" w:rsidRDefault="00CA12B3" w:rsidP="00564C5B">
      <w:pPr>
        <w:pStyle w:val="ListParagraph"/>
      </w:pPr>
      <w:r>
        <w:t xml:space="preserve">The Complainant continues to receive the RH rate. </w:t>
      </w:r>
      <w:r w:rsidR="005B4962">
        <w:t xml:space="preserve"> </w:t>
      </w:r>
      <w:r>
        <w:t xml:space="preserve">(N.T. </w:t>
      </w:r>
      <w:r w:rsidR="00317B8F">
        <w:t xml:space="preserve">21, </w:t>
      </w:r>
      <w:r>
        <w:t>25)</w:t>
      </w:r>
    </w:p>
    <w:p w:rsidR="00564C5B" w:rsidRDefault="00564C5B" w:rsidP="00564C5B">
      <w:pPr>
        <w:pStyle w:val="ListParagraph"/>
        <w:numPr>
          <w:ilvl w:val="0"/>
          <w:numId w:val="0"/>
        </w:numPr>
        <w:ind w:left="1440"/>
      </w:pPr>
    </w:p>
    <w:p w:rsidR="006B2E73" w:rsidRDefault="006B2E73" w:rsidP="00564C5B">
      <w:pPr>
        <w:pStyle w:val="ListParagraph"/>
      </w:pPr>
      <w:r>
        <w:t xml:space="preserve"> Deborah Brown testified on behalf of Duquesne Light. </w:t>
      </w:r>
      <w:r w:rsidR="005B4962">
        <w:t xml:space="preserve"> </w:t>
      </w:r>
      <w:r>
        <w:t xml:space="preserve">She has worked for Duquesne for 37 years and currently holds the position of regulatory analyst. </w:t>
      </w:r>
      <w:r w:rsidR="005B4962">
        <w:t xml:space="preserve"> </w:t>
      </w:r>
      <w:r>
        <w:t>(N.T. 16)</w:t>
      </w:r>
    </w:p>
    <w:p w:rsidR="00564C5B" w:rsidRDefault="00564C5B" w:rsidP="00564C5B">
      <w:pPr>
        <w:pStyle w:val="ListParagraph"/>
        <w:numPr>
          <w:ilvl w:val="0"/>
          <w:numId w:val="0"/>
        </w:numPr>
        <w:ind w:left="1440"/>
      </w:pPr>
    </w:p>
    <w:p w:rsidR="00E76DA6" w:rsidRDefault="006B2E73" w:rsidP="00564C5B">
      <w:pPr>
        <w:pStyle w:val="ListParagraph"/>
      </w:pPr>
      <w:r>
        <w:t xml:space="preserve"> She reviewed the Complainant’s usage and billing history. </w:t>
      </w:r>
      <w:r w:rsidR="005B4962">
        <w:t xml:space="preserve"> </w:t>
      </w:r>
      <w:r>
        <w:t>These records indicated that the Complainant historically has been a</w:t>
      </w:r>
      <w:r w:rsidR="00317B8F">
        <w:t xml:space="preserve"> high usage customer.  Before he installed his new furnace, the Complainant used</w:t>
      </w:r>
      <w:r w:rsidR="00E76DA6">
        <w:t xml:space="preserve"> 1</w:t>
      </w:r>
      <w:r w:rsidR="00D83A3D">
        <w:t>,</w:t>
      </w:r>
      <w:r w:rsidR="00E76DA6">
        <w:t xml:space="preserve">600 </w:t>
      </w:r>
      <w:r w:rsidR="00DE789A">
        <w:t>kilowatt-hours</w:t>
      </w:r>
      <w:r w:rsidR="00E76DA6">
        <w:t xml:space="preserve"> on a monthly average.</w:t>
      </w:r>
      <w:r w:rsidR="00317B8F">
        <w:t xml:space="preserve"> </w:t>
      </w:r>
      <w:r w:rsidR="005B4962">
        <w:t xml:space="preserve"> </w:t>
      </w:r>
      <w:r w:rsidR="00317B8F">
        <w:t>(N.T. 17</w:t>
      </w:r>
      <w:r w:rsidR="00D83A3D">
        <w:t>, 28</w:t>
      </w:r>
      <w:r w:rsidR="00317B8F">
        <w:t>)</w:t>
      </w:r>
    </w:p>
    <w:p w:rsidR="00564C5B" w:rsidRDefault="00564C5B" w:rsidP="00564C5B">
      <w:pPr>
        <w:pStyle w:val="ListParagraph"/>
        <w:numPr>
          <w:ilvl w:val="0"/>
          <w:numId w:val="0"/>
        </w:numPr>
        <w:ind w:left="1440"/>
      </w:pPr>
    </w:p>
    <w:p w:rsidR="00D83A3D" w:rsidRDefault="00D83A3D" w:rsidP="00564C5B">
      <w:pPr>
        <w:pStyle w:val="ListParagraph"/>
      </w:pPr>
      <w:r>
        <w:t xml:space="preserve">In 2009 the Complainant used approximately 1,900 kilowatt-hours on a monthly average. </w:t>
      </w:r>
      <w:r w:rsidR="005B4962">
        <w:t xml:space="preserve"> </w:t>
      </w:r>
      <w:r>
        <w:t>(N.T. 28)</w:t>
      </w:r>
    </w:p>
    <w:p w:rsidR="00564C5B" w:rsidRDefault="00564C5B" w:rsidP="00564C5B">
      <w:pPr>
        <w:pStyle w:val="ListParagraph"/>
        <w:numPr>
          <w:ilvl w:val="0"/>
          <w:numId w:val="0"/>
        </w:numPr>
        <w:ind w:left="1440"/>
      </w:pPr>
    </w:p>
    <w:p w:rsidR="00D83A3D" w:rsidRDefault="00D83A3D" w:rsidP="00564C5B">
      <w:pPr>
        <w:pStyle w:val="ListParagraph"/>
      </w:pPr>
      <w:r>
        <w:t xml:space="preserve">In 2010 the Complainant used approximately 1,300 kilowatt-hours on a monthly average. </w:t>
      </w:r>
      <w:r w:rsidR="005B4962">
        <w:t xml:space="preserve"> </w:t>
      </w:r>
      <w:r>
        <w:t>(N.T. 28)</w:t>
      </w:r>
    </w:p>
    <w:p w:rsidR="00564C5B" w:rsidRDefault="00564C5B" w:rsidP="00564C5B">
      <w:pPr>
        <w:pStyle w:val="ListParagraph"/>
        <w:numPr>
          <w:ilvl w:val="0"/>
          <w:numId w:val="0"/>
        </w:numPr>
        <w:ind w:left="1440"/>
      </w:pPr>
    </w:p>
    <w:p w:rsidR="00E76DA6" w:rsidRDefault="00E76DA6" w:rsidP="00564C5B">
      <w:pPr>
        <w:pStyle w:val="ListParagraph"/>
      </w:pPr>
      <w:r>
        <w:t>The Complainant’s meter was tested on February 11, 2005, and Duquesne determined that it was operating properly.</w:t>
      </w:r>
      <w:r w:rsidR="005B4962">
        <w:t xml:space="preserve"> </w:t>
      </w:r>
      <w:r w:rsidR="00317B8F">
        <w:t xml:space="preserve"> (N.T. 18)</w:t>
      </w:r>
    </w:p>
    <w:p w:rsidR="00564C5B" w:rsidRDefault="00564C5B" w:rsidP="00564C5B">
      <w:pPr>
        <w:spacing w:after="0"/>
      </w:pPr>
    </w:p>
    <w:p w:rsidR="00051A92" w:rsidRPr="00C61974" w:rsidRDefault="001A3C60" w:rsidP="00564C5B">
      <w:pPr>
        <w:spacing w:after="0"/>
        <w:jc w:val="center"/>
        <w:rPr>
          <w:u w:val="single"/>
        </w:rPr>
      </w:pPr>
      <w:r w:rsidRPr="00C61974">
        <w:rPr>
          <w:u w:val="single"/>
        </w:rPr>
        <w:t>DISCUSSION</w:t>
      </w:r>
    </w:p>
    <w:p w:rsidR="001A3C60" w:rsidRDefault="001A3C60" w:rsidP="00564C5B">
      <w:pPr>
        <w:spacing w:after="0"/>
        <w:jc w:val="center"/>
        <w:rPr>
          <w:b/>
        </w:rPr>
      </w:pPr>
    </w:p>
    <w:p w:rsidR="001A3C60" w:rsidRDefault="001A3C60" w:rsidP="00564C5B">
      <w:pPr>
        <w:spacing w:after="0"/>
        <w:ind w:firstLine="1440"/>
      </w:pPr>
      <w:r w:rsidRPr="00F81039">
        <w:t xml:space="preserve">Section 701 of the Public Utility </w:t>
      </w:r>
      <w:r>
        <w:t>C</w:t>
      </w:r>
      <w:r w:rsidRPr="00F81039">
        <w:t xml:space="preserve">ode (Code),  provides that any person may complain, in writing, about any act or thing done or omitted to be done by a public utility in </w:t>
      </w:r>
      <w:r w:rsidRPr="00F81039">
        <w:lastRenderedPageBreak/>
        <w:t>violation, or claimed violation, of any law which the Commission has the jurisdiction to administer, or of any regulation or order of the Commission.</w:t>
      </w:r>
      <w:r>
        <w:rPr>
          <w:rStyle w:val="FootnoteReference"/>
        </w:rPr>
        <w:footnoteReference w:id="1"/>
      </w:r>
      <w:r w:rsidRPr="00F81039">
        <w:t xml:space="preserve">  </w:t>
      </w:r>
      <w:r>
        <w:t>A person</w:t>
      </w:r>
      <w:r w:rsidRPr="00F81039">
        <w:t xml:space="preserve"> seeking affirmative relief from the Commi</w:t>
      </w:r>
      <w:r>
        <w:t>ssion has the burden of proof.</w:t>
      </w:r>
      <w:r>
        <w:rPr>
          <w:rStyle w:val="FootnoteReference"/>
        </w:rPr>
        <w:footnoteReference w:id="2"/>
      </w:r>
    </w:p>
    <w:p w:rsidR="00564C5B" w:rsidRPr="00F81039" w:rsidRDefault="00564C5B" w:rsidP="00564C5B">
      <w:pPr>
        <w:spacing w:after="0"/>
        <w:ind w:firstLine="1440"/>
      </w:pPr>
    </w:p>
    <w:p w:rsidR="001A3C60" w:rsidRDefault="000213A4" w:rsidP="00564C5B">
      <w:pPr>
        <w:spacing w:after="0"/>
        <w:ind w:firstLine="1440"/>
      </w:pPr>
      <w:r>
        <w:t>In this matter, the Complainant</w:t>
      </w:r>
      <w:r w:rsidR="001A3C60">
        <w:t xml:space="preserve"> </w:t>
      </w:r>
      <w:r w:rsidR="001A3C60" w:rsidRPr="00F81039">
        <w:t>is the party seeking affirmative relief from the Commission and</w:t>
      </w:r>
      <w:r w:rsidR="001A3C60">
        <w:t>,</w:t>
      </w:r>
      <w:r w:rsidR="001A3C60" w:rsidRPr="00F81039">
        <w:t xml:space="preserve"> therefore,</w:t>
      </w:r>
      <w:r w:rsidR="00FB1FB7">
        <w:t xml:space="preserve"> </w:t>
      </w:r>
      <w:r w:rsidR="001A3C60">
        <w:t>he</w:t>
      </w:r>
      <w:r w:rsidR="001A3C60" w:rsidRPr="00F81039">
        <w:t xml:space="preserve"> has the burden of proof.  This means that he has the duty to establish a fact by a preponderance of the evidence, and must show that </w:t>
      </w:r>
      <w:r w:rsidR="009F7680">
        <w:t>Duquesne has violated the Public Utility Code or Commission regulations</w:t>
      </w:r>
      <w:r w:rsidR="001A3C60" w:rsidRPr="00F81039">
        <w:t>.</w:t>
      </w:r>
      <w:r w:rsidR="001A3C60">
        <w:rPr>
          <w:rStyle w:val="FootnoteReference"/>
        </w:rPr>
        <w:footnoteReference w:id="3"/>
      </w:r>
      <w:r w:rsidR="001A3C60" w:rsidRPr="00F81039">
        <w:t xml:space="preserve"> </w:t>
      </w:r>
    </w:p>
    <w:p w:rsidR="00564C5B" w:rsidRPr="00F81039" w:rsidRDefault="00564C5B" w:rsidP="00564C5B">
      <w:pPr>
        <w:spacing w:after="0"/>
        <w:ind w:firstLine="1440"/>
      </w:pPr>
    </w:p>
    <w:p w:rsidR="00FB1FB7" w:rsidRDefault="00FB1FB7" w:rsidP="00564C5B">
      <w:pPr>
        <w:spacing w:after="0"/>
        <w:ind w:firstLine="1440"/>
      </w:pPr>
      <w:r>
        <w:t>The Complainant is not complaining that his bill is incorrect</w:t>
      </w:r>
      <w:r w:rsidR="001E3824">
        <w:t xml:space="preserve">. </w:t>
      </w:r>
      <w:r w:rsidR="005B4962">
        <w:t xml:space="preserve"> </w:t>
      </w:r>
      <w:r w:rsidR="001E3824">
        <w:t>Nor does he contend</w:t>
      </w:r>
      <w:r>
        <w:t xml:space="preserve"> that he did not use the electricity for which </w:t>
      </w:r>
      <w:r w:rsidR="00C34C97">
        <w:t>Duquesne</w:t>
      </w:r>
      <w:r>
        <w:t xml:space="preserve"> is charging him. </w:t>
      </w:r>
      <w:r w:rsidR="005B4962">
        <w:t xml:space="preserve"> </w:t>
      </w:r>
      <w:r>
        <w:t xml:space="preserve">Rather, it is his position that he </w:t>
      </w:r>
      <w:r w:rsidR="00525E69">
        <w:t xml:space="preserve">either </w:t>
      </w:r>
      <w:r>
        <w:t>should be charged based upon Duquesne’s former tariff</w:t>
      </w:r>
      <w:r w:rsidR="0012617C">
        <w:t>, or Duquesne should compensate him for changing his furnace from an electric furnace to a propane furnace as recompense for increasing their rates</w:t>
      </w:r>
      <w:r w:rsidR="001E3824">
        <w:t xml:space="preserve"> because he chose the electric furnace in reliance upon the rates that were in effect at the time that he installed his furnace</w:t>
      </w:r>
      <w:r w:rsidR="0012617C">
        <w:t>.</w:t>
      </w:r>
    </w:p>
    <w:p w:rsidR="00564C5B" w:rsidRDefault="00564C5B" w:rsidP="00564C5B">
      <w:pPr>
        <w:spacing w:after="0"/>
        <w:ind w:firstLine="1440"/>
      </w:pPr>
    </w:p>
    <w:p w:rsidR="00380E19" w:rsidRDefault="00380E19" w:rsidP="00564C5B">
      <w:pPr>
        <w:spacing w:after="0"/>
        <w:ind w:firstLine="1440"/>
      </w:pPr>
      <w:r>
        <w:t xml:space="preserve">Commission-approved tariffs have the force of law. </w:t>
      </w:r>
      <w:r w:rsidR="005B4962">
        <w:t xml:space="preserve"> </w:t>
      </w:r>
      <w:r>
        <w:t>A complainant may evade the effect of existing tariff by proving that the “facts and circumstances have changed so drastically as to render the application of the tariff provision unreasonable.”</w:t>
      </w:r>
      <w:r>
        <w:rPr>
          <w:rStyle w:val="FootnoteReference"/>
        </w:rPr>
        <w:footnoteReference w:id="4"/>
      </w:r>
      <w:r>
        <w:t xml:space="preserve"> </w:t>
      </w:r>
      <w:r w:rsidR="005B4962">
        <w:t xml:space="preserve"> </w:t>
      </w:r>
      <w:r>
        <w:t>This burden of proving these facts rests upon the Complainant and it is a heavy burden.</w:t>
      </w:r>
      <w:r>
        <w:rPr>
          <w:rStyle w:val="FootnoteReference"/>
        </w:rPr>
        <w:footnoteReference w:id="5"/>
      </w:r>
      <w:r>
        <w:t xml:space="preserve">  Tariff provisions previously approved by the Commission are </w:t>
      </w:r>
      <w:r w:rsidRPr="0039295D">
        <w:rPr>
          <w:i/>
        </w:rPr>
        <w:t>prima facie</w:t>
      </w:r>
      <w:r>
        <w:t xml:space="preserve"> reasonable.</w:t>
      </w:r>
      <w:r>
        <w:rPr>
          <w:rStyle w:val="FootnoteReference"/>
        </w:rPr>
        <w:footnoteReference w:id="6"/>
      </w:r>
      <w:r>
        <w:t xml:space="preserve">  </w:t>
      </w:r>
    </w:p>
    <w:p w:rsidR="00564C5B" w:rsidRDefault="00564C5B" w:rsidP="00564C5B">
      <w:pPr>
        <w:spacing w:after="0"/>
        <w:ind w:firstLine="1440"/>
      </w:pPr>
    </w:p>
    <w:p w:rsidR="00422851" w:rsidRDefault="00E858F8" w:rsidP="00564C5B">
      <w:pPr>
        <w:spacing w:after="0"/>
        <w:ind w:firstLine="1440"/>
      </w:pPr>
      <w:r>
        <w:lastRenderedPageBreak/>
        <w:t xml:space="preserve">Here, there do not appear to be any circumstances presented by the facts in this case which would render the application of Duquesne’s </w:t>
      </w:r>
      <w:r w:rsidR="00170C04">
        <w:t>Commission-</w:t>
      </w:r>
      <w:r>
        <w:t xml:space="preserve">approved tariff to the Complainant unreasonable. </w:t>
      </w:r>
      <w:r w:rsidR="00342273">
        <w:t>While he made the decision to choose an electric furnace based upon the electricity rates in place nearly ten year</w:t>
      </w:r>
      <w:r w:rsidR="000E3FDC">
        <w:t>s</w:t>
      </w:r>
      <w:r w:rsidR="00342273">
        <w:t xml:space="preserve"> ago, there is no evidence that Duquesne took any action to induce the Complainant to make that decision. </w:t>
      </w:r>
      <w:r w:rsidR="000637F9">
        <w:t xml:space="preserve"> </w:t>
      </w:r>
      <w:r w:rsidR="00342273">
        <w:t xml:space="preserve">In fact, the Complainant did not contact Duquesne about their residential heating rate until after he had installed the furnace.  </w:t>
      </w:r>
    </w:p>
    <w:p w:rsidR="00564C5B" w:rsidRDefault="00564C5B" w:rsidP="00564C5B">
      <w:pPr>
        <w:spacing w:after="0"/>
        <w:ind w:firstLine="1440"/>
      </w:pPr>
    </w:p>
    <w:p w:rsidR="00E858F8" w:rsidRDefault="00342273" w:rsidP="00564C5B">
      <w:pPr>
        <w:spacing w:after="0"/>
        <w:ind w:firstLine="1440"/>
      </w:pPr>
      <w:r>
        <w:t xml:space="preserve">Moreover, </w:t>
      </w:r>
      <w:r w:rsidR="00422851">
        <w:t xml:space="preserve">public utilities are permitted by law to adjust their rates when the increase in supply or distribution rates can be properly justified in a rate proceeding before the Commission. </w:t>
      </w:r>
      <w:r w:rsidR="000637F9">
        <w:t xml:space="preserve"> </w:t>
      </w:r>
      <w:r w:rsidR="001A1F97">
        <w:t>Indeed, the present RH tariff was approved in the context of a proceeding before the Commission</w:t>
      </w:r>
      <w:r w:rsidR="00EB5A79">
        <w:t xml:space="preserve"> in which the interests of residential consumers </w:t>
      </w:r>
      <w:r w:rsidR="009F7680">
        <w:t>and many others were represented and considered by the Commission</w:t>
      </w:r>
      <w:r w:rsidR="003F4FCE">
        <w:t>.</w:t>
      </w:r>
      <w:r w:rsidR="00D42730">
        <w:rPr>
          <w:rStyle w:val="FootnoteReference"/>
        </w:rPr>
        <w:footnoteReference w:id="7"/>
      </w:r>
      <w:r w:rsidR="009F7680">
        <w:t xml:space="preserve"> </w:t>
      </w:r>
    </w:p>
    <w:p w:rsidR="00564C5B" w:rsidRDefault="00564C5B" w:rsidP="00564C5B">
      <w:pPr>
        <w:spacing w:after="0"/>
        <w:ind w:firstLine="1440"/>
      </w:pPr>
    </w:p>
    <w:p w:rsidR="001B1CF0" w:rsidRDefault="001B1CF0" w:rsidP="00564C5B">
      <w:pPr>
        <w:spacing w:after="0"/>
        <w:ind w:firstLine="1440"/>
      </w:pPr>
      <w:r>
        <w:t xml:space="preserve">Accordingly, </w:t>
      </w:r>
      <w:r w:rsidR="009F7680">
        <w:t>there are no facts which support a conclusion that Duquesne violated Public Utility Code, its tariff or the Commission’s regulation.  T</w:t>
      </w:r>
      <w:r>
        <w:t>he complaint of Mr.</w:t>
      </w:r>
      <w:r w:rsidR="00564C5B">
        <w:t> </w:t>
      </w:r>
      <w:r>
        <w:t>Laudenslager will be dismissed.</w:t>
      </w:r>
    </w:p>
    <w:p w:rsidR="00564C5B" w:rsidRDefault="00564C5B" w:rsidP="00564C5B">
      <w:pPr>
        <w:spacing w:after="0"/>
        <w:ind w:firstLine="1440"/>
      </w:pPr>
    </w:p>
    <w:p w:rsidR="001B1CF0" w:rsidRPr="00C61974" w:rsidRDefault="001B1CF0" w:rsidP="00564C5B">
      <w:pPr>
        <w:spacing w:after="0"/>
        <w:jc w:val="center"/>
        <w:rPr>
          <w:u w:val="single"/>
        </w:rPr>
      </w:pPr>
      <w:r w:rsidRPr="00C61974">
        <w:rPr>
          <w:u w:val="single"/>
        </w:rPr>
        <w:t>CONCLUSION</w:t>
      </w:r>
      <w:r w:rsidR="000E3FDC">
        <w:rPr>
          <w:u w:val="single"/>
        </w:rPr>
        <w:t>S</w:t>
      </w:r>
      <w:r w:rsidRPr="00C61974">
        <w:rPr>
          <w:u w:val="single"/>
        </w:rPr>
        <w:t xml:space="preserve"> OF LAW</w:t>
      </w:r>
    </w:p>
    <w:p w:rsidR="00564C5B" w:rsidRPr="001B1CF0" w:rsidRDefault="00564C5B" w:rsidP="00564C5B">
      <w:pPr>
        <w:spacing w:after="0"/>
        <w:jc w:val="center"/>
        <w:rPr>
          <w:b/>
          <w:u w:val="single"/>
        </w:rPr>
      </w:pPr>
    </w:p>
    <w:p w:rsidR="002E76DB" w:rsidRDefault="001B1CF0" w:rsidP="00564C5B">
      <w:pPr>
        <w:spacing w:after="0"/>
      </w:pPr>
      <w:r>
        <w:tab/>
      </w:r>
      <w:r w:rsidR="00564C5B">
        <w:tab/>
      </w:r>
      <w:r>
        <w:t>1.</w:t>
      </w:r>
      <w:r w:rsidR="002E76DB">
        <w:tab/>
        <w:t>The Commission has jurisdiction over the subject</w:t>
      </w:r>
      <w:r w:rsidR="00A21756">
        <w:t xml:space="preserve"> </w:t>
      </w:r>
      <w:r w:rsidR="002E76DB">
        <w:t>matter of this complaint.</w:t>
      </w:r>
    </w:p>
    <w:p w:rsidR="00564C5B" w:rsidRDefault="00564C5B" w:rsidP="00564C5B">
      <w:pPr>
        <w:spacing w:after="0"/>
      </w:pPr>
    </w:p>
    <w:p w:rsidR="002E76DB" w:rsidRDefault="002E76DB" w:rsidP="00564C5B">
      <w:pPr>
        <w:spacing w:after="0"/>
      </w:pPr>
      <w:r>
        <w:tab/>
      </w:r>
      <w:r w:rsidR="00564C5B">
        <w:tab/>
      </w:r>
      <w:r>
        <w:t>2.</w:t>
      </w:r>
      <w:r>
        <w:tab/>
        <w:t>As the complaining party, Mr. Laudenslager bears the burden of proof.</w:t>
      </w:r>
    </w:p>
    <w:p w:rsidR="00564C5B" w:rsidRDefault="00564C5B" w:rsidP="00564C5B">
      <w:pPr>
        <w:spacing w:after="0"/>
      </w:pPr>
    </w:p>
    <w:p w:rsidR="001B1CF0" w:rsidRDefault="002E76DB" w:rsidP="00564C5B">
      <w:pPr>
        <w:spacing w:after="0"/>
      </w:pPr>
      <w:r>
        <w:tab/>
      </w:r>
      <w:r w:rsidR="00564C5B">
        <w:tab/>
      </w:r>
      <w:r>
        <w:t>3.</w:t>
      </w:r>
      <w:r>
        <w:tab/>
        <w:t xml:space="preserve">Mr. Laudenslager failed to sustain his burden of proving that Duquesne Light Company violated </w:t>
      </w:r>
      <w:r w:rsidR="00C87C47">
        <w:t xml:space="preserve">Public Utility Code, its tariff or </w:t>
      </w:r>
      <w:r>
        <w:t>the Commission’s regulations.</w:t>
      </w:r>
    </w:p>
    <w:p w:rsidR="002E76DB" w:rsidRDefault="002E76DB" w:rsidP="00564C5B">
      <w:pPr>
        <w:spacing w:after="0"/>
      </w:pPr>
    </w:p>
    <w:p w:rsidR="00564C5B" w:rsidRDefault="00564C5B">
      <w:pPr>
        <w:spacing w:after="200"/>
        <w:rPr>
          <w:b/>
          <w:u w:val="single"/>
        </w:rPr>
      </w:pPr>
      <w:r>
        <w:rPr>
          <w:b/>
          <w:u w:val="single"/>
        </w:rPr>
        <w:br w:type="page"/>
      </w:r>
    </w:p>
    <w:p w:rsidR="002E76DB" w:rsidRPr="002E24E0" w:rsidRDefault="002E76DB" w:rsidP="00564C5B">
      <w:pPr>
        <w:spacing w:after="0"/>
        <w:jc w:val="center"/>
        <w:rPr>
          <w:u w:val="single"/>
        </w:rPr>
      </w:pPr>
      <w:r w:rsidRPr="002E24E0">
        <w:rPr>
          <w:u w:val="single"/>
        </w:rPr>
        <w:lastRenderedPageBreak/>
        <w:t>ORDER</w:t>
      </w:r>
    </w:p>
    <w:p w:rsidR="00564C5B" w:rsidRDefault="00564C5B" w:rsidP="00564C5B">
      <w:pPr>
        <w:spacing w:after="0"/>
        <w:jc w:val="center"/>
        <w:rPr>
          <w:b/>
          <w:u w:val="single"/>
        </w:rPr>
      </w:pPr>
    </w:p>
    <w:p w:rsidR="00564C5B" w:rsidRPr="00943A92" w:rsidRDefault="00564C5B" w:rsidP="00564C5B">
      <w:pPr>
        <w:spacing w:after="0"/>
        <w:jc w:val="center"/>
        <w:rPr>
          <w:b/>
          <w:u w:val="single"/>
        </w:rPr>
      </w:pPr>
    </w:p>
    <w:p w:rsidR="004A17B6" w:rsidRDefault="00564C5B" w:rsidP="00564C5B">
      <w:pPr>
        <w:spacing w:after="0"/>
        <w:ind w:left="720"/>
      </w:pPr>
      <w:r>
        <w:tab/>
      </w:r>
      <w:r w:rsidR="00943A92">
        <w:t>THEREFORE,</w:t>
      </w:r>
    </w:p>
    <w:p w:rsidR="00564C5B" w:rsidRDefault="00564C5B" w:rsidP="00564C5B">
      <w:pPr>
        <w:spacing w:after="0"/>
        <w:ind w:left="720"/>
      </w:pPr>
    </w:p>
    <w:p w:rsidR="00943A92" w:rsidRDefault="00564C5B" w:rsidP="00564C5B">
      <w:pPr>
        <w:spacing w:after="0"/>
        <w:ind w:left="720"/>
      </w:pPr>
      <w:r>
        <w:tab/>
      </w:r>
      <w:r w:rsidR="00943A92">
        <w:t>IT IS ORDERED:</w:t>
      </w:r>
    </w:p>
    <w:p w:rsidR="00564C5B" w:rsidRDefault="00564C5B" w:rsidP="00564C5B">
      <w:pPr>
        <w:spacing w:after="0"/>
        <w:ind w:left="720"/>
      </w:pPr>
    </w:p>
    <w:p w:rsidR="004A17B6" w:rsidRDefault="004A17B6" w:rsidP="00564C5B">
      <w:pPr>
        <w:spacing w:after="0"/>
      </w:pPr>
      <w:r>
        <w:tab/>
      </w:r>
      <w:r w:rsidR="00564C5B">
        <w:tab/>
      </w:r>
      <w:r>
        <w:t>1.</w:t>
      </w:r>
      <w:r>
        <w:tab/>
        <w:t>That the complaint of Barry Laudenslager at Docket No. C-2010-2156300 is dismissed.</w:t>
      </w:r>
    </w:p>
    <w:p w:rsidR="00564C5B" w:rsidRDefault="00564C5B" w:rsidP="00564C5B">
      <w:pPr>
        <w:spacing w:after="0"/>
      </w:pPr>
    </w:p>
    <w:p w:rsidR="004A17B6" w:rsidRDefault="004A17B6" w:rsidP="00564C5B">
      <w:pPr>
        <w:spacing w:after="0"/>
      </w:pPr>
      <w:r>
        <w:tab/>
      </w:r>
      <w:r w:rsidR="00564C5B">
        <w:tab/>
      </w:r>
      <w:r>
        <w:t>2.</w:t>
      </w:r>
      <w:r>
        <w:tab/>
        <w:t xml:space="preserve">That the </w:t>
      </w:r>
      <w:r w:rsidR="000637F9">
        <w:t>S</w:t>
      </w:r>
      <w:r>
        <w:t>ecretary shall mark the docket closed.</w:t>
      </w:r>
    </w:p>
    <w:p w:rsidR="001A3C60" w:rsidRDefault="001A3C60" w:rsidP="00564C5B">
      <w:pPr>
        <w:spacing w:after="0"/>
      </w:pPr>
    </w:p>
    <w:p w:rsidR="0062614B" w:rsidRDefault="0062614B" w:rsidP="00564C5B">
      <w:pPr>
        <w:spacing w:after="0" w:line="240" w:lineRule="auto"/>
      </w:pPr>
    </w:p>
    <w:p w:rsidR="0062614B" w:rsidRPr="005A0859" w:rsidRDefault="0062614B" w:rsidP="0062614B">
      <w:pPr>
        <w:spacing w:after="0" w:line="240" w:lineRule="auto"/>
        <w:rPr>
          <w:szCs w:val="24"/>
          <w:u w:val="single"/>
        </w:rPr>
      </w:pPr>
      <w:r w:rsidRPr="005A0859">
        <w:rPr>
          <w:szCs w:val="24"/>
        </w:rPr>
        <w:t xml:space="preserve">Date:  </w:t>
      </w:r>
      <w:r>
        <w:rPr>
          <w:szCs w:val="24"/>
          <w:u w:val="single"/>
        </w:rPr>
        <w:t>April</w:t>
      </w:r>
      <w:r w:rsidRPr="005A0859">
        <w:rPr>
          <w:szCs w:val="24"/>
          <w:u w:val="single"/>
        </w:rPr>
        <w:t xml:space="preserve"> 29, 201</w:t>
      </w:r>
      <w:r>
        <w:rPr>
          <w:szCs w:val="24"/>
          <w:u w:val="single"/>
        </w:rPr>
        <w:t>1</w:t>
      </w:r>
      <w:r w:rsidRPr="005A0859">
        <w:rPr>
          <w:szCs w:val="24"/>
        </w:rPr>
        <w:tab/>
      </w:r>
      <w:r w:rsidRPr="005A0859">
        <w:rPr>
          <w:szCs w:val="24"/>
        </w:rPr>
        <w:tab/>
      </w:r>
      <w:r w:rsidRPr="005A0859">
        <w:rPr>
          <w:szCs w:val="24"/>
        </w:rPr>
        <w:tab/>
      </w:r>
      <w:r w:rsidRPr="005A0859">
        <w:rPr>
          <w:szCs w:val="24"/>
        </w:rPr>
        <w:tab/>
      </w:r>
      <w:r w:rsidRPr="005A0859">
        <w:rPr>
          <w:szCs w:val="24"/>
        </w:rPr>
        <w:tab/>
      </w:r>
      <w:r w:rsidRPr="005A0859">
        <w:rPr>
          <w:szCs w:val="24"/>
          <w:u w:val="single"/>
        </w:rPr>
        <w:tab/>
      </w:r>
      <w:r w:rsidRPr="005A0859">
        <w:rPr>
          <w:szCs w:val="24"/>
          <w:u w:val="single"/>
        </w:rPr>
        <w:tab/>
      </w:r>
      <w:r w:rsidRPr="005A0859">
        <w:rPr>
          <w:szCs w:val="24"/>
          <w:u w:val="single"/>
        </w:rPr>
        <w:tab/>
      </w:r>
      <w:r w:rsidRPr="005A0859">
        <w:rPr>
          <w:szCs w:val="24"/>
          <w:u w:val="single"/>
        </w:rPr>
        <w:tab/>
      </w:r>
      <w:r w:rsidRPr="005A0859">
        <w:rPr>
          <w:szCs w:val="24"/>
          <w:u w:val="single"/>
        </w:rPr>
        <w:tab/>
      </w:r>
    </w:p>
    <w:p w:rsidR="0062614B" w:rsidRPr="005A0859" w:rsidRDefault="0062614B" w:rsidP="0062614B">
      <w:pPr>
        <w:spacing w:after="0" w:line="240" w:lineRule="auto"/>
        <w:rPr>
          <w:szCs w:val="24"/>
        </w:rPr>
      </w:pPr>
      <w:r w:rsidRPr="005A0859">
        <w:rPr>
          <w:szCs w:val="24"/>
        </w:rPr>
        <w:tab/>
      </w:r>
      <w:r w:rsidRPr="005A0859">
        <w:rPr>
          <w:szCs w:val="24"/>
        </w:rPr>
        <w:tab/>
      </w:r>
      <w:r w:rsidRPr="005A0859">
        <w:rPr>
          <w:szCs w:val="24"/>
        </w:rPr>
        <w:tab/>
      </w:r>
      <w:r w:rsidRPr="005A0859">
        <w:rPr>
          <w:szCs w:val="24"/>
        </w:rPr>
        <w:tab/>
      </w:r>
      <w:r w:rsidRPr="005A0859">
        <w:rPr>
          <w:szCs w:val="24"/>
        </w:rPr>
        <w:tab/>
      </w:r>
      <w:r w:rsidRPr="005A0859">
        <w:rPr>
          <w:szCs w:val="24"/>
        </w:rPr>
        <w:tab/>
      </w:r>
      <w:r w:rsidRPr="005A0859">
        <w:rPr>
          <w:szCs w:val="24"/>
        </w:rPr>
        <w:tab/>
        <w:t>Mary D. Long</w:t>
      </w:r>
    </w:p>
    <w:p w:rsidR="0062614B" w:rsidRPr="005A0859" w:rsidRDefault="0062614B" w:rsidP="0062614B">
      <w:pPr>
        <w:spacing w:after="0" w:line="240" w:lineRule="auto"/>
        <w:rPr>
          <w:szCs w:val="24"/>
        </w:rPr>
      </w:pPr>
      <w:r w:rsidRPr="005A0859">
        <w:rPr>
          <w:szCs w:val="24"/>
        </w:rPr>
        <w:tab/>
      </w:r>
      <w:r w:rsidRPr="005A0859">
        <w:rPr>
          <w:szCs w:val="24"/>
        </w:rPr>
        <w:tab/>
      </w:r>
      <w:r w:rsidRPr="005A0859">
        <w:rPr>
          <w:szCs w:val="24"/>
        </w:rPr>
        <w:tab/>
      </w:r>
      <w:r w:rsidRPr="005A0859">
        <w:rPr>
          <w:szCs w:val="24"/>
        </w:rPr>
        <w:tab/>
      </w:r>
      <w:r w:rsidRPr="005A0859">
        <w:rPr>
          <w:szCs w:val="24"/>
        </w:rPr>
        <w:tab/>
      </w:r>
      <w:r w:rsidRPr="005A0859">
        <w:rPr>
          <w:szCs w:val="24"/>
        </w:rPr>
        <w:tab/>
      </w:r>
      <w:r w:rsidRPr="005A0859">
        <w:rPr>
          <w:szCs w:val="24"/>
        </w:rPr>
        <w:tab/>
        <w:t>Administrative Law Judge</w:t>
      </w:r>
    </w:p>
    <w:p w:rsidR="0062614B" w:rsidRPr="005A0859" w:rsidRDefault="0062614B" w:rsidP="0062614B">
      <w:pPr>
        <w:spacing w:after="0" w:line="240" w:lineRule="auto"/>
        <w:rPr>
          <w:szCs w:val="24"/>
        </w:rPr>
      </w:pPr>
    </w:p>
    <w:p w:rsidR="00EE2826" w:rsidRDefault="00EE2826" w:rsidP="004326CA">
      <w:pPr>
        <w:spacing w:after="0" w:line="240" w:lineRule="auto"/>
      </w:pPr>
    </w:p>
    <w:sectPr w:rsidR="00EE2826" w:rsidSect="0062614B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356" w:rsidRDefault="00436356" w:rsidP="00E76DA6">
      <w:pPr>
        <w:spacing w:after="0" w:line="240" w:lineRule="auto"/>
      </w:pPr>
      <w:r>
        <w:separator/>
      </w:r>
    </w:p>
  </w:endnote>
  <w:endnote w:type="continuationSeparator" w:id="0">
    <w:p w:rsidR="00436356" w:rsidRDefault="00436356" w:rsidP="00E76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17629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62614B" w:rsidRDefault="00FA0492">
        <w:pPr>
          <w:pStyle w:val="Footer"/>
          <w:jc w:val="center"/>
        </w:pPr>
        <w:r w:rsidRPr="0062614B">
          <w:rPr>
            <w:sz w:val="22"/>
            <w:szCs w:val="22"/>
          </w:rPr>
          <w:fldChar w:fldCharType="begin"/>
        </w:r>
        <w:r w:rsidR="0062614B" w:rsidRPr="0062614B">
          <w:rPr>
            <w:sz w:val="22"/>
            <w:szCs w:val="22"/>
          </w:rPr>
          <w:instrText xml:space="preserve"> PAGE   \* MERGEFORMAT </w:instrText>
        </w:r>
        <w:r w:rsidRPr="0062614B">
          <w:rPr>
            <w:sz w:val="22"/>
            <w:szCs w:val="22"/>
          </w:rPr>
          <w:fldChar w:fldCharType="separate"/>
        </w:r>
        <w:r w:rsidR="004326CA">
          <w:rPr>
            <w:noProof/>
            <w:sz w:val="22"/>
            <w:szCs w:val="22"/>
          </w:rPr>
          <w:t>5</w:t>
        </w:r>
        <w:r w:rsidRPr="0062614B">
          <w:rPr>
            <w:sz w:val="22"/>
            <w:szCs w:val="22"/>
          </w:rPr>
          <w:fldChar w:fldCharType="end"/>
        </w:r>
      </w:p>
    </w:sdtContent>
  </w:sdt>
  <w:p w:rsidR="004A17B6" w:rsidRDefault="004A17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356" w:rsidRDefault="00436356" w:rsidP="00E76DA6">
      <w:pPr>
        <w:spacing w:after="0" w:line="240" w:lineRule="auto"/>
      </w:pPr>
      <w:r>
        <w:separator/>
      </w:r>
    </w:p>
  </w:footnote>
  <w:footnote w:type="continuationSeparator" w:id="0">
    <w:p w:rsidR="00436356" w:rsidRDefault="00436356" w:rsidP="00E76DA6">
      <w:pPr>
        <w:spacing w:after="0" w:line="240" w:lineRule="auto"/>
      </w:pPr>
      <w:r>
        <w:continuationSeparator/>
      </w:r>
    </w:p>
  </w:footnote>
  <w:footnote w:id="1">
    <w:p w:rsidR="004A17B6" w:rsidRDefault="004A17B6" w:rsidP="000637F9">
      <w:pPr>
        <w:pStyle w:val="FootnoteText"/>
        <w:spacing w:after="0"/>
      </w:pPr>
      <w:r w:rsidRPr="00C81B96">
        <w:rPr>
          <w:rStyle w:val="FootnoteReference"/>
        </w:rPr>
        <w:footnoteRef/>
      </w:r>
      <w:r w:rsidRPr="00C81B96">
        <w:t xml:space="preserve"> </w:t>
      </w:r>
      <w:r>
        <w:tab/>
      </w:r>
      <w:r w:rsidRPr="00C81B96">
        <w:t>66 Pa. C.S. §701.</w:t>
      </w:r>
    </w:p>
    <w:p w:rsidR="000637F9" w:rsidRPr="00C81B96" w:rsidRDefault="000637F9" w:rsidP="000637F9">
      <w:pPr>
        <w:pStyle w:val="FootnoteText"/>
        <w:spacing w:after="0"/>
      </w:pPr>
    </w:p>
  </w:footnote>
  <w:footnote w:id="2">
    <w:p w:rsidR="004A17B6" w:rsidRDefault="004A17B6" w:rsidP="000637F9">
      <w:pPr>
        <w:pStyle w:val="FootnoteText"/>
        <w:spacing w:after="0"/>
      </w:pPr>
      <w:r w:rsidRPr="00C81B96">
        <w:rPr>
          <w:rStyle w:val="FootnoteReference"/>
        </w:rPr>
        <w:footnoteRef/>
      </w:r>
      <w:r w:rsidRPr="00C81B96">
        <w:t xml:space="preserve"> </w:t>
      </w:r>
      <w:r>
        <w:tab/>
      </w:r>
      <w:r w:rsidRPr="00C81B96">
        <w:t>66 Pa. C.S. §332(a).</w:t>
      </w:r>
    </w:p>
    <w:p w:rsidR="000637F9" w:rsidRPr="00C81B96" w:rsidRDefault="000637F9" w:rsidP="000637F9">
      <w:pPr>
        <w:pStyle w:val="FootnoteText"/>
        <w:spacing w:after="0"/>
      </w:pPr>
    </w:p>
  </w:footnote>
  <w:footnote w:id="3">
    <w:p w:rsidR="004A17B6" w:rsidRDefault="004A17B6" w:rsidP="000637F9">
      <w:pPr>
        <w:pStyle w:val="FootnoteText"/>
        <w:spacing w:after="0"/>
      </w:pPr>
      <w:r w:rsidRPr="00C81B96">
        <w:rPr>
          <w:rStyle w:val="FootnoteReference"/>
        </w:rPr>
        <w:footnoteRef/>
      </w:r>
      <w:r w:rsidRPr="00C81B96">
        <w:t xml:space="preserve"> </w:t>
      </w:r>
      <w:r>
        <w:tab/>
      </w:r>
      <w:r w:rsidRPr="000637F9">
        <w:rPr>
          <w:i/>
        </w:rPr>
        <w:t>Se-Ling Hosiery, Inc. v. Margulies</w:t>
      </w:r>
      <w:r w:rsidRPr="00C81B96">
        <w:t xml:space="preserve">, 364 Pa. 45, 70 A.2d 854 (1950); </w:t>
      </w:r>
      <w:r w:rsidRPr="000637F9">
        <w:rPr>
          <w:i/>
        </w:rPr>
        <w:t>Feinstein v. Philadelphia Suburban Water Company</w:t>
      </w:r>
      <w:r w:rsidRPr="000213A4">
        <w:t>,</w:t>
      </w:r>
      <w:r w:rsidRPr="00C81B96">
        <w:t xml:space="preserve"> 50 PA PUC 300 (1976).</w:t>
      </w:r>
    </w:p>
    <w:p w:rsidR="000637F9" w:rsidRPr="00C81B96" w:rsidRDefault="000637F9" w:rsidP="000637F9">
      <w:pPr>
        <w:pStyle w:val="FootnoteText"/>
        <w:spacing w:after="0"/>
      </w:pPr>
    </w:p>
  </w:footnote>
  <w:footnote w:id="4">
    <w:p w:rsidR="004A17B6" w:rsidRDefault="004A17B6" w:rsidP="000637F9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637F9">
        <w:rPr>
          <w:i/>
        </w:rPr>
        <w:t>Shenango Township Board of Supervisors v. Pa. Public Util. Comm’n</w:t>
      </w:r>
      <w:r>
        <w:t>, 606 A.2d 910, 913 (Pa. Cmwlth. 1996).</w:t>
      </w:r>
    </w:p>
    <w:p w:rsidR="000637F9" w:rsidRPr="00A95553" w:rsidRDefault="000637F9" w:rsidP="000637F9">
      <w:pPr>
        <w:pStyle w:val="FootnoteText"/>
        <w:spacing w:after="0"/>
      </w:pPr>
    </w:p>
  </w:footnote>
  <w:footnote w:id="5">
    <w:p w:rsidR="004A17B6" w:rsidRDefault="004A17B6" w:rsidP="000637F9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81321">
        <w:rPr>
          <w:i/>
        </w:rPr>
        <w:t>Id</w:t>
      </w:r>
      <w:r>
        <w:t>.</w:t>
      </w:r>
    </w:p>
    <w:p w:rsidR="000637F9" w:rsidRPr="00A95553" w:rsidRDefault="000637F9" w:rsidP="000637F9">
      <w:pPr>
        <w:pStyle w:val="FootnoteText"/>
        <w:spacing w:after="0"/>
      </w:pPr>
    </w:p>
  </w:footnote>
  <w:footnote w:id="6">
    <w:p w:rsidR="004A17B6" w:rsidRPr="0070171B" w:rsidRDefault="004A17B6" w:rsidP="000637F9">
      <w:pPr>
        <w:pStyle w:val="FootnoteText"/>
        <w:spacing w:after="0"/>
      </w:pPr>
      <w:r>
        <w:rPr>
          <w:rStyle w:val="FootnoteReference"/>
        </w:rPr>
        <w:footnoteRef/>
      </w:r>
      <w:r>
        <w:tab/>
      </w:r>
      <w:r w:rsidRPr="00681321">
        <w:rPr>
          <w:i/>
        </w:rPr>
        <w:t>Id</w:t>
      </w:r>
      <w:r>
        <w:t>.</w:t>
      </w:r>
    </w:p>
  </w:footnote>
  <w:footnote w:id="7">
    <w:p w:rsidR="004A17B6" w:rsidRPr="000637F9" w:rsidRDefault="004A17B6" w:rsidP="000637F9">
      <w:pPr>
        <w:pStyle w:val="FootnoteText"/>
      </w:pPr>
      <w:r w:rsidRPr="000637F9">
        <w:rPr>
          <w:rStyle w:val="FootnoteReference"/>
        </w:rPr>
        <w:footnoteRef/>
      </w:r>
      <w:r w:rsidRPr="000637F9">
        <w:t xml:space="preserve"> </w:t>
      </w:r>
      <w:r w:rsidRPr="000637F9">
        <w:tab/>
        <w:t>Petition of Duquesne Light Company for Approval of a Default Service Plan for the Period January 1, 2008 through December 31, 2010, PUC Docket No. P-00072247 (Order entered June 22, 2007).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F4D66D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DDEAD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D46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9048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085A04"/>
    <w:multiLevelType w:val="hybridMultilevel"/>
    <w:tmpl w:val="1CFEAA2E"/>
    <w:lvl w:ilvl="0" w:tplc="1E9807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665D0"/>
    <w:multiLevelType w:val="hybridMultilevel"/>
    <w:tmpl w:val="249E0564"/>
    <w:lvl w:ilvl="0" w:tplc="09E03E32">
      <w:start w:val="1"/>
      <w:numFmt w:val="decimal"/>
      <w:pStyle w:val="ListParagraph"/>
      <w:lvlText w:val="%1."/>
      <w:lvlJc w:val="left"/>
      <w:pPr>
        <w:ind w:left="1080" w:firstLine="360"/>
      </w:pPr>
      <w:rPr>
        <w:rFonts w:ascii="Times New Roman" w:hAnsi="Times New Roman" w:hint="default"/>
        <w:b w:val="0"/>
        <w:i w:val="0"/>
        <w:color w:val="auto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67E6D"/>
    <w:multiLevelType w:val="hybridMultilevel"/>
    <w:tmpl w:val="206888BA"/>
    <w:lvl w:ilvl="0" w:tplc="CC3E03D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869B3"/>
    <w:multiLevelType w:val="hybridMultilevel"/>
    <w:tmpl w:val="048EFC0E"/>
    <w:lvl w:ilvl="0" w:tplc="3FCA94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B1F29"/>
    <w:multiLevelType w:val="hybridMultilevel"/>
    <w:tmpl w:val="5E08BFA6"/>
    <w:lvl w:ilvl="0" w:tplc="E63E9F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8BE"/>
    <w:rsid w:val="0001124B"/>
    <w:rsid w:val="000213A4"/>
    <w:rsid w:val="00051A92"/>
    <w:rsid w:val="000637F9"/>
    <w:rsid w:val="000E3FDC"/>
    <w:rsid w:val="0012617C"/>
    <w:rsid w:val="00170C04"/>
    <w:rsid w:val="001A1F97"/>
    <w:rsid w:val="001A3C60"/>
    <w:rsid w:val="001B1CF0"/>
    <w:rsid w:val="001C102B"/>
    <w:rsid w:val="001C63E2"/>
    <w:rsid w:val="001E3824"/>
    <w:rsid w:val="001E4DAF"/>
    <w:rsid w:val="001F0A4D"/>
    <w:rsid w:val="00211026"/>
    <w:rsid w:val="00246040"/>
    <w:rsid w:val="00277F57"/>
    <w:rsid w:val="002A4DB2"/>
    <w:rsid w:val="002C4338"/>
    <w:rsid w:val="002D0C73"/>
    <w:rsid w:val="002E24E0"/>
    <w:rsid w:val="002E76DB"/>
    <w:rsid w:val="00315E8B"/>
    <w:rsid w:val="00317B8F"/>
    <w:rsid w:val="00342273"/>
    <w:rsid w:val="00380E19"/>
    <w:rsid w:val="0039295D"/>
    <w:rsid w:val="0039708A"/>
    <w:rsid w:val="003978F4"/>
    <w:rsid w:val="003C2720"/>
    <w:rsid w:val="003F4FCE"/>
    <w:rsid w:val="004102C5"/>
    <w:rsid w:val="00422851"/>
    <w:rsid w:val="004326CA"/>
    <w:rsid w:val="004331AD"/>
    <w:rsid w:val="00436112"/>
    <w:rsid w:val="00436356"/>
    <w:rsid w:val="004437BE"/>
    <w:rsid w:val="00443DD5"/>
    <w:rsid w:val="00444146"/>
    <w:rsid w:val="00465BED"/>
    <w:rsid w:val="004A17B6"/>
    <w:rsid w:val="004A2848"/>
    <w:rsid w:val="004D5974"/>
    <w:rsid w:val="00525E69"/>
    <w:rsid w:val="00554CF5"/>
    <w:rsid w:val="00560D36"/>
    <w:rsid w:val="00564C5B"/>
    <w:rsid w:val="005B4962"/>
    <w:rsid w:val="005C6280"/>
    <w:rsid w:val="0062614B"/>
    <w:rsid w:val="00630551"/>
    <w:rsid w:val="00646F23"/>
    <w:rsid w:val="006670A5"/>
    <w:rsid w:val="006A363D"/>
    <w:rsid w:val="006B2E73"/>
    <w:rsid w:val="006E014F"/>
    <w:rsid w:val="006F78AD"/>
    <w:rsid w:val="00762223"/>
    <w:rsid w:val="007C7C16"/>
    <w:rsid w:val="0085557B"/>
    <w:rsid w:val="00857A24"/>
    <w:rsid w:val="00894B6D"/>
    <w:rsid w:val="00927ED9"/>
    <w:rsid w:val="00932462"/>
    <w:rsid w:val="00943A92"/>
    <w:rsid w:val="009A54B4"/>
    <w:rsid w:val="009B38D3"/>
    <w:rsid w:val="009F7680"/>
    <w:rsid w:val="00A00962"/>
    <w:rsid w:val="00A21756"/>
    <w:rsid w:val="00A257CA"/>
    <w:rsid w:val="00A858BD"/>
    <w:rsid w:val="00AD373A"/>
    <w:rsid w:val="00AD41BC"/>
    <w:rsid w:val="00B458BE"/>
    <w:rsid w:val="00B763B1"/>
    <w:rsid w:val="00C34A34"/>
    <w:rsid w:val="00C34C97"/>
    <w:rsid w:val="00C44A5B"/>
    <w:rsid w:val="00C61974"/>
    <w:rsid w:val="00C86505"/>
    <w:rsid w:val="00C87C47"/>
    <w:rsid w:val="00C90681"/>
    <w:rsid w:val="00CA12B3"/>
    <w:rsid w:val="00CC2EEA"/>
    <w:rsid w:val="00CD1821"/>
    <w:rsid w:val="00CF503C"/>
    <w:rsid w:val="00D04C5F"/>
    <w:rsid w:val="00D11993"/>
    <w:rsid w:val="00D42730"/>
    <w:rsid w:val="00D47475"/>
    <w:rsid w:val="00D6201F"/>
    <w:rsid w:val="00D83A3D"/>
    <w:rsid w:val="00D86627"/>
    <w:rsid w:val="00D93BF1"/>
    <w:rsid w:val="00DD3811"/>
    <w:rsid w:val="00DE63ED"/>
    <w:rsid w:val="00DE789A"/>
    <w:rsid w:val="00E152AC"/>
    <w:rsid w:val="00E76DA6"/>
    <w:rsid w:val="00E858F8"/>
    <w:rsid w:val="00EB5A79"/>
    <w:rsid w:val="00EC1E3D"/>
    <w:rsid w:val="00EC2C0C"/>
    <w:rsid w:val="00EE2826"/>
    <w:rsid w:val="00F0142E"/>
    <w:rsid w:val="00F131FC"/>
    <w:rsid w:val="00F348F9"/>
    <w:rsid w:val="00FA0492"/>
    <w:rsid w:val="00FB1FB7"/>
    <w:rsid w:val="00FF3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6"/>
        <w:szCs w:val="26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A4"/>
    <w:pPr>
      <w:spacing w:after="120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basedOn w:val="Normal"/>
    <w:link w:val="FootnoteTextChar"/>
    <w:autoRedefine/>
    <w:unhideWhenUsed/>
    <w:qFormat/>
    <w:rsid w:val="000637F9"/>
    <w:pPr>
      <w:spacing w:line="240" w:lineRule="auto"/>
      <w:ind w:firstLine="7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637F9"/>
    <w:rPr>
      <w:rFonts w:cs="Times New Roman"/>
      <w:sz w:val="20"/>
      <w:szCs w:val="20"/>
    </w:rPr>
  </w:style>
  <w:style w:type="paragraph" w:styleId="ListParagraph">
    <w:name w:val="List Paragraph"/>
    <w:basedOn w:val="Normal"/>
    <w:autoRedefine/>
    <w:uiPriority w:val="34"/>
    <w:qFormat/>
    <w:rsid w:val="00564C5B"/>
    <w:pPr>
      <w:numPr>
        <w:numId w:val="5"/>
      </w:numPr>
      <w:spacing w:after="0"/>
      <w:ind w:left="0" w:firstLine="144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76D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DA6"/>
    <w:rPr>
      <w:rFonts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76D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DA6"/>
    <w:rPr>
      <w:rFonts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1378-988F-4937-802D-5CC88534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 Long</dc:creator>
  <cp:keywords/>
  <dc:description/>
  <cp:lastModifiedBy>dreitenbac</cp:lastModifiedBy>
  <cp:revision>3</cp:revision>
  <cp:lastPrinted>2011-04-29T16:36:00Z</cp:lastPrinted>
  <dcterms:created xsi:type="dcterms:W3CDTF">2011-04-29T16:53:00Z</dcterms:created>
  <dcterms:modified xsi:type="dcterms:W3CDTF">2011-05-17T21:50:00Z</dcterms:modified>
</cp:coreProperties>
</file>