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250"/>
        <w:gridCol w:w="270"/>
        <w:gridCol w:w="720"/>
        <w:gridCol w:w="990"/>
        <w:gridCol w:w="2790"/>
      </w:tblGrid>
      <w:tr w:rsidR="00B065FE" w:rsidRPr="00620D6E" w:rsidTr="005D7BE0">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D7BE0">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D7BE0">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D7BE0">
        <w:tc>
          <w:tcPr>
            <w:tcW w:w="4698" w:type="dxa"/>
            <w:gridSpan w:val="2"/>
          </w:tcPr>
          <w:p w:rsidR="00B065FE" w:rsidRPr="00F81A20" w:rsidRDefault="00B065FE">
            <w:pPr>
              <w:rPr>
                <w:color w:val="000000"/>
                <w:sz w:val="26"/>
                <w:szCs w:val="26"/>
              </w:rPr>
            </w:pPr>
          </w:p>
        </w:tc>
        <w:tc>
          <w:tcPr>
            <w:tcW w:w="4770" w:type="dxa"/>
            <w:gridSpan w:val="4"/>
          </w:tcPr>
          <w:p w:rsidR="00B065FE" w:rsidRPr="00F81A20" w:rsidRDefault="00B065FE" w:rsidP="00E16C3E">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A36E4D">
              <w:rPr>
                <w:color w:val="000000"/>
                <w:sz w:val="26"/>
                <w:szCs w:val="26"/>
              </w:rPr>
              <w:t>May 19</w:t>
            </w:r>
            <w:r w:rsidR="00EF334E">
              <w:rPr>
                <w:color w:val="000000"/>
                <w:sz w:val="26"/>
                <w:szCs w:val="26"/>
              </w:rPr>
              <w:t>, 2011</w:t>
            </w:r>
          </w:p>
        </w:tc>
      </w:tr>
      <w:tr w:rsidR="00B065FE" w:rsidRPr="00620D6E" w:rsidTr="005D7BE0">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D7BE0">
        <w:tc>
          <w:tcPr>
            <w:tcW w:w="9468" w:type="dxa"/>
            <w:gridSpan w:val="6"/>
          </w:tcPr>
          <w:p w:rsidR="00542312" w:rsidRPr="00F81A20" w:rsidRDefault="00542312">
            <w:pPr>
              <w:rPr>
                <w:color w:val="000000"/>
                <w:sz w:val="26"/>
                <w:szCs w:val="26"/>
              </w:rPr>
            </w:pPr>
          </w:p>
        </w:tc>
      </w:tr>
      <w:tr w:rsidR="00195A2F" w:rsidRPr="00620D6E" w:rsidTr="005D7BE0">
        <w:trPr>
          <w:trHeight w:val="1546"/>
        </w:trPr>
        <w:tc>
          <w:tcPr>
            <w:tcW w:w="9468" w:type="dxa"/>
            <w:gridSpan w:val="6"/>
          </w:tcPr>
          <w:p w:rsidR="00195A2F" w:rsidRPr="00F81A20" w:rsidRDefault="00EF334E" w:rsidP="00D945BC">
            <w:pPr>
              <w:pStyle w:val="p5"/>
              <w:ind w:left="720"/>
              <w:rPr>
                <w:color w:val="000000"/>
                <w:sz w:val="26"/>
                <w:szCs w:val="26"/>
              </w:rPr>
            </w:pPr>
            <w:r>
              <w:rPr>
                <w:color w:val="000000"/>
                <w:sz w:val="26"/>
                <w:szCs w:val="26"/>
              </w:rPr>
              <w:t>Robert F. Powelson,</w:t>
            </w:r>
            <w:r w:rsidR="00195A2F" w:rsidRPr="00F81A20">
              <w:rPr>
                <w:color w:val="000000"/>
                <w:sz w:val="26"/>
                <w:szCs w:val="26"/>
              </w:rPr>
              <w:t xml:space="preserve"> Chairman</w:t>
            </w:r>
          </w:p>
          <w:p w:rsidR="00195A2F" w:rsidRPr="00F81A20" w:rsidRDefault="00EF334E" w:rsidP="00D945BC">
            <w:pPr>
              <w:pStyle w:val="p5"/>
              <w:ind w:left="720"/>
              <w:rPr>
                <w:color w:val="000000"/>
                <w:sz w:val="26"/>
                <w:szCs w:val="26"/>
              </w:rPr>
            </w:pPr>
            <w:r>
              <w:rPr>
                <w:color w:val="000000"/>
                <w:sz w:val="26"/>
                <w:szCs w:val="26"/>
              </w:rPr>
              <w:t>John F. Coleman, Jr.</w:t>
            </w:r>
            <w:r w:rsidR="00195A2F" w:rsidRPr="00F81A20">
              <w:rPr>
                <w:color w:val="000000"/>
                <w:sz w:val="26"/>
                <w:szCs w:val="26"/>
              </w:rPr>
              <w:t>, Vice Chairman</w:t>
            </w:r>
          </w:p>
          <w:p w:rsidR="00EF334E" w:rsidRDefault="00EF334E" w:rsidP="00D945BC">
            <w:pPr>
              <w:pStyle w:val="p5"/>
              <w:ind w:left="720"/>
              <w:rPr>
                <w:color w:val="000000"/>
                <w:sz w:val="26"/>
                <w:szCs w:val="26"/>
              </w:rPr>
            </w:pPr>
            <w:r w:rsidRPr="00F63BE4">
              <w:rPr>
                <w:color w:val="000000" w:themeColor="text1"/>
                <w:sz w:val="26"/>
                <w:szCs w:val="26"/>
              </w:rPr>
              <w:t>Tyrone J. Christy</w:t>
            </w:r>
            <w:r w:rsidRPr="00F81A20">
              <w:rPr>
                <w:color w:val="000000"/>
                <w:sz w:val="26"/>
                <w:szCs w:val="26"/>
              </w:rPr>
              <w:t xml:space="preserve"> </w:t>
            </w:r>
          </w:p>
          <w:p w:rsidR="00195A2F" w:rsidRPr="00F81A20" w:rsidRDefault="00195A2F" w:rsidP="00D945BC">
            <w:pPr>
              <w:pStyle w:val="p5"/>
              <w:ind w:left="720"/>
              <w:rPr>
                <w:color w:val="000000"/>
                <w:sz w:val="26"/>
                <w:szCs w:val="26"/>
              </w:rPr>
            </w:pPr>
            <w:r w:rsidRPr="00F81A20">
              <w:rPr>
                <w:color w:val="000000"/>
                <w:sz w:val="26"/>
                <w:szCs w:val="26"/>
              </w:rPr>
              <w:t>Wayne E. Gardner</w:t>
            </w:r>
          </w:p>
          <w:p w:rsidR="00195A2F" w:rsidRPr="00F81A20" w:rsidRDefault="00EF334E" w:rsidP="00D945BC">
            <w:pPr>
              <w:pStyle w:val="p5"/>
              <w:ind w:left="720"/>
              <w:rPr>
                <w:color w:val="000000"/>
                <w:sz w:val="26"/>
                <w:szCs w:val="26"/>
              </w:rPr>
            </w:pPr>
            <w:r w:rsidRPr="00F63BE4">
              <w:rPr>
                <w:color w:val="000000" w:themeColor="text1"/>
                <w:sz w:val="26"/>
                <w:szCs w:val="26"/>
              </w:rPr>
              <w:t>James H. Cawley</w:t>
            </w:r>
          </w:p>
        </w:tc>
      </w:tr>
      <w:tr w:rsidR="000535E4" w:rsidRPr="00620D6E" w:rsidTr="005D7BE0">
        <w:tc>
          <w:tcPr>
            <w:tcW w:w="9468" w:type="dxa"/>
            <w:gridSpan w:val="6"/>
          </w:tcPr>
          <w:p w:rsidR="000535E4" w:rsidRPr="00F81A20" w:rsidRDefault="000535E4" w:rsidP="00861628">
            <w:pPr>
              <w:pStyle w:val="p5"/>
              <w:rPr>
                <w:color w:val="000000"/>
                <w:sz w:val="26"/>
                <w:szCs w:val="26"/>
              </w:rPr>
            </w:pPr>
          </w:p>
        </w:tc>
      </w:tr>
      <w:tr w:rsidR="00B065FE" w:rsidRPr="00620D6E" w:rsidTr="005D7BE0">
        <w:tc>
          <w:tcPr>
            <w:tcW w:w="5688" w:type="dxa"/>
            <w:gridSpan w:val="4"/>
          </w:tcPr>
          <w:p w:rsidR="00B065FE" w:rsidRPr="00F81A20" w:rsidRDefault="00EF334E" w:rsidP="00EF334E">
            <w:pPr>
              <w:rPr>
                <w:color w:val="000000"/>
                <w:sz w:val="26"/>
                <w:szCs w:val="26"/>
              </w:rPr>
            </w:pPr>
            <w:r>
              <w:rPr>
                <w:color w:val="000000"/>
                <w:sz w:val="26"/>
                <w:szCs w:val="26"/>
              </w:rPr>
              <w:t>Application</w:t>
            </w:r>
            <w:r w:rsidR="00B065FE" w:rsidRPr="00F81A20">
              <w:rPr>
                <w:color w:val="000000"/>
                <w:sz w:val="26"/>
                <w:szCs w:val="26"/>
              </w:rPr>
              <w:t xml:space="preserve"> of </w:t>
            </w:r>
            <w:r>
              <w:rPr>
                <w:color w:val="000000"/>
                <w:sz w:val="26"/>
                <w:szCs w:val="26"/>
              </w:rPr>
              <w:t>Planet Energy (Pennsylvania)</w:t>
            </w:r>
            <w:r w:rsidR="00D81E8E">
              <w:rPr>
                <w:color w:val="000000"/>
                <w:sz w:val="26"/>
                <w:szCs w:val="26"/>
              </w:rPr>
              <w:t xml:space="preserve"> Corp.</w:t>
            </w:r>
            <w:r w:rsidR="0016409E">
              <w:rPr>
                <w:color w:val="000000"/>
                <w:sz w:val="26"/>
                <w:szCs w:val="26"/>
              </w:rPr>
              <w:t xml:space="preserve"> to Amend its Natural Gas Supplier License</w:t>
            </w:r>
          </w:p>
        </w:tc>
        <w:tc>
          <w:tcPr>
            <w:tcW w:w="3780" w:type="dxa"/>
            <w:gridSpan w:val="2"/>
          </w:tcPr>
          <w:p w:rsidR="00B065FE" w:rsidRPr="00F81A20" w:rsidRDefault="00F81A20" w:rsidP="00D81E8E">
            <w:pPr>
              <w:ind w:firstLine="1332"/>
              <w:jc w:val="right"/>
              <w:rPr>
                <w:color w:val="000000"/>
                <w:sz w:val="26"/>
                <w:szCs w:val="26"/>
              </w:rPr>
            </w:pPr>
            <w:r w:rsidRPr="00F81A20">
              <w:rPr>
                <w:color w:val="000000"/>
                <w:sz w:val="26"/>
                <w:szCs w:val="26"/>
              </w:rPr>
              <w:t>A-</w:t>
            </w:r>
            <w:r w:rsidR="00D81E8E">
              <w:rPr>
                <w:color w:val="000000"/>
                <w:sz w:val="26"/>
                <w:szCs w:val="26"/>
              </w:rPr>
              <w:t>2010-2216375</w:t>
            </w:r>
          </w:p>
        </w:tc>
      </w:tr>
      <w:tr w:rsidR="00CD03C5" w:rsidRPr="00620D6E" w:rsidTr="005D7BE0">
        <w:tc>
          <w:tcPr>
            <w:tcW w:w="5688" w:type="dxa"/>
            <w:gridSpan w:val="4"/>
          </w:tcPr>
          <w:p w:rsidR="00CD03C5" w:rsidRPr="00620D6E" w:rsidRDefault="00CD03C5" w:rsidP="00894584">
            <w:pPr>
              <w:spacing w:line="360" w:lineRule="auto"/>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B065FE" w:rsidP="00894584">
      <w:pPr>
        <w:spacing w:line="360" w:lineRule="auto"/>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rsidP="00894584">
      <w:pPr>
        <w:spacing w:line="360" w:lineRule="auto"/>
        <w:contextualSpacing/>
        <w:rPr>
          <w:b/>
          <w:color w:val="auto"/>
          <w:sz w:val="26"/>
          <w:szCs w:val="26"/>
        </w:rPr>
      </w:pPr>
    </w:p>
    <w:p w:rsidR="001D0D02" w:rsidRPr="00DA505F" w:rsidRDefault="001D0D02" w:rsidP="001D0D02">
      <w:pPr>
        <w:tabs>
          <w:tab w:val="left" w:pos="-1440"/>
          <w:tab w:val="left" w:pos="-720"/>
        </w:tabs>
        <w:suppressAutoHyphens/>
        <w:spacing w:line="360" w:lineRule="auto"/>
        <w:ind w:firstLine="1440"/>
        <w:rPr>
          <w:color w:val="000000" w:themeColor="text1"/>
          <w:sz w:val="26"/>
          <w:szCs w:val="26"/>
        </w:rPr>
      </w:pPr>
      <w:r w:rsidRPr="00DA505F">
        <w:rPr>
          <w:color w:val="000000" w:themeColor="text1"/>
          <w:sz w:val="26"/>
          <w:szCs w:val="26"/>
        </w:rPr>
        <w:t xml:space="preserve">On March 23, 2011, Planet Energy (Pennsylvania) Corp. (Planet Energy) filed an application to amend its natural gas supplier license </w:t>
      </w:r>
      <w:r w:rsidR="00DA505F">
        <w:rPr>
          <w:color w:val="000000" w:themeColor="text1"/>
          <w:sz w:val="26"/>
          <w:szCs w:val="26"/>
        </w:rPr>
        <w:t xml:space="preserve">to add </w:t>
      </w:r>
      <w:r w:rsidRPr="00DA505F">
        <w:rPr>
          <w:color w:val="000000" w:themeColor="text1"/>
          <w:sz w:val="26"/>
          <w:szCs w:val="26"/>
        </w:rPr>
        <w:t>the additional natural gas distribution company</w:t>
      </w:r>
      <w:r w:rsidR="00DA505F">
        <w:rPr>
          <w:color w:val="000000" w:themeColor="text1"/>
          <w:sz w:val="26"/>
          <w:szCs w:val="26"/>
        </w:rPr>
        <w:t xml:space="preserve"> (NGDC)</w:t>
      </w:r>
      <w:r w:rsidRPr="00DA505F">
        <w:rPr>
          <w:color w:val="000000" w:themeColor="text1"/>
          <w:sz w:val="26"/>
          <w:szCs w:val="26"/>
        </w:rPr>
        <w:t xml:space="preserve"> service territory of UGI Utilities, Inc. </w:t>
      </w:r>
    </w:p>
    <w:p w:rsidR="00747EDA" w:rsidRPr="00DA505F" w:rsidRDefault="00747EDA" w:rsidP="004618D8">
      <w:pPr>
        <w:tabs>
          <w:tab w:val="left" w:pos="-1440"/>
          <w:tab w:val="left" w:pos="-720"/>
        </w:tabs>
        <w:suppressAutoHyphens/>
        <w:spacing w:line="360" w:lineRule="auto"/>
        <w:ind w:firstLine="1440"/>
        <w:rPr>
          <w:color w:val="000000" w:themeColor="text1"/>
          <w:sz w:val="26"/>
          <w:szCs w:val="26"/>
        </w:rPr>
      </w:pPr>
    </w:p>
    <w:p w:rsidR="005107C9" w:rsidRPr="00DA505F" w:rsidRDefault="001D0D02" w:rsidP="003C3A68">
      <w:pPr>
        <w:tabs>
          <w:tab w:val="left" w:pos="-1440"/>
          <w:tab w:val="left" w:pos="-720"/>
        </w:tabs>
        <w:suppressAutoHyphens/>
        <w:spacing w:line="360" w:lineRule="auto"/>
        <w:ind w:firstLine="1440"/>
        <w:rPr>
          <w:color w:val="000000" w:themeColor="text1"/>
          <w:sz w:val="26"/>
          <w:szCs w:val="26"/>
        </w:rPr>
      </w:pPr>
      <w:r w:rsidRPr="00DA505F">
        <w:rPr>
          <w:color w:val="000000" w:themeColor="text1"/>
          <w:sz w:val="26"/>
          <w:szCs w:val="26"/>
        </w:rPr>
        <w:t xml:space="preserve">Planet Energy, </w:t>
      </w:r>
      <w:r w:rsidR="003C3A68" w:rsidRPr="00DA505F">
        <w:rPr>
          <w:color w:val="000000" w:themeColor="text1"/>
          <w:sz w:val="26"/>
          <w:szCs w:val="26"/>
        </w:rPr>
        <w:t xml:space="preserve">by Order entered </w:t>
      </w:r>
      <w:r w:rsidR="008803A1" w:rsidRPr="00DA505F">
        <w:rPr>
          <w:color w:val="000000" w:themeColor="text1"/>
          <w:sz w:val="26"/>
          <w:szCs w:val="26"/>
        </w:rPr>
        <w:t>February 25, 2011</w:t>
      </w:r>
      <w:r w:rsidR="003C3A68" w:rsidRPr="00DA505F">
        <w:rPr>
          <w:color w:val="000000" w:themeColor="text1"/>
          <w:sz w:val="26"/>
          <w:szCs w:val="26"/>
        </w:rPr>
        <w:t>, is currently</w:t>
      </w:r>
      <w:r w:rsidR="00217F9B" w:rsidRPr="00DA505F">
        <w:rPr>
          <w:color w:val="000000" w:themeColor="text1"/>
          <w:sz w:val="26"/>
          <w:szCs w:val="26"/>
        </w:rPr>
        <w:t xml:space="preserve"> licensed</w:t>
      </w:r>
      <w:r w:rsidR="003C3A68" w:rsidRPr="00DA505F">
        <w:rPr>
          <w:color w:val="000000" w:themeColor="text1"/>
          <w:sz w:val="26"/>
          <w:szCs w:val="26"/>
        </w:rPr>
        <w:t xml:space="preserve"> by the Commission to </w:t>
      </w:r>
      <w:r w:rsidR="00747EDA" w:rsidRPr="00DA505F">
        <w:rPr>
          <w:color w:val="000000" w:themeColor="text1"/>
          <w:sz w:val="26"/>
          <w:szCs w:val="26"/>
        </w:rPr>
        <w:t>offer, render, furnish or supply</w:t>
      </w:r>
      <w:r w:rsidR="008803A1" w:rsidRPr="00DA505F">
        <w:rPr>
          <w:color w:val="000000" w:themeColor="text1"/>
          <w:sz w:val="26"/>
          <w:szCs w:val="26"/>
        </w:rPr>
        <w:t xml:space="preserve"> </w:t>
      </w:r>
      <w:r w:rsidR="00747EDA" w:rsidRPr="00DA505F">
        <w:rPr>
          <w:color w:val="000000" w:themeColor="text1"/>
          <w:sz w:val="26"/>
          <w:szCs w:val="26"/>
        </w:rPr>
        <w:t>natural gas</w:t>
      </w:r>
      <w:r w:rsidR="005F7FD8" w:rsidRPr="00DA505F">
        <w:rPr>
          <w:color w:val="000000" w:themeColor="text1"/>
          <w:sz w:val="26"/>
          <w:szCs w:val="26"/>
        </w:rPr>
        <w:t xml:space="preserve"> supply</w:t>
      </w:r>
      <w:r w:rsidR="00747EDA" w:rsidRPr="00DA505F">
        <w:rPr>
          <w:color w:val="000000" w:themeColor="text1"/>
          <w:sz w:val="26"/>
          <w:szCs w:val="26"/>
        </w:rPr>
        <w:t xml:space="preserve"> services</w:t>
      </w:r>
      <w:r w:rsidR="005F7FD8" w:rsidRPr="00DA505F">
        <w:rPr>
          <w:color w:val="000000" w:themeColor="text1"/>
          <w:sz w:val="26"/>
          <w:szCs w:val="26"/>
        </w:rPr>
        <w:t xml:space="preserve"> </w:t>
      </w:r>
      <w:r w:rsidR="00CD5C76">
        <w:rPr>
          <w:color w:val="000000" w:themeColor="text1"/>
          <w:sz w:val="26"/>
          <w:szCs w:val="26"/>
        </w:rPr>
        <w:t>to</w:t>
      </w:r>
      <w:r w:rsidR="00223884" w:rsidRPr="00DA505F">
        <w:rPr>
          <w:color w:val="000000" w:themeColor="text1"/>
          <w:sz w:val="26"/>
          <w:szCs w:val="26"/>
        </w:rPr>
        <w:t xml:space="preserve"> </w:t>
      </w:r>
      <w:r w:rsidR="00CD5C76" w:rsidRPr="0048796A">
        <w:rPr>
          <w:color w:val="000000" w:themeColor="text1"/>
          <w:spacing w:val="-3"/>
          <w:sz w:val="26"/>
          <w:szCs w:val="26"/>
        </w:rPr>
        <w:t xml:space="preserve">residential, </w:t>
      </w:r>
      <w:r w:rsidR="00CD5C76" w:rsidRPr="0048796A">
        <w:rPr>
          <w:color w:val="000000" w:themeColor="text1"/>
          <w:kern w:val="1"/>
          <w:sz w:val="26"/>
          <w:szCs w:val="26"/>
        </w:rPr>
        <w:t>small commercial (less than 6,000 Mcf annual</w:t>
      </w:r>
      <w:r w:rsidR="00E16C3E">
        <w:rPr>
          <w:color w:val="000000" w:themeColor="text1"/>
          <w:kern w:val="1"/>
          <w:sz w:val="26"/>
          <w:szCs w:val="26"/>
        </w:rPr>
        <w:t>ly) and large commercial (6,000 </w:t>
      </w:r>
      <w:r w:rsidR="00CD5C76" w:rsidRPr="0048796A">
        <w:rPr>
          <w:color w:val="000000" w:themeColor="text1"/>
          <w:kern w:val="1"/>
          <w:sz w:val="26"/>
          <w:szCs w:val="26"/>
        </w:rPr>
        <w:t xml:space="preserve">Mcf or more annually) </w:t>
      </w:r>
      <w:r w:rsidR="00CD5C76">
        <w:rPr>
          <w:color w:val="auto"/>
          <w:spacing w:val="-3"/>
          <w:kern w:val="1"/>
          <w:sz w:val="26"/>
          <w:szCs w:val="26"/>
        </w:rPr>
        <w:t>customers</w:t>
      </w:r>
      <w:r w:rsidR="00747EDA" w:rsidRPr="00DA505F">
        <w:rPr>
          <w:color w:val="000000" w:themeColor="text1"/>
          <w:sz w:val="26"/>
          <w:szCs w:val="26"/>
        </w:rPr>
        <w:t xml:space="preserve"> in the</w:t>
      </w:r>
      <w:r w:rsidR="00223884" w:rsidRPr="00DA505F">
        <w:rPr>
          <w:color w:val="000000" w:themeColor="text1"/>
          <w:sz w:val="26"/>
          <w:szCs w:val="26"/>
        </w:rPr>
        <w:t xml:space="preserve"> NGDC</w:t>
      </w:r>
      <w:r w:rsidR="00747EDA" w:rsidRPr="00DA505F">
        <w:rPr>
          <w:color w:val="000000" w:themeColor="text1"/>
          <w:sz w:val="26"/>
          <w:szCs w:val="26"/>
        </w:rPr>
        <w:t xml:space="preserve"> </w:t>
      </w:r>
      <w:r w:rsidR="005B1444">
        <w:rPr>
          <w:color w:val="000000" w:themeColor="text1"/>
          <w:sz w:val="26"/>
          <w:szCs w:val="26"/>
        </w:rPr>
        <w:t xml:space="preserve">service territories of </w:t>
      </w:r>
      <w:r w:rsidR="005B1444" w:rsidRPr="005650C6">
        <w:rPr>
          <w:color w:val="000000" w:themeColor="text1"/>
          <w:kern w:val="1"/>
          <w:sz w:val="26"/>
          <w:szCs w:val="26"/>
        </w:rPr>
        <w:t>Columbia Gas of Pennsylvania, Inc.</w:t>
      </w:r>
      <w:r w:rsidR="005B1444">
        <w:rPr>
          <w:color w:val="000000" w:themeColor="text1"/>
          <w:kern w:val="1"/>
          <w:sz w:val="26"/>
          <w:szCs w:val="26"/>
        </w:rPr>
        <w:t xml:space="preserve"> and </w:t>
      </w:r>
      <w:r w:rsidR="005B1444" w:rsidRPr="005650C6">
        <w:rPr>
          <w:color w:val="000000" w:themeColor="text1"/>
          <w:kern w:val="1"/>
          <w:sz w:val="26"/>
          <w:szCs w:val="26"/>
        </w:rPr>
        <w:t>PECO Energy</w:t>
      </w:r>
      <w:r w:rsidR="005B1444">
        <w:rPr>
          <w:color w:val="000000" w:themeColor="text1"/>
          <w:kern w:val="1"/>
          <w:sz w:val="26"/>
          <w:szCs w:val="26"/>
        </w:rPr>
        <w:t xml:space="preserve"> Company</w:t>
      </w:r>
      <w:r w:rsidR="000D544B">
        <w:rPr>
          <w:color w:val="000000" w:themeColor="text1"/>
          <w:kern w:val="1"/>
          <w:sz w:val="26"/>
          <w:szCs w:val="26"/>
        </w:rPr>
        <w:t xml:space="preserve"> within the Commonwealth of Pennsylvania</w:t>
      </w:r>
      <w:r w:rsidR="005F7FD8" w:rsidRPr="00DA505F">
        <w:rPr>
          <w:color w:val="000000" w:themeColor="text1"/>
          <w:sz w:val="26"/>
          <w:szCs w:val="26"/>
        </w:rPr>
        <w:t>.</w:t>
      </w:r>
      <w:r w:rsidR="005A30C9">
        <w:rPr>
          <w:rStyle w:val="FootnoteReference"/>
          <w:color w:val="000000" w:themeColor="text1"/>
          <w:sz w:val="26"/>
          <w:szCs w:val="26"/>
        </w:rPr>
        <w:footnoteReference w:id="1"/>
      </w:r>
    </w:p>
    <w:p w:rsidR="00AE3375" w:rsidRDefault="007736A1" w:rsidP="00AE3375">
      <w:pPr>
        <w:tabs>
          <w:tab w:val="left" w:pos="0"/>
        </w:tabs>
        <w:suppressAutoHyphens/>
        <w:spacing w:line="360" w:lineRule="auto"/>
        <w:ind w:firstLine="1440"/>
        <w:rPr>
          <w:color w:val="auto"/>
          <w:kern w:val="1"/>
          <w:sz w:val="26"/>
          <w:szCs w:val="26"/>
        </w:rPr>
      </w:pPr>
      <w:r>
        <w:rPr>
          <w:color w:val="auto"/>
          <w:sz w:val="26"/>
          <w:szCs w:val="26"/>
        </w:rPr>
        <w:lastRenderedPageBreak/>
        <w:t>Planet Energy</w:t>
      </w:r>
      <w:r w:rsidR="00AE3375" w:rsidRPr="00147D25">
        <w:rPr>
          <w:color w:val="auto"/>
          <w:sz w:val="26"/>
          <w:szCs w:val="26"/>
        </w:rPr>
        <w:t xml:space="preserve"> has provided </w:t>
      </w:r>
      <w:r w:rsidR="00AE3375" w:rsidRPr="00147D25">
        <w:rPr>
          <w:color w:val="auto"/>
          <w:kern w:val="1"/>
          <w:sz w:val="26"/>
          <w:szCs w:val="26"/>
        </w:rPr>
        <w:t>proofs of publication in Pennsylvania newspapers of general circulation serving the geographical territories affected by the application and proofs of service to the interested parties as required by the Commission.</w:t>
      </w:r>
    </w:p>
    <w:p w:rsidR="00CD5C76" w:rsidRDefault="00CD5C76" w:rsidP="00AE3375">
      <w:pPr>
        <w:tabs>
          <w:tab w:val="left" w:pos="0"/>
        </w:tabs>
        <w:suppressAutoHyphens/>
        <w:spacing w:line="360" w:lineRule="auto"/>
        <w:ind w:firstLine="1440"/>
        <w:rPr>
          <w:color w:val="auto"/>
          <w:kern w:val="1"/>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Section 2208(c)(1), 66 Pa. C.S. §</w:t>
      </w:r>
      <w:r w:rsidR="00C921D9">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w:t>
      </w:r>
      <w:r w:rsidR="00672081">
        <w:rPr>
          <w:color w:val="auto"/>
          <w:spacing w:val="-3"/>
          <w:kern w:val="1"/>
          <w:sz w:val="26"/>
          <w:szCs w:val="26"/>
        </w:rPr>
        <w:t>NGDC’s</w:t>
      </w:r>
      <w:r w:rsidRPr="00620D6E">
        <w:rPr>
          <w:color w:val="auto"/>
          <w:spacing w:val="-3"/>
          <w:kern w:val="1"/>
          <w:sz w:val="26"/>
          <w:szCs w:val="26"/>
        </w:rPr>
        <w:t xml:space="preserve"> tariff.  The amount and form of the bond or other security may also be mutually agreed to between the </w:t>
      </w:r>
      <w:r w:rsidR="00672081">
        <w:rPr>
          <w:color w:val="auto"/>
          <w:spacing w:val="-3"/>
          <w:kern w:val="1"/>
          <w:sz w:val="26"/>
          <w:szCs w:val="26"/>
        </w:rPr>
        <w:t>NGDC</w:t>
      </w:r>
      <w:r w:rsidRPr="00620D6E">
        <w:rPr>
          <w:color w:val="auto"/>
          <w:spacing w:val="-3"/>
          <w:kern w:val="1"/>
          <w:sz w:val="26"/>
          <w:szCs w:val="26"/>
        </w:rPr>
        <w:t xml:space="preserve">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7736A1">
        <w:rPr>
          <w:color w:val="000000" w:themeColor="text1"/>
          <w:spacing w:val="-3"/>
          <w:kern w:val="1"/>
          <w:sz w:val="26"/>
          <w:szCs w:val="26"/>
        </w:rPr>
        <w:t xml:space="preserve">Planet </w:t>
      </w:r>
      <w:r w:rsidR="00A020D4" w:rsidRPr="00705620">
        <w:rPr>
          <w:color w:val="000000" w:themeColor="text1"/>
          <w:spacing w:val="-3"/>
          <w:kern w:val="1"/>
          <w:sz w:val="26"/>
          <w:szCs w:val="26"/>
        </w:rPr>
        <w:t>Energy</w:t>
      </w:r>
      <w:r w:rsidR="00816A58" w:rsidRPr="00705620">
        <w:rPr>
          <w:color w:val="000000" w:themeColor="text1"/>
          <w:spacing w:val="-3"/>
          <w:kern w:val="1"/>
          <w:sz w:val="26"/>
          <w:szCs w:val="26"/>
        </w:rPr>
        <w:t xml:space="preserve"> </w:t>
      </w:r>
      <w:r w:rsidR="00D405F0" w:rsidRPr="00705620">
        <w:rPr>
          <w:color w:val="000000" w:themeColor="text1"/>
          <w:spacing w:val="-3"/>
          <w:kern w:val="1"/>
          <w:sz w:val="26"/>
          <w:szCs w:val="26"/>
        </w:rPr>
        <w:t xml:space="preserve">has </w:t>
      </w:r>
      <w:r w:rsidRPr="00705620">
        <w:rPr>
          <w:color w:val="000000" w:themeColor="text1"/>
          <w:sz w:val="26"/>
          <w:szCs w:val="26"/>
        </w:rPr>
        <w:t xml:space="preserve">provided documentation to evidence its compliance with the Section 2208(c) bonding requirement for </w:t>
      </w:r>
      <w:r w:rsidR="0097166E">
        <w:rPr>
          <w:color w:val="000000" w:themeColor="text1"/>
          <w:sz w:val="26"/>
          <w:szCs w:val="26"/>
        </w:rPr>
        <w:t>UGI Utilities, Inc.</w:t>
      </w:r>
      <w:r w:rsidR="00616A3A">
        <w:rPr>
          <w:color w:val="000000" w:themeColor="text1"/>
          <w:sz w:val="26"/>
          <w:szCs w:val="26"/>
        </w:rPr>
        <w:t xml:space="preserve">  </w:t>
      </w:r>
    </w:p>
    <w:p w:rsidR="004E2E63" w:rsidRDefault="004E2E63">
      <w:pPr>
        <w:tabs>
          <w:tab w:val="left" w:pos="0"/>
        </w:tabs>
        <w:suppressAutoHyphens/>
        <w:spacing w:line="360" w:lineRule="auto"/>
        <w:rPr>
          <w:color w:val="auto"/>
          <w:spacing w:val="-3"/>
          <w:sz w:val="26"/>
          <w:szCs w:val="26"/>
        </w:rPr>
      </w:pPr>
    </w:p>
    <w:p w:rsidR="00B065FE" w:rsidRDefault="00B065FE" w:rsidP="00E17D5D">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t xml:space="preserve">As of </w:t>
      </w:r>
      <w:r w:rsidR="0097166E">
        <w:rPr>
          <w:color w:val="000000" w:themeColor="text1"/>
          <w:spacing w:val="-3"/>
          <w:kern w:val="1"/>
          <w:sz w:val="26"/>
          <w:szCs w:val="26"/>
        </w:rPr>
        <w:t>May 10</w:t>
      </w:r>
      <w:r w:rsidR="007736A1">
        <w:rPr>
          <w:color w:val="000000" w:themeColor="text1"/>
          <w:spacing w:val="-3"/>
          <w:kern w:val="1"/>
          <w:sz w:val="26"/>
          <w:szCs w:val="26"/>
        </w:rPr>
        <w:t>, 2011</w:t>
      </w:r>
      <w:r w:rsidR="00705620" w:rsidRPr="00705620">
        <w:rPr>
          <w:color w:val="000000" w:themeColor="text1"/>
          <w:spacing w:val="-3"/>
          <w:kern w:val="1"/>
          <w:sz w:val="26"/>
          <w:szCs w:val="26"/>
        </w:rPr>
        <w:t xml:space="preserve">, </w:t>
      </w:r>
      <w:r w:rsidRPr="00705620">
        <w:rPr>
          <w:color w:val="000000" w:themeColor="text1"/>
          <w:spacing w:val="-3"/>
          <w:kern w:val="1"/>
          <w:sz w:val="26"/>
          <w:szCs w:val="26"/>
        </w:rPr>
        <w:t>no protests have been filed.</w:t>
      </w:r>
    </w:p>
    <w:p w:rsidR="008A2B22" w:rsidRDefault="008A2B22" w:rsidP="00E17D5D">
      <w:pPr>
        <w:tabs>
          <w:tab w:val="left" w:pos="0"/>
        </w:tabs>
        <w:suppressAutoHyphens/>
        <w:spacing w:line="360" w:lineRule="auto"/>
        <w:ind w:firstLine="1440"/>
        <w:rPr>
          <w:color w:val="auto"/>
          <w:spacing w:val="-3"/>
          <w:kern w:val="1"/>
          <w:sz w:val="26"/>
          <w:szCs w:val="26"/>
        </w:rPr>
      </w:pPr>
    </w:p>
    <w:p w:rsidR="00B065FE" w:rsidRPr="00620D6E" w:rsidRDefault="00AE3375"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Upon full consideration of all matters of reco</w:t>
      </w:r>
      <w:r>
        <w:rPr>
          <w:color w:val="auto"/>
          <w:spacing w:val="-3"/>
          <w:kern w:val="1"/>
          <w:sz w:val="26"/>
          <w:szCs w:val="26"/>
        </w:rPr>
        <w:t>rd</w:t>
      </w:r>
      <w:r w:rsidR="005B1444">
        <w:rPr>
          <w:color w:val="auto"/>
          <w:spacing w:val="-3"/>
          <w:kern w:val="1"/>
          <w:sz w:val="26"/>
          <w:szCs w:val="26"/>
        </w:rPr>
        <w:t>, we find that approval of this</w:t>
      </w:r>
      <w:r w:rsidRPr="00DB2A91">
        <w:rPr>
          <w:color w:val="auto"/>
          <w:spacing w:val="-3"/>
          <w:kern w:val="1"/>
          <w:sz w:val="26"/>
          <w:szCs w:val="26"/>
        </w:rPr>
        <w:t xml:space="preserve"> </w:t>
      </w:r>
      <w:r w:rsidR="005B1444">
        <w:rPr>
          <w:color w:val="auto"/>
          <w:spacing w:val="-3"/>
          <w:kern w:val="1"/>
          <w:sz w:val="26"/>
          <w:szCs w:val="26"/>
        </w:rPr>
        <w:t>application</w:t>
      </w:r>
      <w:r>
        <w:rPr>
          <w:color w:val="auto"/>
          <w:spacing w:val="-3"/>
          <w:kern w:val="1"/>
          <w:sz w:val="26"/>
          <w:szCs w:val="26"/>
        </w:rPr>
        <w:t xml:space="preserve"> is</w:t>
      </w:r>
      <w:r w:rsidRPr="00DB2A91">
        <w:rPr>
          <w:color w:val="auto"/>
          <w:spacing w:val="-3"/>
          <w:kern w:val="1"/>
          <w:sz w:val="26"/>
          <w:szCs w:val="26"/>
        </w:rPr>
        <w:t xml:space="preserve"> necessary and proper for the service, accommodation and convenience of the public</w:t>
      </w:r>
      <w:r w:rsidR="00B065FE" w:rsidRPr="00620D6E">
        <w:rPr>
          <w:color w:val="auto"/>
          <w:spacing w:val="-3"/>
          <w:kern w:val="1"/>
          <w:sz w:val="26"/>
          <w:szCs w:val="26"/>
        </w:rPr>
        <w:t xml:space="preserve">; </w:t>
      </w:r>
      <w:r w:rsidR="00B065FE"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Default="00B065FE" w:rsidP="008A2B22">
      <w:pPr>
        <w:numPr>
          <w:ilvl w:val="0"/>
          <w:numId w:val="7"/>
        </w:numPr>
        <w:tabs>
          <w:tab w:val="left" w:pos="0"/>
        </w:tabs>
        <w:suppressAutoHyphens/>
        <w:spacing w:line="360" w:lineRule="auto"/>
        <w:ind w:left="0" w:firstLine="1440"/>
        <w:rPr>
          <w:color w:val="000000" w:themeColor="text1"/>
          <w:spacing w:val="-3"/>
          <w:kern w:val="1"/>
          <w:sz w:val="26"/>
          <w:szCs w:val="26"/>
        </w:rPr>
      </w:pPr>
      <w:r w:rsidRPr="00CB2F64">
        <w:rPr>
          <w:color w:val="000000" w:themeColor="text1"/>
          <w:spacing w:val="-3"/>
          <w:kern w:val="1"/>
          <w:sz w:val="26"/>
          <w:szCs w:val="26"/>
        </w:rPr>
        <w:t xml:space="preserve">That the </w:t>
      </w:r>
      <w:r w:rsidR="007736A1">
        <w:rPr>
          <w:color w:val="000000" w:themeColor="text1"/>
          <w:spacing w:val="-3"/>
          <w:kern w:val="1"/>
          <w:sz w:val="26"/>
          <w:szCs w:val="26"/>
        </w:rPr>
        <w:t>application of Planet Energy (Pennsylvania) Corp. is</w:t>
      </w:r>
      <w:r w:rsidRPr="00CB2F64">
        <w:rPr>
          <w:color w:val="000000" w:themeColor="text1"/>
          <w:spacing w:val="-3"/>
          <w:kern w:val="1"/>
          <w:sz w:val="26"/>
          <w:szCs w:val="26"/>
        </w:rPr>
        <w:t xml:space="preserve"> hereby approved, consistent with this Order.</w:t>
      </w:r>
    </w:p>
    <w:p w:rsidR="008A2B22" w:rsidRDefault="008A2B22" w:rsidP="008A2B22">
      <w:pPr>
        <w:tabs>
          <w:tab w:val="left" w:pos="0"/>
        </w:tabs>
        <w:suppressAutoHyphens/>
        <w:spacing w:line="360" w:lineRule="auto"/>
        <w:rPr>
          <w:color w:val="000000" w:themeColor="text1"/>
          <w:spacing w:val="-3"/>
          <w:kern w:val="1"/>
          <w:sz w:val="26"/>
          <w:szCs w:val="26"/>
        </w:rPr>
      </w:pPr>
    </w:p>
    <w:p w:rsidR="00894584" w:rsidRDefault="00B065FE" w:rsidP="00E17D5D">
      <w:pPr>
        <w:tabs>
          <w:tab w:val="left" w:pos="0"/>
        </w:tabs>
        <w:suppressAutoHyphens/>
        <w:spacing w:line="360" w:lineRule="auto"/>
        <w:ind w:firstLine="1440"/>
        <w:rPr>
          <w:color w:val="000000" w:themeColor="text1"/>
          <w:sz w:val="26"/>
          <w:szCs w:val="26"/>
        </w:rPr>
      </w:pPr>
      <w:r w:rsidRPr="000B6F4C">
        <w:rPr>
          <w:color w:val="000000" w:themeColor="text1"/>
          <w:spacing w:val="-3"/>
          <w:kern w:val="1"/>
          <w:sz w:val="26"/>
          <w:szCs w:val="26"/>
        </w:rPr>
        <w:t>2.</w:t>
      </w:r>
      <w:r w:rsidR="00E17D5D" w:rsidRPr="000B6F4C">
        <w:rPr>
          <w:color w:val="000000" w:themeColor="text1"/>
          <w:spacing w:val="-3"/>
          <w:kern w:val="1"/>
          <w:sz w:val="26"/>
          <w:szCs w:val="26"/>
        </w:rPr>
        <w:tab/>
      </w:r>
      <w:r w:rsidR="00894584" w:rsidRPr="00DB2A91">
        <w:rPr>
          <w:color w:val="auto"/>
          <w:spacing w:val="-3"/>
          <w:kern w:val="1"/>
          <w:sz w:val="26"/>
          <w:szCs w:val="26"/>
        </w:rPr>
        <w:t xml:space="preserve">That </w:t>
      </w:r>
      <w:r w:rsidR="00894584">
        <w:rPr>
          <w:color w:val="auto"/>
          <w:spacing w:val="-3"/>
          <w:kern w:val="1"/>
          <w:sz w:val="26"/>
          <w:szCs w:val="26"/>
        </w:rPr>
        <w:t xml:space="preserve">a license be issued authorizing </w:t>
      </w:r>
      <w:r w:rsidR="007736A1">
        <w:rPr>
          <w:color w:val="auto"/>
          <w:spacing w:val="-3"/>
          <w:kern w:val="1"/>
          <w:sz w:val="26"/>
          <w:szCs w:val="26"/>
        </w:rPr>
        <w:t xml:space="preserve">Planet Energy (Pennsylvania) Corp. </w:t>
      </w:r>
      <w:r w:rsidR="00894584">
        <w:rPr>
          <w:color w:val="auto"/>
          <w:spacing w:val="-3"/>
          <w:kern w:val="1"/>
          <w:sz w:val="26"/>
          <w:szCs w:val="26"/>
        </w:rPr>
        <w:t>to begin to offer, render, furnish or supply natural gas supply services</w:t>
      </w:r>
      <w:r w:rsidR="00503FB2" w:rsidRPr="0048796A">
        <w:rPr>
          <w:color w:val="000000" w:themeColor="text1"/>
          <w:spacing w:val="-3"/>
          <w:sz w:val="26"/>
          <w:szCs w:val="26"/>
        </w:rPr>
        <w:t xml:space="preserve"> to residential, </w:t>
      </w:r>
      <w:r w:rsidR="00503FB2" w:rsidRPr="0048796A">
        <w:rPr>
          <w:color w:val="000000" w:themeColor="text1"/>
          <w:kern w:val="1"/>
          <w:sz w:val="26"/>
          <w:szCs w:val="26"/>
        </w:rPr>
        <w:t xml:space="preserve">small commercial (less than 6,000 Mcf annually) and large commercial (6,000 Mcf or </w:t>
      </w:r>
      <w:r w:rsidR="00503FB2" w:rsidRPr="0048796A">
        <w:rPr>
          <w:color w:val="000000" w:themeColor="text1"/>
          <w:kern w:val="1"/>
          <w:sz w:val="26"/>
          <w:szCs w:val="26"/>
        </w:rPr>
        <w:lastRenderedPageBreak/>
        <w:t xml:space="preserve">more annually) </w:t>
      </w:r>
      <w:r w:rsidR="000F300D">
        <w:rPr>
          <w:color w:val="auto"/>
          <w:spacing w:val="-3"/>
          <w:kern w:val="1"/>
          <w:sz w:val="26"/>
          <w:szCs w:val="26"/>
        </w:rPr>
        <w:t>customers in the additional natural gas distribu</w:t>
      </w:r>
      <w:r w:rsidR="00503FB2">
        <w:rPr>
          <w:color w:val="auto"/>
          <w:spacing w:val="-3"/>
          <w:kern w:val="1"/>
          <w:sz w:val="26"/>
          <w:szCs w:val="26"/>
        </w:rPr>
        <w:t>tion company service territory</w:t>
      </w:r>
      <w:r w:rsidR="000F300D">
        <w:rPr>
          <w:color w:val="auto"/>
          <w:spacing w:val="-3"/>
          <w:kern w:val="1"/>
          <w:sz w:val="26"/>
          <w:szCs w:val="26"/>
        </w:rPr>
        <w:t xml:space="preserve"> of </w:t>
      </w:r>
      <w:r w:rsidR="000F300D" w:rsidRPr="00747EDA">
        <w:rPr>
          <w:color w:val="000000" w:themeColor="text1"/>
          <w:sz w:val="26"/>
          <w:szCs w:val="26"/>
        </w:rPr>
        <w:t>UGI Utilities, Inc</w:t>
      </w:r>
      <w:r w:rsidR="000F300D">
        <w:rPr>
          <w:color w:val="000000" w:themeColor="text1"/>
          <w:sz w:val="26"/>
          <w:szCs w:val="26"/>
        </w:rPr>
        <w:t>.</w:t>
      </w:r>
    </w:p>
    <w:p w:rsidR="005B1444" w:rsidRDefault="005B1444" w:rsidP="00E17D5D">
      <w:pPr>
        <w:tabs>
          <w:tab w:val="left" w:pos="0"/>
        </w:tabs>
        <w:suppressAutoHyphens/>
        <w:spacing w:line="360" w:lineRule="auto"/>
        <w:ind w:firstLine="1440"/>
        <w:rPr>
          <w:color w:val="auto"/>
          <w:spacing w:val="-3"/>
          <w:kern w:val="1"/>
          <w:sz w:val="26"/>
          <w:szCs w:val="26"/>
        </w:rPr>
      </w:pPr>
    </w:p>
    <w:p w:rsidR="00B065FE" w:rsidRPr="00620D6E" w:rsidRDefault="000F300D" w:rsidP="00E17D5D">
      <w:pPr>
        <w:tabs>
          <w:tab w:val="left" w:pos="0"/>
        </w:tabs>
        <w:suppressAutoHyphens/>
        <w:spacing w:line="360" w:lineRule="auto"/>
        <w:ind w:firstLine="1440"/>
        <w:rPr>
          <w:color w:val="auto"/>
          <w:spacing w:val="-3"/>
          <w:sz w:val="26"/>
          <w:szCs w:val="26"/>
        </w:rPr>
      </w:pPr>
      <w:r>
        <w:rPr>
          <w:color w:val="auto"/>
          <w:spacing w:val="-3"/>
          <w:sz w:val="26"/>
          <w:szCs w:val="26"/>
        </w:rPr>
        <w:t>3</w:t>
      </w:r>
      <w:r w:rsidR="00B065FE" w:rsidRPr="00620D6E">
        <w:rPr>
          <w:color w:val="auto"/>
          <w:spacing w:val="-3"/>
          <w:sz w:val="26"/>
          <w:szCs w:val="26"/>
        </w:rPr>
        <w:t>.</w:t>
      </w:r>
      <w:r w:rsidR="00E17D5D" w:rsidRPr="00620D6E">
        <w:rPr>
          <w:color w:val="auto"/>
          <w:spacing w:val="-3"/>
          <w:sz w:val="26"/>
          <w:szCs w:val="26"/>
        </w:rPr>
        <w:tab/>
      </w:r>
      <w:r w:rsidR="00672081">
        <w:rPr>
          <w:color w:val="auto"/>
          <w:spacing w:val="-3"/>
          <w:sz w:val="26"/>
          <w:szCs w:val="26"/>
        </w:rPr>
        <w:t>That this proceeding</w:t>
      </w:r>
      <w:r w:rsidR="00B065FE" w:rsidRPr="00620D6E">
        <w:rPr>
          <w:color w:val="auto"/>
          <w:spacing w:val="-3"/>
          <w:sz w:val="26"/>
          <w:szCs w:val="26"/>
        </w:rPr>
        <w:t xml:space="preserve"> at Docket No</w:t>
      </w:r>
      <w:r w:rsidR="000B6F4C">
        <w:rPr>
          <w:color w:val="auto"/>
          <w:spacing w:val="-3"/>
          <w:sz w:val="26"/>
          <w:szCs w:val="26"/>
        </w:rPr>
        <w:t>. A-</w:t>
      </w:r>
      <w:r w:rsidR="00503FB2">
        <w:rPr>
          <w:color w:val="auto"/>
          <w:spacing w:val="-3"/>
          <w:sz w:val="26"/>
          <w:szCs w:val="26"/>
        </w:rPr>
        <w:t>2010-2216375</w:t>
      </w:r>
      <w:r w:rsidR="000B6F4C">
        <w:rPr>
          <w:color w:val="auto"/>
          <w:spacing w:val="-3"/>
          <w:sz w:val="26"/>
          <w:szCs w:val="26"/>
        </w:rPr>
        <w:t xml:space="preserve">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D27F18" w:rsidP="00A544A4">
      <w:pPr>
        <w:tabs>
          <w:tab w:val="left" w:pos="4320"/>
        </w:tabs>
        <w:rPr>
          <w:b/>
          <w:color w:val="auto"/>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94.25pt;margin-top:9.65pt;width:173.25pt;height:66pt;z-index:-1;visibility:visible">
            <v:imagedata r:id="rId8" o:title=""/>
          </v:shape>
        </w:pict>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5D7BE0">
        <w:rPr>
          <w:color w:val="000000" w:themeColor="text1"/>
          <w:sz w:val="26"/>
          <w:szCs w:val="26"/>
        </w:rPr>
        <w:t>May 19</w:t>
      </w:r>
      <w:r w:rsidR="00C80B65">
        <w:rPr>
          <w:color w:val="000000" w:themeColor="text1"/>
          <w:sz w:val="26"/>
          <w:szCs w:val="26"/>
        </w:rPr>
        <w:t>, 2011</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D27F18">
        <w:rPr>
          <w:color w:val="auto"/>
          <w:sz w:val="26"/>
          <w:szCs w:val="26"/>
        </w:rPr>
        <w:t>May 20, 2011</w:t>
      </w:r>
    </w:p>
    <w:p w:rsidR="00A544A4" w:rsidRPr="00CD03C5" w:rsidRDefault="00A544A4">
      <w:pPr>
        <w:rPr>
          <w:sz w:val="26"/>
          <w:szCs w:val="26"/>
        </w:rPr>
      </w:pPr>
    </w:p>
    <w:sectPr w:rsidR="00A544A4" w:rsidRPr="00CD03C5"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FB" w:rsidRDefault="000D23FB">
      <w:r>
        <w:separator/>
      </w:r>
    </w:p>
  </w:endnote>
  <w:endnote w:type="continuationSeparator" w:id="0">
    <w:p w:rsidR="000D23FB" w:rsidRDefault="000D2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014828"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5650C6" w:rsidRDefault="00014828"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00697832" w:rsidRPr="005650C6">
      <w:rPr>
        <w:rStyle w:val="PageNumber"/>
        <w:color w:val="000000" w:themeColor="text1"/>
      </w:rPr>
      <w:instrText xml:space="preserve">PAGE  </w:instrText>
    </w:r>
    <w:r w:rsidRPr="005650C6">
      <w:rPr>
        <w:rStyle w:val="PageNumber"/>
        <w:color w:val="000000" w:themeColor="text1"/>
      </w:rPr>
      <w:fldChar w:fldCharType="separate"/>
    </w:r>
    <w:r w:rsidR="00D27F18">
      <w:rPr>
        <w:rStyle w:val="PageNumber"/>
        <w:noProof/>
        <w:color w:val="000000" w:themeColor="text1"/>
      </w:rPr>
      <w:t>3</w:t>
    </w:r>
    <w:r w:rsidRPr="005650C6">
      <w:rPr>
        <w:rStyle w:val="PageNumber"/>
        <w:color w:val="000000" w:themeColor="text1"/>
      </w:rPr>
      <w:fldChar w:fldCharType="end"/>
    </w:r>
  </w:p>
  <w:p w:rsidR="00697832" w:rsidRDefault="0069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FB" w:rsidRPr="00AE098E" w:rsidRDefault="000D23FB">
      <w:pPr>
        <w:rPr>
          <w:color w:val="auto"/>
        </w:rPr>
      </w:pPr>
      <w:r w:rsidRPr="00AE098E">
        <w:rPr>
          <w:color w:val="auto"/>
        </w:rPr>
        <w:separator/>
      </w:r>
    </w:p>
  </w:footnote>
  <w:footnote w:type="continuationSeparator" w:id="0">
    <w:p w:rsidR="000D23FB" w:rsidRDefault="000D23FB">
      <w:r>
        <w:continuationSeparator/>
      </w:r>
    </w:p>
  </w:footnote>
  <w:footnote w:id="1">
    <w:p w:rsidR="005A30C9" w:rsidRPr="005D7BE0" w:rsidRDefault="005A30C9" w:rsidP="005D7BE0">
      <w:pPr>
        <w:suppressAutoHyphens/>
        <w:rPr>
          <w:color w:val="auto"/>
          <w:sz w:val="20"/>
        </w:rPr>
      </w:pPr>
      <w:r w:rsidRPr="005D7BE0">
        <w:rPr>
          <w:rStyle w:val="FootnoteReference"/>
          <w:color w:val="auto"/>
          <w:sz w:val="20"/>
        </w:rPr>
        <w:footnoteRef/>
      </w:r>
      <w:r w:rsidRPr="005D7BE0">
        <w:rPr>
          <w:color w:val="auto"/>
          <w:sz w:val="20"/>
        </w:rPr>
        <w:t xml:space="preserve"> Planet Energy is also authorized by the Commission to offer, render, furnish or supply electric generation supplier services to residential, small comme</w:t>
      </w:r>
      <w:r w:rsidR="005D7BE0" w:rsidRPr="005D7BE0">
        <w:rPr>
          <w:color w:val="auto"/>
          <w:sz w:val="20"/>
        </w:rPr>
        <w:t xml:space="preserve">rcial </w:t>
      </w:r>
      <w:r w:rsidRPr="005D7BE0">
        <w:rPr>
          <w:color w:val="auto"/>
          <w:sz w:val="20"/>
        </w:rPr>
        <w:t xml:space="preserve">and large </w:t>
      </w:r>
      <w:r w:rsidR="005D7BE0" w:rsidRPr="005D7BE0">
        <w:rPr>
          <w:color w:val="auto"/>
          <w:sz w:val="20"/>
        </w:rPr>
        <w:t xml:space="preserve">commercial </w:t>
      </w:r>
      <w:r w:rsidRPr="005D7BE0">
        <w:rPr>
          <w:color w:val="auto"/>
          <w:sz w:val="20"/>
        </w:rPr>
        <w:t>customers in the electric distribution company service territories of Allegheny Power, Duquesne Light Company, PECO Energy Company, Pennsylvania Electric Company, Pennsylvania Power Company, PPL Electric Utilities, Inc. and Metropolitan Edison Company within t</w:t>
      </w:r>
      <w:r w:rsidR="003E38AF">
        <w:rPr>
          <w:color w:val="auto"/>
          <w:sz w:val="20"/>
        </w:rPr>
        <w:t xml:space="preserve">he Commonwealth of Pennsylvania at Docket No. A-2011-22235834, </w:t>
      </w:r>
      <w:r w:rsidR="009502FD">
        <w:rPr>
          <w:color w:val="auto"/>
          <w:sz w:val="20"/>
        </w:rPr>
        <w:t>Order e</w:t>
      </w:r>
      <w:r w:rsidR="005D7BE0" w:rsidRPr="005D7BE0">
        <w:rPr>
          <w:color w:val="auto"/>
          <w:sz w:val="20"/>
        </w:rPr>
        <w:t xml:space="preserve">ntered February 25,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7FDE4C6A"/>
    <w:multiLevelType w:val="hybridMultilevel"/>
    <w:tmpl w:val="B8484284"/>
    <w:lvl w:ilvl="0" w:tplc="E1040712">
      <w:start w:val="1"/>
      <w:numFmt w:val="decimal"/>
      <w:lvlText w:val="%1."/>
      <w:lvlJc w:val="left"/>
      <w:pPr>
        <w:ind w:left="3600" w:hanging="21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34CB"/>
    <w:rsid w:val="000120B5"/>
    <w:rsid w:val="00014828"/>
    <w:rsid w:val="00016AF8"/>
    <w:rsid w:val="00043790"/>
    <w:rsid w:val="0004622B"/>
    <w:rsid w:val="0005050F"/>
    <w:rsid w:val="000535E4"/>
    <w:rsid w:val="00056AE6"/>
    <w:rsid w:val="00056D0B"/>
    <w:rsid w:val="00060D1D"/>
    <w:rsid w:val="000712D6"/>
    <w:rsid w:val="00096425"/>
    <w:rsid w:val="000968C9"/>
    <w:rsid w:val="000A246D"/>
    <w:rsid w:val="000A6198"/>
    <w:rsid w:val="000B6F4C"/>
    <w:rsid w:val="000C5D46"/>
    <w:rsid w:val="000D23FB"/>
    <w:rsid w:val="000D544B"/>
    <w:rsid w:val="000D67E4"/>
    <w:rsid w:val="000F300D"/>
    <w:rsid w:val="000F48D9"/>
    <w:rsid w:val="001013B4"/>
    <w:rsid w:val="00102D1E"/>
    <w:rsid w:val="00117DBF"/>
    <w:rsid w:val="0012153B"/>
    <w:rsid w:val="0013441D"/>
    <w:rsid w:val="00145521"/>
    <w:rsid w:val="0016409E"/>
    <w:rsid w:val="00172E30"/>
    <w:rsid w:val="0019021F"/>
    <w:rsid w:val="00195A2F"/>
    <w:rsid w:val="001B3AF0"/>
    <w:rsid w:val="001B5D02"/>
    <w:rsid w:val="001C5BB3"/>
    <w:rsid w:val="001D0D02"/>
    <w:rsid w:val="001F03C7"/>
    <w:rsid w:val="0020470D"/>
    <w:rsid w:val="0020567E"/>
    <w:rsid w:val="0021203A"/>
    <w:rsid w:val="00217F9B"/>
    <w:rsid w:val="00223884"/>
    <w:rsid w:val="002359B6"/>
    <w:rsid w:val="00263578"/>
    <w:rsid w:val="002857F7"/>
    <w:rsid w:val="002A2F58"/>
    <w:rsid w:val="002A79E7"/>
    <w:rsid w:val="002B2A14"/>
    <w:rsid w:val="002C3BC4"/>
    <w:rsid w:val="002C7616"/>
    <w:rsid w:val="002E0720"/>
    <w:rsid w:val="002F645D"/>
    <w:rsid w:val="003039C7"/>
    <w:rsid w:val="00303B97"/>
    <w:rsid w:val="003054D5"/>
    <w:rsid w:val="00320E5C"/>
    <w:rsid w:val="00326E09"/>
    <w:rsid w:val="003441D9"/>
    <w:rsid w:val="003530BE"/>
    <w:rsid w:val="0036392C"/>
    <w:rsid w:val="00372086"/>
    <w:rsid w:val="00373CB2"/>
    <w:rsid w:val="00376AAE"/>
    <w:rsid w:val="00381CCB"/>
    <w:rsid w:val="00383930"/>
    <w:rsid w:val="003926B3"/>
    <w:rsid w:val="00392A69"/>
    <w:rsid w:val="00394A9B"/>
    <w:rsid w:val="003A692F"/>
    <w:rsid w:val="003C346E"/>
    <w:rsid w:val="003C3A68"/>
    <w:rsid w:val="003C5AA7"/>
    <w:rsid w:val="003C6D4F"/>
    <w:rsid w:val="003D3688"/>
    <w:rsid w:val="003E38AF"/>
    <w:rsid w:val="00411EC4"/>
    <w:rsid w:val="004128A8"/>
    <w:rsid w:val="00416829"/>
    <w:rsid w:val="0042113A"/>
    <w:rsid w:val="00421492"/>
    <w:rsid w:val="004335F0"/>
    <w:rsid w:val="0044319F"/>
    <w:rsid w:val="00447815"/>
    <w:rsid w:val="00457AB1"/>
    <w:rsid w:val="004610B9"/>
    <w:rsid w:val="004618D8"/>
    <w:rsid w:val="004858D7"/>
    <w:rsid w:val="00497E52"/>
    <w:rsid w:val="004B06C1"/>
    <w:rsid w:val="004C3BD4"/>
    <w:rsid w:val="004E2E63"/>
    <w:rsid w:val="005038B1"/>
    <w:rsid w:val="00503FB2"/>
    <w:rsid w:val="005107C9"/>
    <w:rsid w:val="00512E37"/>
    <w:rsid w:val="00533926"/>
    <w:rsid w:val="00537D79"/>
    <w:rsid w:val="00542312"/>
    <w:rsid w:val="0054264D"/>
    <w:rsid w:val="0055073A"/>
    <w:rsid w:val="005531FE"/>
    <w:rsid w:val="00560CF3"/>
    <w:rsid w:val="005650C6"/>
    <w:rsid w:val="00572846"/>
    <w:rsid w:val="00575938"/>
    <w:rsid w:val="00587A50"/>
    <w:rsid w:val="00590909"/>
    <w:rsid w:val="005A16E1"/>
    <w:rsid w:val="005A30C9"/>
    <w:rsid w:val="005A39F9"/>
    <w:rsid w:val="005B1444"/>
    <w:rsid w:val="005B621E"/>
    <w:rsid w:val="005B68C8"/>
    <w:rsid w:val="005D79AD"/>
    <w:rsid w:val="005D7BE0"/>
    <w:rsid w:val="005F74C2"/>
    <w:rsid w:val="005F7F34"/>
    <w:rsid w:val="005F7FD8"/>
    <w:rsid w:val="00614374"/>
    <w:rsid w:val="00616A3A"/>
    <w:rsid w:val="00620D6E"/>
    <w:rsid w:val="00632E42"/>
    <w:rsid w:val="00634598"/>
    <w:rsid w:val="0064755A"/>
    <w:rsid w:val="006546C1"/>
    <w:rsid w:val="006602B5"/>
    <w:rsid w:val="006656F2"/>
    <w:rsid w:val="00672081"/>
    <w:rsid w:val="0067741B"/>
    <w:rsid w:val="00690118"/>
    <w:rsid w:val="00692267"/>
    <w:rsid w:val="00697832"/>
    <w:rsid w:val="006A2BC5"/>
    <w:rsid w:val="006A433E"/>
    <w:rsid w:val="006C68DF"/>
    <w:rsid w:val="006C6E7F"/>
    <w:rsid w:val="006F3032"/>
    <w:rsid w:val="007007DD"/>
    <w:rsid w:val="00705620"/>
    <w:rsid w:val="00705B66"/>
    <w:rsid w:val="00706E97"/>
    <w:rsid w:val="007119BF"/>
    <w:rsid w:val="007130A5"/>
    <w:rsid w:val="007349CE"/>
    <w:rsid w:val="007421CE"/>
    <w:rsid w:val="00747EDA"/>
    <w:rsid w:val="00750759"/>
    <w:rsid w:val="007736A1"/>
    <w:rsid w:val="007906EC"/>
    <w:rsid w:val="0079110F"/>
    <w:rsid w:val="00793F60"/>
    <w:rsid w:val="007A5B5F"/>
    <w:rsid w:val="007B09E2"/>
    <w:rsid w:val="007B5B41"/>
    <w:rsid w:val="007C494F"/>
    <w:rsid w:val="007E430E"/>
    <w:rsid w:val="007F12BF"/>
    <w:rsid w:val="007F148F"/>
    <w:rsid w:val="007F4449"/>
    <w:rsid w:val="00800447"/>
    <w:rsid w:val="00806657"/>
    <w:rsid w:val="0081293F"/>
    <w:rsid w:val="0081379F"/>
    <w:rsid w:val="00815F57"/>
    <w:rsid w:val="00816A58"/>
    <w:rsid w:val="008252DA"/>
    <w:rsid w:val="00843204"/>
    <w:rsid w:val="00844F48"/>
    <w:rsid w:val="00846409"/>
    <w:rsid w:val="008504E3"/>
    <w:rsid w:val="00861628"/>
    <w:rsid w:val="008633F9"/>
    <w:rsid w:val="00863519"/>
    <w:rsid w:val="00875306"/>
    <w:rsid w:val="008803A1"/>
    <w:rsid w:val="00894584"/>
    <w:rsid w:val="008964D9"/>
    <w:rsid w:val="008A1212"/>
    <w:rsid w:val="008A2B22"/>
    <w:rsid w:val="008C66C4"/>
    <w:rsid w:val="008D0D95"/>
    <w:rsid w:val="008E0471"/>
    <w:rsid w:val="008E3EC1"/>
    <w:rsid w:val="008F0A9D"/>
    <w:rsid w:val="00906E98"/>
    <w:rsid w:val="00921517"/>
    <w:rsid w:val="00941E2A"/>
    <w:rsid w:val="00943BB4"/>
    <w:rsid w:val="009502FD"/>
    <w:rsid w:val="00950B0E"/>
    <w:rsid w:val="009527BC"/>
    <w:rsid w:val="00954309"/>
    <w:rsid w:val="0095591B"/>
    <w:rsid w:val="0095742D"/>
    <w:rsid w:val="00957931"/>
    <w:rsid w:val="00961EC1"/>
    <w:rsid w:val="0097166E"/>
    <w:rsid w:val="0099376D"/>
    <w:rsid w:val="009B1C5C"/>
    <w:rsid w:val="009C087A"/>
    <w:rsid w:val="009C3C7C"/>
    <w:rsid w:val="009C70CC"/>
    <w:rsid w:val="009D4583"/>
    <w:rsid w:val="00A0199D"/>
    <w:rsid w:val="00A020D4"/>
    <w:rsid w:val="00A04453"/>
    <w:rsid w:val="00A17F28"/>
    <w:rsid w:val="00A2326B"/>
    <w:rsid w:val="00A24D94"/>
    <w:rsid w:val="00A3124C"/>
    <w:rsid w:val="00A36E4D"/>
    <w:rsid w:val="00A404E7"/>
    <w:rsid w:val="00A42AC2"/>
    <w:rsid w:val="00A53F87"/>
    <w:rsid w:val="00A544A4"/>
    <w:rsid w:val="00A76D08"/>
    <w:rsid w:val="00A96F3F"/>
    <w:rsid w:val="00AA6902"/>
    <w:rsid w:val="00AB14A4"/>
    <w:rsid w:val="00AB3D44"/>
    <w:rsid w:val="00AB63C2"/>
    <w:rsid w:val="00AB7A76"/>
    <w:rsid w:val="00AC2642"/>
    <w:rsid w:val="00AC5217"/>
    <w:rsid w:val="00AE098E"/>
    <w:rsid w:val="00AE3375"/>
    <w:rsid w:val="00AF0CD1"/>
    <w:rsid w:val="00AF7B81"/>
    <w:rsid w:val="00B01676"/>
    <w:rsid w:val="00B065FE"/>
    <w:rsid w:val="00B12B18"/>
    <w:rsid w:val="00B12CD4"/>
    <w:rsid w:val="00B137B2"/>
    <w:rsid w:val="00B2568B"/>
    <w:rsid w:val="00B5655A"/>
    <w:rsid w:val="00B622AA"/>
    <w:rsid w:val="00B62F03"/>
    <w:rsid w:val="00B724C7"/>
    <w:rsid w:val="00B95B6F"/>
    <w:rsid w:val="00BA67C2"/>
    <w:rsid w:val="00BA7E22"/>
    <w:rsid w:val="00BB7C50"/>
    <w:rsid w:val="00BC64FD"/>
    <w:rsid w:val="00BD2334"/>
    <w:rsid w:val="00BE1AA9"/>
    <w:rsid w:val="00BF31D9"/>
    <w:rsid w:val="00BF740C"/>
    <w:rsid w:val="00C00A02"/>
    <w:rsid w:val="00C05EBB"/>
    <w:rsid w:val="00C06C35"/>
    <w:rsid w:val="00C108E9"/>
    <w:rsid w:val="00C10A53"/>
    <w:rsid w:val="00C14F1D"/>
    <w:rsid w:val="00C2257A"/>
    <w:rsid w:val="00C31471"/>
    <w:rsid w:val="00C40973"/>
    <w:rsid w:val="00C56AAD"/>
    <w:rsid w:val="00C6258D"/>
    <w:rsid w:val="00C659B9"/>
    <w:rsid w:val="00C72542"/>
    <w:rsid w:val="00C76E99"/>
    <w:rsid w:val="00C80B65"/>
    <w:rsid w:val="00C83F8B"/>
    <w:rsid w:val="00C921D9"/>
    <w:rsid w:val="00C94888"/>
    <w:rsid w:val="00CA2822"/>
    <w:rsid w:val="00CA54FD"/>
    <w:rsid w:val="00CB2F64"/>
    <w:rsid w:val="00CB4930"/>
    <w:rsid w:val="00CD03C5"/>
    <w:rsid w:val="00CD0D95"/>
    <w:rsid w:val="00CD126B"/>
    <w:rsid w:val="00CD5C76"/>
    <w:rsid w:val="00CF289C"/>
    <w:rsid w:val="00CF5945"/>
    <w:rsid w:val="00D03128"/>
    <w:rsid w:val="00D05FC2"/>
    <w:rsid w:val="00D24952"/>
    <w:rsid w:val="00D27F18"/>
    <w:rsid w:val="00D3301F"/>
    <w:rsid w:val="00D35F6F"/>
    <w:rsid w:val="00D37628"/>
    <w:rsid w:val="00D405F0"/>
    <w:rsid w:val="00D42C3C"/>
    <w:rsid w:val="00D5178F"/>
    <w:rsid w:val="00D529F5"/>
    <w:rsid w:val="00D535F1"/>
    <w:rsid w:val="00D5737B"/>
    <w:rsid w:val="00D6313D"/>
    <w:rsid w:val="00D63141"/>
    <w:rsid w:val="00D64E4F"/>
    <w:rsid w:val="00D65120"/>
    <w:rsid w:val="00D75923"/>
    <w:rsid w:val="00D81E8E"/>
    <w:rsid w:val="00D90F20"/>
    <w:rsid w:val="00D945BC"/>
    <w:rsid w:val="00DA505F"/>
    <w:rsid w:val="00DB0EAA"/>
    <w:rsid w:val="00DB52A6"/>
    <w:rsid w:val="00DB5691"/>
    <w:rsid w:val="00DB6E46"/>
    <w:rsid w:val="00DC1349"/>
    <w:rsid w:val="00DD0A34"/>
    <w:rsid w:val="00DD271D"/>
    <w:rsid w:val="00DD5529"/>
    <w:rsid w:val="00DF5121"/>
    <w:rsid w:val="00DF6614"/>
    <w:rsid w:val="00E10026"/>
    <w:rsid w:val="00E14464"/>
    <w:rsid w:val="00E16C3E"/>
    <w:rsid w:val="00E17C2E"/>
    <w:rsid w:val="00E17D5D"/>
    <w:rsid w:val="00E22643"/>
    <w:rsid w:val="00E25C4C"/>
    <w:rsid w:val="00E5698F"/>
    <w:rsid w:val="00E60FAF"/>
    <w:rsid w:val="00E75706"/>
    <w:rsid w:val="00E872EA"/>
    <w:rsid w:val="00E914D9"/>
    <w:rsid w:val="00E92A4D"/>
    <w:rsid w:val="00E93202"/>
    <w:rsid w:val="00E968AE"/>
    <w:rsid w:val="00EA3719"/>
    <w:rsid w:val="00EB6FE4"/>
    <w:rsid w:val="00EC5066"/>
    <w:rsid w:val="00ED3634"/>
    <w:rsid w:val="00ED59C4"/>
    <w:rsid w:val="00EF334E"/>
    <w:rsid w:val="00EF42A9"/>
    <w:rsid w:val="00EF4784"/>
    <w:rsid w:val="00F25C2D"/>
    <w:rsid w:val="00F26582"/>
    <w:rsid w:val="00F35580"/>
    <w:rsid w:val="00F42D9E"/>
    <w:rsid w:val="00F450E1"/>
    <w:rsid w:val="00F510F4"/>
    <w:rsid w:val="00F536C3"/>
    <w:rsid w:val="00F55C41"/>
    <w:rsid w:val="00F66F07"/>
    <w:rsid w:val="00F75D85"/>
    <w:rsid w:val="00F81A20"/>
    <w:rsid w:val="00F9514D"/>
    <w:rsid w:val="00FC1746"/>
    <w:rsid w:val="00FC1B12"/>
    <w:rsid w:val="00FC26AA"/>
    <w:rsid w:val="00FC51BD"/>
    <w:rsid w:val="00FE3677"/>
    <w:rsid w:val="00FF1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6307-CF11-4451-8E94-F7C09964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joyce marie farner</cp:lastModifiedBy>
  <cp:revision>16</cp:revision>
  <cp:lastPrinted>2011-05-20T16:22:00Z</cp:lastPrinted>
  <dcterms:created xsi:type="dcterms:W3CDTF">2011-04-22T20:41:00Z</dcterms:created>
  <dcterms:modified xsi:type="dcterms:W3CDTF">2011-05-20T16:22:00Z</dcterms:modified>
</cp:coreProperties>
</file>