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027E" w:rsidRPr="00C52ADD" w:rsidRDefault="00145D7C" w:rsidP="00FB3415">
      <w:pPr>
        <w:pStyle w:val="NoSpacing"/>
        <w:jc w:val="center"/>
        <w:rPr>
          <w:rFonts w:ascii="Times New Roman" w:hAnsi="Times New Roman" w:cs="Times New Roman"/>
          <w:b/>
          <w:sz w:val="24"/>
          <w:szCs w:val="24"/>
        </w:rPr>
      </w:pPr>
      <w:r w:rsidRPr="00C52ADD">
        <w:rPr>
          <w:rFonts w:ascii="Times New Roman" w:hAnsi="Times New Roman" w:cs="Times New Roman"/>
          <w:b/>
          <w:sz w:val="24"/>
          <w:szCs w:val="24"/>
        </w:rPr>
        <w:t>BEFORE THE</w:t>
      </w:r>
    </w:p>
    <w:p w:rsidR="00145D7C" w:rsidRPr="00C52ADD" w:rsidRDefault="00145D7C" w:rsidP="00FB3415">
      <w:pPr>
        <w:pStyle w:val="NoSpacing"/>
        <w:jc w:val="center"/>
        <w:rPr>
          <w:rFonts w:ascii="Times New Roman" w:hAnsi="Times New Roman" w:cs="Times New Roman"/>
          <w:b/>
          <w:sz w:val="24"/>
          <w:szCs w:val="24"/>
        </w:rPr>
      </w:pPr>
      <w:r w:rsidRPr="00C52ADD">
        <w:rPr>
          <w:rFonts w:ascii="Times New Roman" w:hAnsi="Times New Roman" w:cs="Times New Roman"/>
          <w:b/>
          <w:sz w:val="24"/>
          <w:szCs w:val="24"/>
        </w:rPr>
        <w:t>PENNSYLVANIA PUBLIC UTILITY COMMISSION</w:t>
      </w:r>
    </w:p>
    <w:p w:rsidR="00145D7C" w:rsidRDefault="00145D7C" w:rsidP="00FB3415">
      <w:pPr>
        <w:pStyle w:val="NoSpacing"/>
        <w:jc w:val="center"/>
        <w:rPr>
          <w:rFonts w:ascii="Times New Roman" w:hAnsi="Times New Roman" w:cs="Times New Roman"/>
          <w:b/>
          <w:sz w:val="24"/>
          <w:szCs w:val="24"/>
        </w:rPr>
      </w:pPr>
    </w:p>
    <w:p w:rsidR="00FB3415" w:rsidRDefault="00FB3415" w:rsidP="00FB3415">
      <w:pPr>
        <w:pStyle w:val="NoSpacing"/>
        <w:jc w:val="center"/>
        <w:rPr>
          <w:rFonts w:ascii="Times New Roman" w:hAnsi="Times New Roman" w:cs="Times New Roman"/>
          <w:b/>
          <w:sz w:val="24"/>
          <w:szCs w:val="24"/>
        </w:rPr>
      </w:pPr>
    </w:p>
    <w:p w:rsidR="00FB3415" w:rsidRDefault="00FB3415" w:rsidP="00FB3415">
      <w:pPr>
        <w:pStyle w:val="NoSpacing"/>
        <w:jc w:val="center"/>
        <w:rPr>
          <w:rFonts w:ascii="Times New Roman" w:hAnsi="Times New Roman" w:cs="Times New Roman"/>
          <w:b/>
          <w:sz w:val="24"/>
          <w:szCs w:val="24"/>
        </w:rPr>
      </w:pPr>
    </w:p>
    <w:p w:rsidR="00FB3415" w:rsidRPr="00C52ADD" w:rsidRDefault="00FB3415" w:rsidP="00FB3415">
      <w:pPr>
        <w:pStyle w:val="NoSpacing"/>
        <w:jc w:val="center"/>
        <w:rPr>
          <w:rFonts w:ascii="Times New Roman" w:hAnsi="Times New Roman" w:cs="Times New Roman"/>
          <w:b/>
          <w:sz w:val="24"/>
          <w:szCs w:val="24"/>
        </w:rPr>
      </w:pPr>
    </w:p>
    <w:p w:rsidR="00D1225B" w:rsidRPr="00C52ADD" w:rsidRDefault="00C9342F" w:rsidP="00D1225B">
      <w:pPr>
        <w:pStyle w:val="NoSpacing"/>
        <w:rPr>
          <w:rFonts w:ascii="Times New Roman" w:hAnsi="Times New Roman" w:cs="Times New Roman"/>
          <w:sz w:val="24"/>
          <w:szCs w:val="24"/>
        </w:rPr>
      </w:pPr>
      <w:r>
        <w:rPr>
          <w:rFonts w:ascii="Times New Roman" w:hAnsi="Times New Roman" w:cs="Times New Roman"/>
          <w:sz w:val="24"/>
          <w:szCs w:val="24"/>
        </w:rPr>
        <w:t xml:space="preserve">Theodore </w:t>
      </w:r>
      <w:proofErr w:type="spellStart"/>
      <w:r>
        <w:rPr>
          <w:rFonts w:ascii="Times New Roman" w:hAnsi="Times New Roman" w:cs="Times New Roman"/>
          <w:sz w:val="24"/>
          <w:szCs w:val="24"/>
        </w:rPr>
        <w:t>Presutti</w:t>
      </w:r>
      <w:proofErr w:type="spellEnd"/>
      <w:r w:rsidR="006E48ED">
        <w:rPr>
          <w:rFonts w:ascii="Times New Roman" w:hAnsi="Times New Roman" w:cs="Times New Roman"/>
          <w:sz w:val="24"/>
          <w:szCs w:val="24"/>
        </w:rPr>
        <w:tab/>
      </w:r>
      <w:r w:rsidR="006E48ED">
        <w:rPr>
          <w:rFonts w:ascii="Times New Roman" w:hAnsi="Times New Roman" w:cs="Times New Roman"/>
          <w:sz w:val="24"/>
          <w:szCs w:val="24"/>
        </w:rPr>
        <w:tab/>
      </w:r>
      <w:r w:rsidR="006E48ED">
        <w:rPr>
          <w:rFonts w:ascii="Times New Roman" w:hAnsi="Times New Roman" w:cs="Times New Roman"/>
          <w:sz w:val="24"/>
          <w:szCs w:val="24"/>
        </w:rPr>
        <w:tab/>
      </w:r>
      <w:r w:rsidR="00D1225B" w:rsidRPr="00C52ADD">
        <w:rPr>
          <w:rFonts w:ascii="Times New Roman" w:hAnsi="Times New Roman" w:cs="Times New Roman"/>
          <w:sz w:val="24"/>
          <w:szCs w:val="24"/>
        </w:rPr>
        <w:tab/>
      </w:r>
      <w:r w:rsidR="00D1225B" w:rsidRPr="00C52ADD">
        <w:rPr>
          <w:rFonts w:ascii="Times New Roman" w:hAnsi="Times New Roman" w:cs="Times New Roman"/>
          <w:sz w:val="24"/>
          <w:szCs w:val="24"/>
        </w:rPr>
        <w:tab/>
      </w:r>
      <w:r w:rsidR="00D1225B">
        <w:rPr>
          <w:rFonts w:ascii="Times New Roman" w:hAnsi="Times New Roman" w:cs="Times New Roman"/>
          <w:sz w:val="24"/>
          <w:szCs w:val="24"/>
        </w:rPr>
        <w:t>:</w:t>
      </w:r>
    </w:p>
    <w:p w:rsidR="006E48ED" w:rsidRPr="00C52ADD" w:rsidRDefault="006E48ED" w:rsidP="00D1225B">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p>
    <w:p w:rsidR="00D1225B" w:rsidRPr="00C52ADD" w:rsidRDefault="00D1225B" w:rsidP="00D1225B">
      <w:pPr>
        <w:pStyle w:val="NoSpacing"/>
        <w:rPr>
          <w:rFonts w:ascii="Times New Roman" w:hAnsi="Times New Roman" w:cs="Times New Roman"/>
          <w:sz w:val="24"/>
          <w:szCs w:val="24"/>
        </w:rPr>
      </w:pPr>
      <w:r w:rsidRPr="00C52ADD">
        <w:rPr>
          <w:rFonts w:ascii="Times New Roman" w:hAnsi="Times New Roman" w:cs="Times New Roman"/>
          <w:sz w:val="24"/>
          <w:szCs w:val="24"/>
        </w:rPr>
        <w:tab/>
      </w:r>
      <w:r w:rsidRPr="00C52ADD">
        <w:rPr>
          <w:rFonts w:ascii="Times New Roman" w:hAnsi="Times New Roman" w:cs="Times New Roman"/>
          <w:sz w:val="24"/>
          <w:szCs w:val="24"/>
        </w:rPr>
        <w:tab/>
      </w:r>
      <w:r w:rsidRPr="00C52ADD">
        <w:rPr>
          <w:rFonts w:ascii="Times New Roman" w:hAnsi="Times New Roman" w:cs="Times New Roman"/>
          <w:sz w:val="24"/>
          <w:szCs w:val="24"/>
        </w:rPr>
        <w:tab/>
        <w:t>v.</w:t>
      </w:r>
      <w:r w:rsidRPr="00C52ADD">
        <w:rPr>
          <w:rFonts w:ascii="Times New Roman" w:hAnsi="Times New Roman" w:cs="Times New Roman"/>
          <w:sz w:val="24"/>
          <w:szCs w:val="24"/>
        </w:rPr>
        <w:tab/>
      </w:r>
      <w:r w:rsidRPr="00C52ADD">
        <w:rPr>
          <w:rFonts w:ascii="Times New Roman" w:hAnsi="Times New Roman" w:cs="Times New Roman"/>
          <w:sz w:val="24"/>
          <w:szCs w:val="24"/>
        </w:rPr>
        <w:tab/>
      </w:r>
      <w:r w:rsidRPr="00C52ADD">
        <w:rPr>
          <w:rFonts w:ascii="Times New Roman" w:hAnsi="Times New Roman" w:cs="Times New Roman"/>
          <w:sz w:val="24"/>
          <w:szCs w:val="24"/>
        </w:rPr>
        <w:tab/>
      </w:r>
      <w:r w:rsidRPr="00C52ADD">
        <w:rPr>
          <w:rFonts w:ascii="Times New Roman" w:hAnsi="Times New Roman" w:cs="Times New Roman"/>
          <w:sz w:val="24"/>
          <w:szCs w:val="24"/>
        </w:rPr>
        <w:tab/>
      </w:r>
      <w:r>
        <w:rPr>
          <w:rFonts w:ascii="Times New Roman" w:hAnsi="Times New Roman" w:cs="Times New Roman"/>
          <w:sz w:val="24"/>
          <w:szCs w:val="24"/>
        </w:rPr>
        <w:t>:</w:t>
      </w:r>
      <w:r w:rsidRPr="00C52ADD">
        <w:rPr>
          <w:rFonts w:ascii="Times New Roman" w:hAnsi="Times New Roman" w:cs="Times New Roman"/>
          <w:sz w:val="24"/>
          <w:szCs w:val="24"/>
        </w:rPr>
        <w:tab/>
        <w:t xml:space="preserve">Docket No. </w:t>
      </w:r>
      <w:r w:rsidR="00C9342F">
        <w:rPr>
          <w:rFonts w:ascii="Times New Roman" w:hAnsi="Times New Roman" w:cs="Times New Roman"/>
          <w:sz w:val="24"/>
          <w:szCs w:val="24"/>
        </w:rPr>
        <w:t>F</w:t>
      </w:r>
      <w:r w:rsidRPr="00C52ADD">
        <w:rPr>
          <w:rFonts w:ascii="Times New Roman" w:hAnsi="Times New Roman" w:cs="Times New Roman"/>
          <w:sz w:val="24"/>
          <w:szCs w:val="24"/>
        </w:rPr>
        <w:t>-2010-21</w:t>
      </w:r>
      <w:r w:rsidR="00C9342F">
        <w:rPr>
          <w:rFonts w:ascii="Times New Roman" w:hAnsi="Times New Roman" w:cs="Times New Roman"/>
          <w:sz w:val="24"/>
          <w:szCs w:val="24"/>
        </w:rPr>
        <w:t>74509</w:t>
      </w:r>
    </w:p>
    <w:p w:rsidR="00D1225B" w:rsidRPr="00C52ADD" w:rsidRDefault="00D1225B" w:rsidP="00D1225B">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p>
    <w:p w:rsidR="00D1225B" w:rsidRPr="00C52ADD" w:rsidRDefault="00C9342F" w:rsidP="00D1225B">
      <w:pPr>
        <w:pStyle w:val="NoSpacing"/>
        <w:rPr>
          <w:rFonts w:ascii="Times New Roman" w:hAnsi="Times New Roman" w:cs="Times New Roman"/>
          <w:sz w:val="24"/>
          <w:szCs w:val="24"/>
        </w:rPr>
      </w:pPr>
      <w:r>
        <w:rPr>
          <w:rFonts w:ascii="Times New Roman" w:hAnsi="Times New Roman" w:cs="Times New Roman"/>
          <w:sz w:val="24"/>
          <w:szCs w:val="24"/>
        </w:rPr>
        <w:t>Duquesne Light Company</w:t>
      </w:r>
      <w:r w:rsidR="00D1225B">
        <w:rPr>
          <w:rFonts w:ascii="Times New Roman" w:hAnsi="Times New Roman" w:cs="Times New Roman"/>
          <w:sz w:val="24"/>
          <w:szCs w:val="24"/>
        </w:rPr>
        <w:tab/>
      </w:r>
      <w:r w:rsidR="00D1225B">
        <w:rPr>
          <w:rFonts w:ascii="Times New Roman" w:hAnsi="Times New Roman" w:cs="Times New Roman"/>
          <w:sz w:val="24"/>
          <w:szCs w:val="24"/>
        </w:rPr>
        <w:tab/>
      </w:r>
      <w:r w:rsidR="00D1225B">
        <w:rPr>
          <w:rFonts w:ascii="Times New Roman" w:hAnsi="Times New Roman" w:cs="Times New Roman"/>
          <w:sz w:val="24"/>
          <w:szCs w:val="24"/>
        </w:rPr>
        <w:tab/>
      </w:r>
      <w:r w:rsidR="00D1225B">
        <w:rPr>
          <w:rFonts w:ascii="Times New Roman" w:hAnsi="Times New Roman" w:cs="Times New Roman"/>
          <w:sz w:val="24"/>
          <w:szCs w:val="24"/>
        </w:rPr>
        <w:tab/>
        <w:t>:</w:t>
      </w:r>
    </w:p>
    <w:p w:rsidR="00D1225B" w:rsidRDefault="00D1225B" w:rsidP="00D1225B">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p>
    <w:p w:rsidR="008C0782" w:rsidRPr="00C52ADD" w:rsidRDefault="008C0782" w:rsidP="00D1225B">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p>
    <w:p w:rsidR="00D1225B" w:rsidRPr="00C52ADD" w:rsidRDefault="00D1225B" w:rsidP="00D1225B">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p>
    <w:p w:rsidR="00EF60EC" w:rsidRPr="00C52ADD" w:rsidRDefault="00C9342F" w:rsidP="00FB3415">
      <w:pPr>
        <w:pStyle w:val="NoSpacing"/>
        <w:rPr>
          <w:rFonts w:ascii="Times New Roman" w:hAnsi="Times New Roman" w:cs="Times New Roman"/>
          <w:sz w:val="24"/>
          <w:szCs w:val="24"/>
        </w:rPr>
      </w:pPr>
      <w:r>
        <w:rPr>
          <w:rFonts w:ascii="Times New Roman" w:hAnsi="Times New Roman" w:cs="Times New Roman"/>
          <w:sz w:val="24"/>
          <w:szCs w:val="24"/>
        </w:rPr>
        <w:t xml:space="preserve">Theodore </w:t>
      </w:r>
      <w:proofErr w:type="spellStart"/>
      <w:r>
        <w:rPr>
          <w:rFonts w:ascii="Times New Roman" w:hAnsi="Times New Roman" w:cs="Times New Roman"/>
          <w:sz w:val="24"/>
          <w:szCs w:val="24"/>
        </w:rPr>
        <w:t>Presutti</w:t>
      </w:r>
      <w:proofErr w:type="spellEnd"/>
      <w:r w:rsidR="006E48ED">
        <w:rPr>
          <w:rFonts w:ascii="Times New Roman" w:hAnsi="Times New Roman" w:cs="Times New Roman"/>
          <w:sz w:val="24"/>
          <w:szCs w:val="24"/>
        </w:rPr>
        <w:tab/>
      </w:r>
      <w:r w:rsidR="006E48ED">
        <w:rPr>
          <w:rFonts w:ascii="Times New Roman" w:hAnsi="Times New Roman" w:cs="Times New Roman"/>
          <w:sz w:val="24"/>
          <w:szCs w:val="24"/>
        </w:rPr>
        <w:tab/>
      </w:r>
      <w:r w:rsidR="006E48ED">
        <w:rPr>
          <w:rFonts w:ascii="Times New Roman" w:hAnsi="Times New Roman" w:cs="Times New Roman"/>
          <w:sz w:val="24"/>
          <w:szCs w:val="24"/>
        </w:rPr>
        <w:tab/>
      </w:r>
      <w:r w:rsidR="00EF60EC" w:rsidRPr="00C52ADD">
        <w:rPr>
          <w:rFonts w:ascii="Times New Roman" w:hAnsi="Times New Roman" w:cs="Times New Roman"/>
          <w:sz w:val="24"/>
          <w:szCs w:val="24"/>
        </w:rPr>
        <w:tab/>
      </w:r>
      <w:r w:rsidR="00EF60EC" w:rsidRPr="00C52ADD">
        <w:rPr>
          <w:rFonts w:ascii="Times New Roman" w:hAnsi="Times New Roman" w:cs="Times New Roman"/>
          <w:sz w:val="24"/>
          <w:szCs w:val="24"/>
        </w:rPr>
        <w:tab/>
      </w:r>
      <w:r w:rsidR="00077CBB">
        <w:rPr>
          <w:rFonts w:ascii="Times New Roman" w:hAnsi="Times New Roman" w:cs="Times New Roman"/>
          <w:sz w:val="24"/>
          <w:szCs w:val="24"/>
        </w:rPr>
        <w:t>:</w:t>
      </w:r>
    </w:p>
    <w:p w:rsidR="00EF60EC" w:rsidRPr="00C52ADD" w:rsidRDefault="00077CBB" w:rsidP="00FB3415">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p>
    <w:p w:rsidR="00EF60EC" w:rsidRPr="00C52ADD" w:rsidRDefault="00EF60EC" w:rsidP="00FB3415">
      <w:pPr>
        <w:pStyle w:val="NoSpacing"/>
        <w:rPr>
          <w:rFonts w:ascii="Times New Roman" w:hAnsi="Times New Roman" w:cs="Times New Roman"/>
          <w:sz w:val="24"/>
          <w:szCs w:val="24"/>
        </w:rPr>
      </w:pPr>
      <w:r w:rsidRPr="00C52ADD">
        <w:rPr>
          <w:rFonts w:ascii="Times New Roman" w:hAnsi="Times New Roman" w:cs="Times New Roman"/>
          <w:sz w:val="24"/>
          <w:szCs w:val="24"/>
        </w:rPr>
        <w:tab/>
      </w:r>
      <w:r w:rsidRPr="00C52ADD">
        <w:rPr>
          <w:rFonts w:ascii="Times New Roman" w:hAnsi="Times New Roman" w:cs="Times New Roman"/>
          <w:sz w:val="24"/>
          <w:szCs w:val="24"/>
        </w:rPr>
        <w:tab/>
      </w:r>
      <w:r w:rsidRPr="00C52ADD">
        <w:rPr>
          <w:rFonts w:ascii="Times New Roman" w:hAnsi="Times New Roman" w:cs="Times New Roman"/>
          <w:sz w:val="24"/>
          <w:szCs w:val="24"/>
        </w:rPr>
        <w:tab/>
        <w:t>v.</w:t>
      </w:r>
      <w:r w:rsidR="00241F98" w:rsidRPr="00C52ADD">
        <w:rPr>
          <w:rFonts w:ascii="Times New Roman" w:hAnsi="Times New Roman" w:cs="Times New Roman"/>
          <w:sz w:val="24"/>
          <w:szCs w:val="24"/>
        </w:rPr>
        <w:tab/>
      </w:r>
      <w:r w:rsidR="00241F98" w:rsidRPr="00C52ADD">
        <w:rPr>
          <w:rFonts w:ascii="Times New Roman" w:hAnsi="Times New Roman" w:cs="Times New Roman"/>
          <w:sz w:val="24"/>
          <w:szCs w:val="24"/>
        </w:rPr>
        <w:tab/>
      </w:r>
      <w:r w:rsidR="00241F98" w:rsidRPr="00C52ADD">
        <w:rPr>
          <w:rFonts w:ascii="Times New Roman" w:hAnsi="Times New Roman" w:cs="Times New Roman"/>
          <w:sz w:val="24"/>
          <w:szCs w:val="24"/>
        </w:rPr>
        <w:tab/>
      </w:r>
      <w:r w:rsidR="00241F98" w:rsidRPr="00C52ADD">
        <w:rPr>
          <w:rFonts w:ascii="Times New Roman" w:hAnsi="Times New Roman" w:cs="Times New Roman"/>
          <w:sz w:val="24"/>
          <w:szCs w:val="24"/>
        </w:rPr>
        <w:tab/>
      </w:r>
      <w:r w:rsidR="00077CBB">
        <w:rPr>
          <w:rFonts w:ascii="Times New Roman" w:hAnsi="Times New Roman" w:cs="Times New Roman"/>
          <w:sz w:val="24"/>
          <w:szCs w:val="24"/>
        </w:rPr>
        <w:t>:</w:t>
      </w:r>
      <w:r w:rsidR="00241F98" w:rsidRPr="00C52ADD">
        <w:rPr>
          <w:rFonts w:ascii="Times New Roman" w:hAnsi="Times New Roman" w:cs="Times New Roman"/>
          <w:sz w:val="24"/>
          <w:szCs w:val="24"/>
        </w:rPr>
        <w:tab/>
        <w:t xml:space="preserve">Docket No. </w:t>
      </w:r>
      <w:r w:rsidR="00C9342F">
        <w:rPr>
          <w:rFonts w:ascii="Times New Roman" w:hAnsi="Times New Roman" w:cs="Times New Roman"/>
          <w:sz w:val="24"/>
          <w:szCs w:val="24"/>
        </w:rPr>
        <w:t>C</w:t>
      </w:r>
      <w:r w:rsidR="00241F98" w:rsidRPr="00C52ADD">
        <w:rPr>
          <w:rFonts w:ascii="Times New Roman" w:hAnsi="Times New Roman" w:cs="Times New Roman"/>
          <w:sz w:val="24"/>
          <w:szCs w:val="24"/>
        </w:rPr>
        <w:t>-2010-</w:t>
      </w:r>
      <w:r w:rsidR="00C9342F">
        <w:rPr>
          <w:rFonts w:ascii="Times New Roman" w:hAnsi="Times New Roman" w:cs="Times New Roman"/>
          <w:sz w:val="24"/>
          <w:szCs w:val="24"/>
        </w:rPr>
        <w:t>2177251</w:t>
      </w:r>
    </w:p>
    <w:p w:rsidR="00EF60EC" w:rsidRPr="00C52ADD" w:rsidRDefault="00077CBB" w:rsidP="00FB3415">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p>
    <w:p w:rsidR="00EF60EC" w:rsidRPr="00C52ADD" w:rsidRDefault="00C9342F" w:rsidP="00FB3415">
      <w:pPr>
        <w:pStyle w:val="NoSpacing"/>
        <w:rPr>
          <w:rFonts w:ascii="Times New Roman" w:hAnsi="Times New Roman" w:cs="Times New Roman"/>
          <w:sz w:val="24"/>
          <w:szCs w:val="24"/>
        </w:rPr>
      </w:pPr>
      <w:r>
        <w:rPr>
          <w:rFonts w:ascii="Times New Roman" w:hAnsi="Times New Roman" w:cs="Times New Roman"/>
          <w:sz w:val="24"/>
          <w:szCs w:val="24"/>
        </w:rPr>
        <w:t>Duquesne Light Company</w:t>
      </w:r>
      <w:r w:rsidR="00F56F9A">
        <w:rPr>
          <w:rFonts w:ascii="Times New Roman" w:hAnsi="Times New Roman" w:cs="Times New Roman"/>
          <w:sz w:val="24"/>
          <w:szCs w:val="24"/>
        </w:rPr>
        <w:tab/>
      </w:r>
      <w:r w:rsidR="00F56F9A">
        <w:rPr>
          <w:rFonts w:ascii="Times New Roman" w:hAnsi="Times New Roman" w:cs="Times New Roman"/>
          <w:sz w:val="24"/>
          <w:szCs w:val="24"/>
        </w:rPr>
        <w:tab/>
      </w:r>
      <w:r w:rsidR="00F56F9A">
        <w:rPr>
          <w:rFonts w:ascii="Times New Roman" w:hAnsi="Times New Roman" w:cs="Times New Roman"/>
          <w:sz w:val="24"/>
          <w:szCs w:val="24"/>
        </w:rPr>
        <w:tab/>
      </w:r>
      <w:r w:rsidR="00077CBB">
        <w:rPr>
          <w:rFonts w:ascii="Times New Roman" w:hAnsi="Times New Roman" w:cs="Times New Roman"/>
          <w:sz w:val="24"/>
          <w:szCs w:val="24"/>
        </w:rPr>
        <w:tab/>
        <w:t>:</w:t>
      </w:r>
    </w:p>
    <w:p w:rsidR="00EF60EC" w:rsidRPr="00C52ADD" w:rsidRDefault="00EF60EC" w:rsidP="00FB3415">
      <w:pPr>
        <w:pStyle w:val="NoSpacing"/>
        <w:rPr>
          <w:rFonts w:ascii="Times New Roman" w:hAnsi="Times New Roman" w:cs="Times New Roman"/>
          <w:sz w:val="24"/>
          <w:szCs w:val="24"/>
        </w:rPr>
      </w:pPr>
    </w:p>
    <w:p w:rsidR="00EF60EC" w:rsidRPr="00C52ADD" w:rsidRDefault="00EF60EC" w:rsidP="00FB3415">
      <w:pPr>
        <w:pStyle w:val="NoSpacing"/>
        <w:rPr>
          <w:rFonts w:ascii="Times New Roman" w:hAnsi="Times New Roman" w:cs="Times New Roman"/>
          <w:sz w:val="24"/>
          <w:szCs w:val="24"/>
        </w:rPr>
      </w:pPr>
    </w:p>
    <w:p w:rsidR="00241F98" w:rsidRPr="00C52ADD" w:rsidRDefault="00241F98" w:rsidP="00FB3415">
      <w:pPr>
        <w:pStyle w:val="NoSpacing"/>
        <w:rPr>
          <w:rFonts w:ascii="Times New Roman" w:hAnsi="Times New Roman" w:cs="Times New Roman"/>
          <w:sz w:val="24"/>
          <w:szCs w:val="24"/>
        </w:rPr>
      </w:pPr>
    </w:p>
    <w:p w:rsidR="00EF60EC" w:rsidRPr="00C52ADD" w:rsidRDefault="00EF60EC" w:rsidP="00FB3415">
      <w:pPr>
        <w:pStyle w:val="NoSpacing"/>
        <w:jc w:val="center"/>
        <w:rPr>
          <w:rFonts w:ascii="Times New Roman" w:hAnsi="Times New Roman" w:cs="Times New Roman"/>
          <w:sz w:val="24"/>
          <w:szCs w:val="24"/>
        </w:rPr>
      </w:pPr>
      <w:r w:rsidRPr="00C52ADD">
        <w:rPr>
          <w:rFonts w:ascii="Times New Roman" w:hAnsi="Times New Roman" w:cs="Times New Roman"/>
          <w:b/>
          <w:sz w:val="24"/>
          <w:szCs w:val="24"/>
          <w:u w:val="single"/>
        </w:rPr>
        <w:t>ORDER CONSOLIDATING PROCEEDINGS</w:t>
      </w:r>
    </w:p>
    <w:p w:rsidR="00EF60EC" w:rsidRDefault="00EF60EC" w:rsidP="00FB3415">
      <w:pPr>
        <w:pStyle w:val="NoSpacing"/>
        <w:jc w:val="center"/>
        <w:rPr>
          <w:rFonts w:ascii="Times New Roman" w:hAnsi="Times New Roman" w:cs="Times New Roman"/>
          <w:sz w:val="24"/>
          <w:szCs w:val="24"/>
        </w:rPr>
      </w:pPr>
    </w:p>
    <w:p w:rsidR="00F16E63" w:rsidRPr="00C52ADD" w:rsidRDefault="00F16E63" w:rsidP="00FB3415">
      <w:pPr>
        <w:pStyle w:val="NoSpacing"/>
        <w:spacing w:line="360" w:lineRule="auto"/>
        <w:jc w:val="center"/>
        <w:rPr>
          <w:rFonts w:ascii="Times New Roman" w:hAnsi="Times New Roman" w:cs="Times New Roman"/>
          <w:sz w:val="24"/>
          <w:szCs w:val="24"/>
        </w:rPr>
      </w:pPr>
    </w:p>
    <w:p w:rsidR="00DF163B" w:rsidRDefault="00F16E63" w:rsidP="00FB3415">
      <w:pPr>
        <w:pStyle w:val="NoSpacing"/>
        <w:spacing w:line="360" w:lineRule="auto"/>
        <w:rPr>
          <w:rFonts w:ascii="Times New Roman" w:hAnsi="Times New Roman" w:cs="Times New Roman"/>
          <w:sz w:val="24"/>
          <w:szCs w:val="24"/>
        </w:rPr>
      </w:pPr>
      <w:r w:rsidRPr="00C52ADD">
        <w:rPr>
          <w:rFonts w:ascii="Times New Roman" w:hAnsi="Times New Roman" w:cs="Times New Roman"/>
          <w:sz w:val="24"/>
          <w:szCs w:val="24"/>
        </w:rPr>
        <w:tab/>
      </w:r>
      <w:r w:rsidRPr="00C52ADD">
        <w:rPr>
          <w:rFonts w:ascii="Times New Roman" w:hAnsi="Times New Roman" w:cs="Times New Roman"/>
          <w:sz w:val="24"/>
          <w:szCs w:val="24"/>
        </w:rPr>
        <w:tab/>
        <w:t xml:space="preserve">On </w:t>
      </w:r>
      <w:r w:rsidR="00F4698F">
        <w:rPr>
          <w:rFonts w:ascii="Times New Roman" w:hAnsi="Times New Roman" w:cs="Times New Roman"/>
          <w:sz w:val="24"/>
          <w:szCs w:val="24"/>
        </w:rPr>
        <w:t xml:space="preserve">April 27, </w:t>
      </w:r>
      <w:r w:rsidR="00F56F9A">
        <w:rPr>
          <w:rFonts w:ascii="Times New Roman" w:hAnsi="Times New Roman" w:cs="Times New Roman"/>
          <w:sz w:val="24"/>
          <w:szCs w:val="24"/>
        </w:rPr>
        <w:t xml:space="preserve">2010, </w:t>
      </w:r>
      <w:r w:rsidR="00F4698F">
        <w:rPr>
          <w:rFonts w:ascii="Times New Roman" w:hAnsi="Times New Roman" w:cs="Times New Roman"/>
          <w:sz w:val="24"/>
          <w:szCs w:val="24"/>
        </w:rPr>
        <w:t xml:space="preserve">Theodore </w:t>
      </w:r>
      <w:proofErr w:type="spellStart"/>
      <w:r w:rsidR="00F4698F">
        <w:rPr>
          <w:rFonts w:ascii="Times New Roman" w:hAnsi="Times New Roman" w:cs="Times New Roman"/>
          <w:sz w:val="24"/>
          <w:szCs w:val="24"/>
        </w:rPr>
        <w:t>Presutti</w:t>
      </w:r>
      <w:proofErr w:type="spellEnd"/>
      <w:r w:rsidR="00F314D3">
        <w:rPr>
          <w:rFonts w:ascii="Times New Roman" w:hAnsi="Times New Roman" w:cs="Times New Roman"/>
          <w:sz w:val="24"/>
          <w:szCs w:val="24"/>
        </w:rPr>
        <w:t xml:space="preserve"> (</w:t>
      </w:r>
      <w:r w:rsidR="00F4698F">
        <w:rPr>
          <w:rFonts w:ascii="Times New Roman" w:hAnsi="Times New Roman" w:cs="Times New Roman"/>
          <w:sz w:val="24"/>
          <w:szCs w:val="24"/>
        </w:rPr>
        <w:t>Complainant</w:t>
      </w:r>
      <w:proofErr w:type="gramStart"/>
      <w:r w:rsidR="00F314D3">
        <w:rPr>
          <w:rFonts w:ascii="Times New Roman" w:hAnsi="Times New Roman" w:cs="Times New Roman"/>
          <w:sz w:val="24"/>
          <w:szCs w:val="24"/>
        </w:rPr>
        <w:t>)</w:t>
      </w:r>
      <w:r w:rsidR="00F56F9A">
        <w:rPr>
          <w:rFonts w:ascii="Times New Roman" w:hAnsi="Times New Roman" w:cs="Times New Roman"/>
          <w:sz w:val="24"/>
          <w:szCs w:val="24"/>
        </w:rPr>
        <w:t>,</w:t>
      </w:r>
      <w:proofErr w:type="gramEnd"/>
      <w:r w:rsidR="00F56F9A">
        <w:rPr>
          <w:rFonts w:ascii="Times New Roman" w:hAnsi="Times New Roman" w:cs="Times New Roman"/>
          <w:sz w:val="24"/>
          <w:szCs w:val="24"/>
        </w:rPr>
        <w:t xml:space="preserve"> </w:t>
      </w:r>
      <w:r w:rsidR="00DA4ACE" w:rsidRPr="00C52ADD">
        <w:rPr>
          <w:rFonts w:ascii="Times New Roman" w:hAnsi="Times New Roman" w:cs="Times New Roman"/>
          <w:sz w:val="24"/>
          <w:szCs w:val="24"/>
        </w:rPr>
        <w:t xml:space="preserve">filed </w:t>
      </w:r>
      <w:r w:rsidR="00F56F9A">
        <w:rPr>
          <w:rFonts w:ascii="Times New Roman" w:hAnsi="Times New Roman" w:cs="Times New Roman"/>
          <w:sz w:val="24"/>
          <w:szCs w:val="24"/>
        </w:rPr>
        <w:t xml:space="preserve">a Complaint </w:t>
      </w:r>
      <w:r w:rsidR="00DF163B">
        <w:rPr>
          <w:rFonts w:ascii="Times New Roman" w:hAnsi="Times New Roman" w:cs="Times New Roman"/>
          <w:sz w:val="24"/>
          <w:szCs w:val="24"/>
        </w:rPr>
        <w:t xml:space="preserve">at </w:t>
      </w:r>
      <w:r w:rsidR="00DF163B" w:rsidRPr="00C52ADD">
        <w:rPr>
          <w:rFonts w:ascii="Times New Roman" w:hAnsi="Times New Roman" w:cs="Times New Roman"/>
          <w:sz w:val="24"/>
          <w:szCs w:val="24"/>
        </w:rPr>
        <w:t xml:space="preserve">Docket No. </w:t>
      </w:r>
      <w:proofErr w:type="gramStart"/>
      <w:r w:rsidR="00FE560D">
        <w:rPr>
          <w:rFonts w:ascii="Times New Roman" w:hAnsi="Times New Roman" w:cs="Times New Roman"/>
          <w:sz w:val="24"/>
          <w:szCs w:val="24"/>
        </w:rPr>
        <w:t>F</w:t>
      </w:r>
      <w:r w:rsidR="00FE560D" w:rsidRPr="00C52ADD">
        <w:rPr>
          <w:rFonts w:ascii="Times New Roman" w:hAnsi="Times New Roman" w:cs="Times New Roman"/>
          <w:sz w:val="24"/>
          <w:szCs w:val="24"/>
        </w:rPr>
        <w:t>-2010-21</w:t>
      </w:r>
      <w:r w:rsidR="00FE560D">
        <w:rPr>
          <w:rFonts w:ascii="Times New Roman" w:hAnsi="Times New Roman" w:cs="Times New Roman"/>
          <w:sz w:val="24"/>
          <w:szCs w:val="24"/>
        </w:rPr>
        <w:t>74509</w:t>
      </w:r>
      <w:r w:rsidR="00DF163B">
        <w:rPr>
          <w:rFonts w:ascii="Times New Roman" w:hAnsi="Times New Roman" w:cs="Times New Roman"/>
          <w:sz w:val="24"/>
          <w:szCs w:val="24"/>
        </w:rPr>
        <w:t xml:space="preserve"> </w:t>
      </w:r>
      <w:r w:rsidR="00DA4ACE" w:rsidRPr="00C52ADD">
        <w:rPr>
          <w:rFonts w:ascii="Times New Roman" w:hAnsi="Times New Roman" w:cs="Times New Roman"/>
          <w:sz w:val="24"/>
          <w:szCs w:val="24"/>
        </w:rPr>
        <w:t>with the Pennsylvania Public Utility Commission (Commission)</w:t>
      </w:r>
      <w:r w:rsidR="004B4CB7">
        <w:rPr>
          <w:rFonts w:ascii="Times New Roman" w:hAnsi="Times New Roman" w:cs="Times New Roman"/>
          <w:sz w:val="24"/>
          <w:szCs w:val="24"/>
        </w:rPr>
        <w:t xml:space="preserve"> alleging that</w:t>
      </w:r>
      <w:r w:rsidR="00FE560D">
        <w:rPr>
          <w:rFonts w:ascii="Times New Roman" w:hAnsi="Times New Roman" w:cs="Times New Roman"/>
          <w:sz w:val="24"/>
          <w:szCs w:val="24"/>
        </w:rPr>
        <w:t xml:space="preserve"> Duquesne Light Company (Duquesne or Respondent) had overcharged the Complainant</w:t>
      </w:r>
      <w:r w:rsidR="00D44521" w:rsidRPr="00C52ADD">
        <w:rPr>
          <w:rFonts w:ascii="Times New Roman" w:hAnsi="Times New Roman" w:cs="Times New Roman"/>
          <w:sz w:val="24"/>
          <w:szCs w:val="24"/>
        </w:rPr>
        <w:t>.</w:t>
      </w:r>
      <w:proofErr w:type="gramEnd"/>
      <w:r w:rsidR="00FE560D">
        <w:rPr>
          <w:rFonts w:ascii="Times New Roman" w:hAnsi="Times New Roman" w:cs="Times New Roman"/>
          <w:sz w:val="24"/>
          <w:szCs w:val="24"/>
        </w:rPr>
        <w:t xml:space="preserve">  This Complaint also constituted an appeal of the decision of the Bureau of Consumer Services (BCS) in BCS Case No. 2503869</w:t>
      </w:r>
    </w:p>
    <w:p w:rsidR="00DF163B" w:rsidRDefault="00DF163B" w:rsidP="00FB3415">
      <w:pPr>
        <w:pStyle w:val="NoSpacing"/>
        <w:spacing w:line="360" w:lineRule="auto"/>
        <w:rPr>
          <w:rFonts w:ascii="Times New Roman" w:hAnsi="Times New Roman" w:cs="Times New Roman"/>
          <w:sz w:val="24"/>
          <w:szCs w:val="24"/>
        </w:rPr>
      </w:pPr>
    </w:p>
    <w:p w:rsidR="00F20565" w:rsidRDefault="00DF163B" w:rsidP="00FB3415">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CF2898">
        <w:rPr>
          <w:rFonts w:ascii="Times New Roman" w:hAnsi="Times New Roman" w:cs="Times New Roman"/>
          <w:sz w:val="24"/>
          <w:szCs w:val="24"/>
        </w:rPr>
        <w:t xml:space="preserve">On </w:t>
      </w:r>
      <w:r w:rsidR="0085437D">
        <w:rPr>
          <w:rFonts w:ascii="Times New Roman" w:hAnsi="Times New Roman" w:cs="Times New Roman"/>
          <w:sz w:val="24"/>
          <w:szCs w:val="24"/>
        </w:rPr>
        <w:t>May 26, 2010</w:t>
      </w:r>
      <w:r w:rsidR="00CF2898">
        <w:rPr>
          <w:rFonts w:ascii="Times New Roman" w:hAnsi="Times New Roman" w:cs="Times New Roman"/>
          <w:sz w:val="24"/>
          <w:szCs w:val="24"/>
        </w:rPr>
        <w:t xml:space="preserve">, </w:t>
      </w:r>
      <w:r w:rsidR="0085437D">
        <w:rPr>
          <w:rFonts w:ascii="Times New Roman" w:hAnsi="Times New Roman" w:cs="Times New Roman"/>
          <w:sz w:val="24"/>
          <w:szCs w:val="24"/>
        </w:rPr>
        <w:t>Duquesne</w:t>
      </w:r>
      <w:r w:rsidR="00CF2898">
        <w:rPr>
          <w:rFonts w:ascii="Times New Roman" w:hAnsi="Times New Roman" w:cs="Times New Roman"/>
          <w:sz w:val="24"/>
          <w:szCs w:val="24"/>
        </w:rPr>
        <w:t xml:space="preserve"> filed an Answer to the Complaint at </w:t>
      </w:r>
      <w:r w:rsidR="00CF2898" w:rsidRPr="00C52ADD">
        <w:rPr>
          <w:rFonts w:ascii="Times New Roman" w:hAnsi="Times New Roman" w:cs="Times New Roman"/>
          <w:sz w:val="24"/>
          <w:szCs w:val="24"/>
        </w:rPr>
        <w:t xml:space="preserve">Docket No. </w:t>
      </w:r>
    </w:p>
    <w:p w:rsidR="00F314D3" w:rsidRDefault="0085437D" w:rsidP="00FB3415">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F</w:t>
      </w:r>
      <w:r w:rsidRPr="00C52ADD">
        <w:rPr>
          <w:rFonts w:ascii="Times New Roman" w:hAnsi="Times New Roman" w:cs="Times New Roman"/>
          <w:sz w:val="24"/>
          <w:szCs w:val="24"/>
        </w:rPr>
        <w:t>-2010-21</w:t>
      </w:r>
      <w:r>
        <w:rPr>
          <w:rFonts w:ascii="Times New Roman" w:hAnsi="Times New Roman" w:cs="Times New Roman"/>
          <w:sz w:val="24"/>
          <w:szCs w:val="24"/>
        </w:rPr>
        <w:t>74509</w:t>
      </w:r>
      <w:r w:rsidR="00CF2898">
        <w:rPr>
          <w:rFonts w:ascii="Times New Roman" w:hAnsi="Times New Roman" w:cs="Times New Roman"/>
          <w:sz w:val="24"/>
          <w:szCs w:val="24"/>
        </w:rPr>
        <w:t xml:space="preserve">, </w:t>
      </w:r>
      <w:r w:rsidR="00E90795">
        <w:rPr>
          <w:rFonts w:ascii="Times New Roman" w:hAnsi="Times New Roman" w:cs="Times New Roman"/>
          <w:sz w:val="24"/>
          <w:szCs w:val="24"/>
        </w:rPr>
        <w:t xml:space="preserve">asserting that </w:t>
      </w:r>
      <w:r>
        <w:rPr>
          <w:rFonts w:ascii="Times New Roman" w:hAnsi="Times New Roman" w:cs="Times New Roman"/>
          <w:sz w:val="24"/>
          <w:szCs w:val="24"/>
        </w:rPr>
        <w:t xml:space="preserve">the Complainant had not been overcharged and that all billing had been from actual meter </w:t>
      </w:r>
      <w:proofErr w:type="gramStart"/>
      <w:r>
        <w:rPr>
          <w:rFonts w:ascii="Times New Roman" w:hAnsi="Times New Roman" w:cs="Times New Roman"/>
          <w:sz w:val="24"/>
          <w:szCs w:val="24"/>
        </w:rPr>
        <w:t>readings</w:t>
      </w:r>
      <w:r w:rsidR="0060385F">
        <w:rPr>
          <w:rFonts w:ascii="Times New Roman" w:hAnsi="Times New Roman" w:cs="Times New Roman"/>
          <w:sz w:val="24"/>
          <w:szCs w:val="24"/>
        </w:rPr>
        <w:t>,</w:t>
      </w:r>
      <w:proofErr w:type="gramEnd"/>
      <w:r w:rsidR="0060385F">
        <w:rPr>
          <w:rFonts w:ascii="Times New Roman" w:hAnsi="Times New Roman" w:cs="Times New Roman"/>
          <w:sz w:val="24"/>
          <w:szCs w:val="24"/>
        </w:rPr>
        <w:t xml:space="preserve"> and that the meter at the Complainant’s residence was functioning properly</w:t>
      </w:r>
      <w:r>
        <w:rPr>
          <w:rFonts w:ascii="Times New Roman" w:hAnsi="Times New Roman" w:cs="Times New Roman"/>
          <w:sz w:val="24"/>
          <w:szCs w:val="24"/>
        </w:rPr>
        <w:t>.</w:t>
      </w:r>
    </w:p>
    <w:p w:rsidR="0085437D" w:rsidRDefault="0085437D" w:rsidP="00FB3415">
      <w:pPr>
        <w:pStyle w:val="NoSpacing"/>
        <w:spacing w:line="360" w:lineRule="auto"/>
        <w:rPr>
          <w:rFonts w:ascii="Times New Roman" w:hAnsi="Times New Roman" w:cs="Times New Roman"/>
          <w:sz w:val="24"/>
          <w:szCs w:val="24"/>
        </w:rPr>
      </w:pPr>
    </w:p>
    <w:p w:rsidR="00015237" w:rsidRDefault="00F314D3" w:rsidP="00F314D3">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On </w:t>
      </w:r>
      <w:r w:rsidR="00015237">
        <w:rPr>
          <w:rFonts w:ascii="Times New Roman" w:hAnsi="Times New Roman" w:cs="Times New Roman"/>
          <w:sz w:val="24"/>
          <w:szCs w:val="24"/>
        </w:rPr>
        <w:t>May 17</w:t>
      </w:r>
      <w:r>
        <w:rPr>
          <w:rFonts w:ascii="Times New Roman" w:hAnsi="Times New Roman" w:cs="Times New Roman"/>
          <w:sz w:val="24"/>
          <w:szCs w:val="24"/>
        </w:rPr>
        <w:t xml:space="preserve">, 2010, the </w:t>
      </w:r>
      <w:r w:rsidR="005F0D45">
        <w:rPr>
          <w:rFonts w:ascii="Times New Roman" w:hAnsi="Times New Roman" w:cs="Times New Roman"/>
          <w:sz w:val="24"/>
          <w:szCs w:val="24"/>
        </w:rPr>
        <w:t>Complainant</w:t>
      </w:r>
      <w:r>
        <w:rPr>
          <w:rFonts w:ascii="Times New Roman" w:hAnsi="Times New Roman" w:cs="Times New Roman"/>
          <w:sz w:val="24"/>
          <w:szCs w:val="24"/>
        </w:rPr>
        <w:t xml:space="preserve"> filed a second Complaint, this time at </w:t>
      </w:r>
      <w:r w:rsidRPr="00C52ADD">
        <w:rPr>
          <w:rFonts w:ascii="Times New Roman" w:hAnsi="Times New Roman" w:cs="Times New Roman"/>
          <w:sz w:val="24"/>
          <w:szCs w:val="24"/>
        </w:rPr>
        <w:t xml:space="preserve">Docket </w:t>
      </w:r>
      <w:r w:rsidR="00015237">
        <w:rPr>
          <w:rFonts w:ascii="Times New Roman" w:hAnsi="Times New Roman" w:cs="Times New Roman"/>
          <w:sz w:val="24"/>
          <w:szCs w:val="24"/>
        </w:rPr>
        <w:t xml:space="preserve">No. </w:t>
      </w:r>
      <w:proofErr w:type="gramStart"/>
      <w:r w:rsidR="00015237" w:rsidRPr="00015237">
        <w:rPr>
          <w:rFonts w:ascii="Times New Roman" w:hAnsi="Times New Roman" w:cs="Times New Roman"/>
          <w:sz w:val="24"/>
          <w:szCs w:val="24"/>
        </w:rPr>
        <w:t>C-2010-2177251</w:t>
      </w:r>
      <w:r w:rsidR="00015237">
        <w:rPr>
          <w:rFonts w:ascii="Times New Roman" w:hAnsi="Times New Roman" w:cs="Times New Roman"/>
          <w:sz w:val="24"/>
          <w:szCs w:val="24"/>
        </w:rPr>
        <w:t xml:space="preserve">, </w:t>
      </w:r>
      <w:r w:rsidR="005F0D45">
        <w:rPr>
          <w:rFonts w:ascii="Times New Roman" w:hAnsi="Times New Roman" w:cs="Times New Roman"/>
          <w:sz w:val="24"/>
          <w:szCs w:val="24"/>
        </w:rPr>
        <w:t xml:space="preserve">again alleging that the Respondent </w:t>
      </w:r>
      <w:r w:rsidR="00015237">
        <w:rPr>
          <w:rFonts w:ascii="Times New Roman" w:hAnsi="Times New Roman" w:cs="Times New Roman"/>
          <w:sz w:val="24"/>
          <w:szCs w:val="24"/>
        </w:rPr>
        <w:t>had overcharged the Complainant</w:t>
      </w:r>
      <w:r w:rsidR="005F0D45">
        <w:rPr>
          <w:rFonts w:ascii="Times New Roman" w:hAnsi="Times New Roman" w:cs="Times New Roman"/>
          <w:sz w:val="24"/>
          <w:szCs w:val="24"/>
        </w:rPr>
        <w:t xml:space="preserve">, but </w:t>
      </w:r>
      <w:r w:rsidR="005F0D45">
        <w:rPr>
          <w:rFonts w:ascii="Times New Roman" w:hAnsi="Times New Roman" w:cs="Times New Roman"/>
          <w:sz w:val="24"/>
          <w:szCs w:val="24"/>
        </w:rPr>
        <w:lastRenderedPageBreak/>
        <w:t>this time requesting a refund of $657.78</w:t>
      </w:r>
      <w:r w:rsidR="000E2DFE">
        <w:rPr>
          <w:rFonts w:ascii="Times New Roman" w:hAnsi="Times New Roman" w:cs="Times New Roman"/>
          <w:sz w:val="24"/>
          <w:szCs w:val="24"/>
        </w:rPr>
        <w:t>, complaining about the receipt of a termination notice and arguing that his bills were excessive in view of his installation of energy efficient appliances</w:t>
      </w:r>
      <w:r w:rsidR="0060385F">
        <w:rPr>
          <w:rFonts w:ascii="Times New Roman" w:hAnsi="Times New Roman" w:cs="Times New Roman"/>
          <w:sz w:val="24"/>
          <w:szCs w:val="24"/>
        </w:rPr>
        <w:t>.</w:t>
      </w:r>
      <w:proofErr w:type="gramEnd"/>
      <w:r w:rsidR="000E2DFE">
        <w:rPr>
          <w:rFonts w:ascii="Times New Roman" w:hAnsi="Times New Roman" w:cs="Times New Roman"/>
          <w:sz w:val="24"/>
          <w:szCs w:val="24"/>
        </w:rPr>
        <w:t xml:space="preserve"> </w:t>
      </w:r>
    </w:p>
    <w:p w:rsidR="00015237" w:rsidRDefault="00015237" w:rsidP="00F314D3">
      <w:pPr>
        <w:pStyle w:val="NoSpacing"/>
        <w:spacing w:line="360" w:lineRule="auto"/>
        <w:rPr>
          <w:rFonts w:ascii="Times New Roman" w:hAnsi="Times New Roman" w:cs="Times New Roman"/>
          <w:sz w:val="24"/>
          <w:szCs w:val="24"/>
        </w:rPr>
      </w:pPr>
    </w:p>
    <w:p w:rsidR="00015237" w:rsidRDefault="005F0D45" w:rsidP="00F314D3">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On June 11, 2010, Duquesne filed an Answer to the Complaint at </w:t>
      </w:r>
      <w:r w:rsidRPr="00C52ADD">
        <w:rPr>
          <w:rFonts w:ascii="Times New Roman" w:hAnsi="Times New Roman" w:cs="Times New Roman"/>
          <w:sz w:val="24"/>
          <w:szCs w:val="24"/>
        </w:rPr>
        <w:t>Docket No.</w:t>
      </w:r>
      <w:r>
        <w:rPr>
          <w:rFonts w:ascii="Times New Roman" w:hAnsi="Times New Roman" w:cs="Times New Roman"/>
          <w:sz w:val="24"/>
          <w:szCs w:val="24"/>
        </w:rPr>
        <w:t xml:space="preserve"> </w:t>
      </w:r>
      <w:r w:rsidRPr="00015237">
        <w:rPr>
          <w:rFonts w:ascii="Times New Roman" w:hAnsi="Times New Roman" w:cs="Times New Roman"/>
          <w:sz w:val="24"/>
          <w:szCs w:val="24"/>
        </w:rPr>
        <w:t>C-2010-2177251</w:t>
      </w:r>
      <w:r>
        <w:rPr>
          <w:rFonts w:ascii="Times New Roman" w:hAnsi="Times New Roman" w:cs="Times New Roman"/>
          <w:sz w:val="24"/>
          <w:szCs w:val="24"/>
        </w:rPr>
        <w:t xml:space="preserve">, </w:t>
      </w:r>
      <w:r w:rsidR="000E2DFE">
        <w:rPr>
          <w:rFonts w:ascii="Times New Roman" w:hAnsi="Times New Roman" w:cs="Times New Roman"/>
          <w:sz w:val="24"/>
          <w:szCs w:val="24"/>
        </w:rPr>
        <w:t xml:space="preserve">asserting that the Complainant had not been overcharged and that all billing had been from actual meter readings.  Duquesne also answered that while a termination notice had been served on the Complainant due to unpaid bills, any special rate applicable to the purchase </w:t>
      </w:r>
      <w:r w:rsidR="0060385F">
        <w:rPr>
          <w:rFonts w:ascii="Times New Roman" w:hAnsi="Times New Roman" w:cs="Times New Roman"/>
          <w:sz w:val="24"/>
          <w:szCs w:val="24"/>
        </w:rPr>
        <w:t xml:space="preserve">and use </w:t>
      </w:r>
      <w:r w:rsidR="000E2DFE">
        <w:rPr>
          <w:rFonts w:ascii="Times New Roman" w:hAnsi="Times New Roman" w:cs="Times New Roman"/>
          <w:sz w:val="24"/>
          <w:szCs w:val="24"/>
        </w:rPr>
        <w:t>of energy efficient appliances had been phased out.</w:t>
      </w:r>
    </w:p>
    <w:p w:rsidR="00F314D3" w:rsidRDefault="00F314D3" w:rsidP="00FB3415">
      <w:pPr>
        <w:pStyle w:val="NoSpacing"/>
        <w:spacing w:line="360" w:lineRule="auto"/>
        <w:rPr>
          <w:rFonts w:ascii="Times New Roman" w:hAnsi="Times New Roman" w:cs="Times New Roman"/>
          <w:sz w:val="24"/>
          <w:szCs w:val="24"/>
        </w:rPr>
      </w:pPr>
    </w:p>
    <w:p w:rsidR="002A38DB" w:rsidRDefault="00FF2CB8" w:rsidP="00FB3415">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9B2CC6">
        <w:rPr>
          <w:rFonts w:ascii="Times New Roman" w:hAnsi="Times New Roman" w:cs="Times New Roman"/>
          <w:sz w:val="24"/>
          <w:szCs w:val="24"/>
        </w:rPr>
        <w:t xml:space="preserve">On </w:t>
      </w:r>
      <w:r w:rsidR="000E2DFE">
        <w:rPr>
          <w:rFonts w:ascii="Times New Roman" w:hAnsi="Times New Roman" w:cs="Times New Roman"/>
          <w:sz w:val="24"/>
          <w:szCs w:val="24"/>
        </w:rPr>
        <w:t>June 11, 2010,</w:t>
      </w:r>
      <w:r w:rsidR="00EF2CC4">
        <w:rPr>
          <w:rFonts w:ascii="Times New Roman" w:hAnsi="Times New Roman" w:cs="Times New Roman"/>
          <w:sz w:val="24"/>
          <w:szCs w:val="24"/>
        </w:rPr>
        <w:t xml:space="preserve"> Duquesne </w:t>
      </w:r>
      <w:r w:rsidR="009B2CC6">
        <w:rPr>
          <w:rFonts w:ascii="Times New Roman" w:hAnsi="Times New Roman" w:cs="Times New Roman"/>
          <w:sz w:val="24"/>
          <w:szCs w:val="24"/>
        </w:rPr>
        <w:t>filed a M</w:t>
      </w:r>
      <w:r w:rsidR="00F16E63" w:rsidRPr="00C52ADD">
        <w:rPr>
          <w:rFonts w:ascii="Times New Roman" w:hAnsi="Times New Roman" w:cs="Times New Roman"/>
          <w:sz w:val="24"/>
          <w:szCs w:val="24"/>
        </w:rPr>
        <w:t xml:space="preserve">otion to </w:t>
      </w:r>
      <w:proofErr w:type="gramStart"/>
      <w:r w:rsidR="00F16E63" w:rsidRPr="00C52ADD">
        <w:rPr>
          <w:rFonts w:ascii="Times New Roman" w:hAnsi="Times New Roman" w:cs="Times New Roman"/>
          <w:sz w:val="24"/>
          <w:szCs w:val="24"/>
        </w:rPr>
        <w:t>Consolidate</w:t>
      </w:r>
      <w:proofErr w:type="gramEnd"/>
      <w:r w:rsidR="00F16E63" w:rsidRPr="00C52ADD">
        <w:rPr>
          <w:rFonts w:ascii="Times New Roman" w:hAnsi="Times New Roman" w:cs="Times New Roman"/>
          <w:sz w:val="24"/>
          <w:szCs w:val="24"/>
        </w:rPr>
        <w:t xml:space="preserve"> the</w:t>
      </w:r>
      <w:r w:rsidR="009B2CC6">
        <w:rPr>
          <w:rFonts w:ascii="Times New Roman" w:hAnsi="Times New Roman" w:cs="Times New Roman"/>
          <w:sz w:val="24"/>
          <w:szCs w:val="24"/>
        </w:rPr>
        <w:t>se cases</w:t>
      </w:r>
      <w:r w:rsidR="00BA284C">
        <w:rPr>
          <w:rFonts w:ascii="Times New Roman" w:hAnsi="Times New Roman" w:cs="Times New Roman"/>
          <w:sz w:val="24"/>
          <w:szCs w:val="24"/>
        </w:rPr>
        <w:t>.</w:t>
      </w:r>
      <w:r w:rsidR="003C341D" w:rsidRPr="00C52ADD">
        <w:rPr>
          <w:rFonts w:ascii="Times New Roman" w:hAnsi="Times New Roman" w:cs="Times New Roman"/>
          <w:sz w:val="24"/>
          <w:szCs w:val="24"/>
        </w:rPr>
        <w:t xml:space="preserve"> </w:t>
      </w:r>
      <w:r w:rsidR="00BA284C">
        <w:rPr>
          <w:rFonts w:ascii="Times New Roman" w:hAnsi="Times New Roman" w:cs="Times New Roman"/>
          <w:sz w:val="24"/>
          <w:szCs w:val="24"/>
        </w:rPr>
        <w:t xml:space="preserve"> </w:t>
      </w:r>
      <w:r w:rsidR="003C341D" w:rsidRPr="00C52ADD">
        <w:rPr>
          <w:rFonts w:ascii="Times New Roman" w:hAnsi="Times New Roman" w:cs="Times New Roman"/>
          <w:sz w:val="24"/>
          <w:szCs w:val="24"/>
        </w:rPr>
        <w:t xml:space="preserve">No answer or objection to the Joint Motion has been filed </w:t>
      </w:r>
      <w:r w:rsidR="00EF2CC4">
        <w:rPr>
          <w:rFonts w:ascii="Times New Roman" w:hAnsi="Times New Roman" w:cs="Times New Roman"/>
          <w:sz w:val="24"/>
          <w:szCs w:val="24"/>
        </w:rPr>
        <w:t xml:space="preserve">by the Complainant </w:t>
      </w:r>
      <w:r w:rsidR="003C341D" w:rsidRPr="00C52ADD">
        <w:rPr>
          <w:rFonts w:ascii="Times New Roman" w:hAnsi="Times New Roman" w:cs="Times New Roman"/>
          <w:sz w:val="24"/>
          <w:szCs w:val="24"/>
        </w:rPr>
        <w:t xml:space="preserve">as </w:t>
      </w:r>
      <w:r w:rsidR="00FC4664" w:rsidRPr="00C52ADD">
        <w:rPr>
          <w:rFonts w:ascii="Times New Roman" w:hAnsi="Times New Roman" w:cs="Times New Roman"/>
          <w:sz w:val="24"/>
          <w:szCs w:val="24"/>
        </w:rPr>
        <w:t>permitted</w:t>
      </w:r>
      <w:r w:rsidR="003C341D" w:rsidRPr="00C52ADD">
        <w:rPr>
          <w:rFonts w:ascii="Times New Roman" w:hAnsi="Times New Roman" w:cs="Times New Roman"/>
          <w:sz w:val="24"/>
          <w:szCs w:val="24"/>
        </w:rPr>
        <w:t xml:space="preserve"> by the Commissio</w:t>
      </w:r>
      <w:r w:rsidR="00FB3415">
        <w:rPr>
          <w:rFonts w:ascii="Times New Roman" w:hAnsi="Times New Roman" w:cs="Times New Roman"/>
          <w:sz w:val="24"/>
          <w:szCs w:val="24"/>
        </w:rPr>
        <w:t>n’s regulation at 52 Pa. Code § </w:t>
      </w:r>
      <w:r w:rsidR="003C341D" w:rsidRPr="00C52ADD">
        <w:rPr>
          <w:rFonts w:ascii="Times New Roman" w:hAnsi="Times New Roman" w:cs="Times New Roman"/>
          <w:sz w:val="24"/>
          <w:szCs w:val="24"/>
        </w:rPr>
        <w:t>5.103</w:t>
      </w:r>
      <w:r w:rsidR="001D3624" w:rsidRPr="00C52ADD">
        <w:rPr>
          <w:rFonts w:ascii="Times New Roman" w:hAnsi="Times New Roman" w:cs="Times New Roman"/>
          <w:sz w:val="24"/>
          <w:szCs w:val="24"/>
        </w:rPr>
        <w:t>(c).</w:t>
      </w:r>
    </w:p>
    <w:p w:rsidR="00643284" w:rsidRDefault="00643284" w:rsidP="00FB3415">
      <w:pPr>
        <w:pStyle w:val="NoSpacing"/>
        <w:spacing w:line="360" w:lineRule="auto"/>
        <w:rPr>
          <w:rFonts w:ascii="Times New Roman" w:hAnsi="Times New Roman" w:cs="Times New Roman"/>
          <w:sz w:val="24"/>
          <w:szCs w:val="24"/>
        </w:rPr>
      </w:pPr>
    </w:p>
    <w:p w:rsidR="00643284" w:rsidRDefault="00643284" w:rsidP="00FB3415">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On May 2, 2011, the undersigned was assigned as the Presiding Officer in these </w:t>
      </w:r>
      <w:r w:rsidR="00476463">
        <w:rPr>
          <w:rFonts w:ascii="Times New Roman" w:hAnsi="Times New Roman" w:cs="Times New Roman"/>
          <w:sz w:val="24"/>
          <w:szCs w:val="24"/>
        </w:rPr>
        <w:t>cases</w:t>
      </w:r>
      <w:r>
        <w:rPr>
          <w:rFonts w:ascii="Times New Roman" w:hAnsi="Times New Roman" w:cs="Times New Roman"/>
          <w:sz w:val="24"/>
          <w:szCs w:val="24"/>
        </w:rPr>
        <w:t>.</w:t>
      </w:r>
    </w:p>
    <w:p w:rsidR="00BA284C" w:rsidRPr="00C52ADD" w:rsidRDefault="00BA284C" w:rsidP="00FB3415">
      <w:pPr>
        <w:pStyle w:val="NoSpacing"/>
        <w:spacing w:line="360" w:lineRule="auto"/>
        <w:rPr>
          <w:rFonts w:ascii="Times New Roman" w:hAnsi="Times New Roman" w:cs="Times New Roman"/>
          <w:sz w:val="24"/>
          <w:szCs w:val="24"/>
        </w:rPr>
      </w:pPr>
    </w:p>
    <w:p w:rsidR="00BA284C" w:rsidRDefault="00826EAF" w:rsidP="00FB3415">
      <w:pPr>
        <w:pStyle w:val="NoSpacing"/>
        <w:spacing w:line="360" w:lineRule="auto"/>
        <w:rPr>
          <w:rFonts w:ascii="Times New Roman" w:hAnsi="Times New Roman" w:cs="Times New Roman"/>
          <w:sz w:val="24"/>
          <w:szCs w:val="24"/>
        </w:rPr>
      </w:pPr>
      <w:r w:rsidRPr="00C52ADD">
        <w:rPr>
          <w:rFonts w:ascii="Times New Roman" w:hAnsi="Times New Roman" w:cs="Times New Roman"/>
          <w:sz w:val="24"/>
          <w:szCs w:val="24"/>
        </w:rPr>
        <w:tab/>
      </w:r>
      <w:r w:rsidRPr="00C52ADD">
        <w:rPr>
          <w:rFonts w:ascii="Times New Roman" w:hAnsi="Times New Roman" w:cs="Times New Roman"/>
          <w:sz w:val="24"/>
          <w:szCs w:val="24"/>
        </w:rPr>
        <w:tab/>
        <w:t xml:space="preserve">In </w:t>
      </w:r>
      <w:r w:rsidR="00BA284C">
        <w:rPr>
          <w:rFonts w:ascii="Times New Roman" w:hAnsi="Times New Roman" w:cs="Times New Roman"/>
          <w:sz w:val="24"/>
          <w:szCs w:val="24"/>
        </w:rPr>
        <w:t xml:space="preserve">its </w:t>
      </w:r>
      <w:r w:rsidR="009D3354" w:rsidRPr="00C52ADD">
        <w:rPr>
          <w:rFonts w:ascii="Times New Roman" w:hAnsi="Times New Roman" w:cs="Times New Roman"/>
          <w:sz w:val="24"/>
          <w:szCs w:val="24"/>
        </w:rPr>
        <w:t>M</w:t>
      </w:r>
      <w:r w:rsidRPr="00C52ADD">
        <w:rPr>
          <w:rFonts w:ascii="Times New Roman" w:hAnsi="Times New Roman" w:cs="Times New Roman"/>
          <w:sz w:val="24"/>
          <w:szCs w:val="24"/>
        </w:rPr>
        <w:t xml:space="preserve">otion, </w:t>
      </w:r>
      <w:r w:rsidR="00EF2CC4">
        <w:rPr>
          <w:rFonts w:ascii="Times New Roman" w:hAnsi="Times New Roman" w:cs="Times New Roman"/>
          <w:sz w:val="24"/>
          <w:szCs w:val="24"/>
        </w:rPr>
        <w:t>Duquesne state</w:t>
      </w:r>
      <w:r w:rsidR="00643284">
        <w:rPr>
          <w:rFonts w:ascii="Times New Roman" w:hAnsi="Times New Roman" w:cs="Times New Roman"/>
          <w:sz w:val="24"/>
          <w:szCs w:val="24"/>
        </w:rPr>
        <w:t>d</w:t>
      </w:r>
      <w:r w:rsidR="00BA284C">
        <w:rPr>
          <w:rFonts w:ascii="Times New Roman" w:hAnsi="Times New Roman" w:cs="Times New Roman"/>
          <w:sz w:val="24"/>
          <w:szCs w:val="24"/>
        </w:rPr>
        <w:t xml:space="preserve"> that </w:t>
      </w:r>
      <w:r w:rsidR="00EF2CC4">
        <w:rPr>
          <w:rFonts w:ascii="Times New Roman" w:hAnsi="Times New Roman" w:cs="Times New Roman"/>
          <w:sz w:val="24"/>
          <w:szCs w:val="24"/>
        </w:rPr>
        <w:t>although the two Complaints address different periods of time, both Complaints are from the same account and that the rates charged were identical in both periods.  Duquesne further state</w:t>
      </w:r>
      <w:r w:rsidR="00643284">
        <w:rPr>
          <w:rFonts w:ascii="Times New Roman" w:hAnsi="Times New Roman" w:cs="Times New Roman"/>
          <w:sz w:val="24"/>
          <w:szCs w:val="24"/>
        </w:rPr>
        <w:t>d</w:t>
      </w:r>
      <w:r w:rsidR="00EF2CC4">
        <w:rPr>
          <w:rFonts w:ascii="Times New Roman" w:hAnsi="Times New Roman" w:cs="Times New Roman"/>
          <w:sz w:val="24"/>
          <w:szCs w:val="24"/>
        </w:rPr>
        <w:t xml:space="preserve"> that </w:t>
      </w:r>
      <w:r w:rsidR="00BA284C">
        <w:rPr>
          <w:rFonts w:ascii="Times New Roman" w:hAnsi="Times New Roman" w:cs="Times New Roman"/>
          <w:sz w:val="24"/>
          <w:szCs w:val="24"/>
        </w:rPr>
        <w:t>both matters</w:t>
      </w:r>
      <w:r w:rsidR="00EF2CC4">
        <w:rPr>
          <w:rFonts w:ascii="Times New Roman" w:hAnsi="Times New Roman" w:cs="Times New Roman"/>
          <w:sz w:val="24"/>
          <w:szCs w:val="24"/>
        </w:rPr>
        <w:t xml:space="preserve"> </w:t>
      </w:r>
      <w:r w:rsidR="0002390F">
        <w:rPr>
          <w:rFonts w:ascii="Times New Roman" w:hAnsi="Times New Roman" w:cs="Times New Roman"/>
          <w:sz w:val="24"/>
          <w:szCs w:val="24"/>
        </w:rPr>
        <w:t xml:space="preserve">involve the same parties and involve common issues of </w:t>
      </w:r>
      <w:r w:rsidR="00EF2CC4">
        <w:rPr>
          <w:rFonts w:ascii="Times New Roman" w:hAnsi="Times New Roman" w:cs="Times New Roman"/>
          <w:sz w:val="24"/>
          <w:szCs w:val="24"/>
        </w:rPr>
        <w:t xml:space="preserve">law and </w:t>
      </w:r>
      <w:r w:rsidR="0002390F">
        <w:rPr>
          <w:rFonts w:ascii="Times New Roman" w:hAnsi="Times New Roman" w:cs="Times New Roman"/>
          <w:sz w:val="24"/>
          <w:szCs w:val="24"/>
        </w:rPr>
        <w:t xml:space="preserve">fact.  </w:t>
      </w:r>
      <w:proofErr w:type="gramStart"/>
      <w:r w:rsidR="0002390F">
        <w:rPr>
          <w:rFonts w:ascii="Times New Roman" w:hAnsi="Times New Roman" w:cs="Times New Roman"/>
          <w:sz w:val="24"/>
          <w:szCs w:val="24"/>
        </w:rPr>
        <w:t xml:space="preserve">Motion to Consolidate at </w:t>
      </w:r>
      <w:r w:rsidR="000D01ED">
        <w:rPr>
          <w:rFonts w:ascii="Times New Roman" w:hAnsi="Times New Roman" w:cs="Times New Roman"/>
          <w:sz w:val="24"/>
          <w:szCs w:val="24"/>
        </w:rPr>
        <w:t>1-</w:t>
      </w:r>
      <w:r w:rsidR="0002390F">
        <w:rPr>
          <w:rFonts w:ascii="Times New Roman" w:hAnsi="Times New Roman" w:cs="Times New Roman"/>
          <w:sz w:val="24"/>
          <w:szCs w:val="24"/>
        </w:rPr>
        <w:t xml:space="preserve">2, ¶¶ </w:t>
      </w:r>
      <w:r w:rsidR="000D01ED">
        <w:rPr>
          <w:rFonts w:ascii="Times New Roman" w:hAnsi="Times New Roman" w:cs="Times New Roman"/>
          <w:sz w:val="24"/>
          <w:szCs w:val="24"/>
        </w:rPr>
        <w:t>1, 4, 7</w:t>
      </w:r>
      <w:r w:rsidR="0002390F">
        <w:rPr>
          <w:rFonts w:ascii="Times New Roman" w:hAnsi="Times New Roman" w:cs="Times New Roman"/>
          <w:sz w:val="24"/>
          <w:szCs w:val="24"/>
        </w:rPr>
        <w:t>-8.</w:t>
      </w:r>
      <w:proofErr w:type="gramEnd"/>
    </w:p>
    <w:p w:rsidR="00BA284C" w:rsidRDefault="00BA284C" w:rsidP="00FB3415">
      <w:pPr>
        <w:pStyle w:val="NoSpacing"/>
        <w:spacing w:line="360" w:lineRule="auto"/>
        <w:rPr>
          <w:rFonts w:ascii="Times New Roman" w:hAnsi="Times New Roman" w:cs="Times New Roman"/>
          <w:sz w:val="24"/>
          <w:szCs w:val="24"/>
        </w:rPr>
      </w:pPr>
    </w:p>
    <w:p w:rsidR="001D3624" w:rsidRDefault="001D3624" w:rsidP="00FB3415">
      <w:pPr>
        <w:pStyle w:val="NoSpacing"/>
        <w:spacing w:line="360" w:lineRule="auto"/>
        <w:rPr>
          <w:rFonts w:ascii="Times New Roman" w:hAnsi="Times New Roman" w:cs="Times New Roman"/>
          <w:sz w:val="24"/>
          <w:szCs w:val="24"/>
        </w:rPr>
      </w:pPr>
      <w:r w:rsidRPr="00C52ADD">
        <w:rPr>
          <w:rFonts w:ascii="Times New Roman" w:hAnsi="Times New Roman" w:cs="Times New Roman"/>
          <w:sz w:val="24"/>
          <w:szCs w:val="24"/>
        </w:rPr>
        <w:tab/>
      </w:r>
      <w:r w:rsidRPr="00C52ADD">
        <w:rPr>
          <w:rFonts w:ascii="Times New Roman" w:hAnsi="Times New Roman" w:cs="Times New Roman"/>
          <w:sz w:val="24"/>
          <w:szCs w:val="24"/>
        </w:rPr>
        <w:tab/>
        <w:t>The Commission’s regulation pertaining to Consolidation appears at 52 Pa. Code § 5.81, and states</w:t>
      </w:r>
      <w:r w:rsidR="00595440" w:rsidRPr="00C52ADD">
        <w:rPr>
          <w:rFonts w:ascii="Times New Roman" w:hAnsi="Times New Roman" w:cs="Times New Roman"/>
          <w:sz w:val="24"/>
          <w:szCs w:val="24"/>
        </w:rPr>
        <w:t xml:space="preserve"> in relevant part</w:t>
      </w:r>
      <w:r w:rsidRPr="00C52ADD">
        <w:rPr>
          <w:rFonts w:ascii="Times New Roman" w:hAnsi="Times New Roman" w:cs="Times New Roman"/>
          <w:sz w:val="24"/>
          <w:szCs w:val="24"/>
        </w:rPr>
        <w:t>:</w:t>
      </w:r>
    </w:p>
    <w:p w:rsidR="008C0782" w:rsidRDefault="008C0782" w:rsidP="00FB3415">
      <w:pPr>
        <w:pStyle w:val="NoSpacing"/>
        <w:spacing w:line="360" w:lineRule="auto"/>
        <w:rPr>
          <w:rFonts w:ascii="Times New Roman" w:hAnsi="Times New Roman" w:cs="Times New Roman"/>
          <w:sz w:val="24"/>
          <w:szCs w:val="24"/>
        </w:rPr>
      </w:pPr>
    </w:p>
    <w:p w:rsidR="00595440" w:rsidRDefault="00595440" w:rsidP="00A427AC">
      <w:pPr>
        <w:pStyle w:val="NoSpacing"/>
        <w:ind w:left="1440"/>
        <w:rPr>
          <w:rFonts w:ascii="Times New Roman" w:hAnsi="Times New Roman" w:cs="Times New Roman"/>
          <w:b/>
          <w:bCs/>
          <w:sz w:val="24"/>
          <w:szCs w:val="24"/>
        </w:rPr>
      </w:pPr>
      <w:r w:rsidRPr="00C52ADD">
        <w:rPr>
          <w:rFonts w:ascii="Times New Roman" w:eastAsia="Calibri" w:hAnsi="Times New Roman" w:cs="Times New Roman"/>
          <w:b/>
          <w:bCs/>
          <w:sz w:val="24"/>
          <w:szCs w:val="24"/>
        </w:rPr>
        <w:t>§ 5.81. Consolidation</w:t>
      </w:r>
    </w:p>
    <w:p w:rsidR="00A427AC" w:rsidRPr="00C52ADD" w:rsidRDefault="00A427AC" w:rsidP="00A427AC">
      <w:pPr>
        <w:pStyle w:val="NoSpacing"/>
        <w:ind w:left="1440"/>
        <w:rPr>
          <w:rFonts w:ascii="Times New Roman" w:hAnsi="Times New Roman" w:cs="Times New Roman"/>
          <w:sz w:val="24"/>
          <w:szCs w:val="24"/>
        </w:rPr>
      </w:pPr>
    </w:p>
    <w:p w:rsidR="001D3624" w:rsidRPr="00C52ADD" w:rsidRDefault="00A427AC" w:rsidP="00A427AC">
      <w:pPr>
        <w:pStyle w:val="NoSpacing"/>
        <w:ind w:left="1440" w:right="1440"/>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r>
      <w:r w:rsidR="001D3624" w:rsidRPr="00C52ADD">
        <w:rPr>
          <w:rFonts w:ascii="Times New Roman" w:hAnsi="Times New Roman" w:cs="Times New Roman"/>
          <w:sz w:val="24"/>
          <w:szCs w:val="24"/>
        </w:rPr>
        <w:t>The Commission or presiding officer, with or without motion, may order proceedings involving a common question of law or fact to be consolidated. The Commission or presiding officer may make orders concerning the conduct of the proceeding as may avoid unnecessary costs or delay.</w:t>
      </w:r>
    </w:p>
    <w:p w:rsidR="00595440" w:rsidRPr="00C52ADD" w:rsidRDefault="00595440" w:rsidP="00A427AC">
      <w:pPr>
        <w:pStyle w:val="NoSpacing"/>
        <w:ind w:left="1440" w:right="1440"/>
        <w:rPr>
          <w:rFonts w:ascii="Times New Roman" w:hAnsi="Times New Roman" w:cs="Times New Roman"/>
          <w:sz w:val="24"/>
          <w:szCs w:val="24"/>
        </w:rPr>
      </w:pPr>
    </w:p>
    <w:p w:rsidR="00595440" w:rsidRPr="00C52ADD" w:rsidRDefault="00595440" w:rsidP="00A427AC">
      <w:pPr>
        <w:ind w:left="1440" w:right="1440"/>
        <w:rPr>
          <w:sz w:val="24"/>
          <w:szCs w:val="24"/>
        </w:rPr>
      </w:pPr>
      <w:proofErr w:type="gramStart"/>
      <w:r w:rsidRPr="00C52ADD">
        <w:rPr>
          <w:sz w:val="24"/>
          <w:szCs w:val="24"/>
        </w:rPr>
        <w:t xml:space="preserve">52 </w:t>
      </w:r>
      <w:r w:rsidR="00B73D2C" w:rsidRPr="00C52ADD">
        <w:rPr>
          <w:sz w:val="24"/>
          <w:szCs w:val="24"/>
        </w:rPr>
        <w:t>Pa.</w:t>
      </w:r>
      <w:r w:rsidR="00B73D2C">
        <w:rPr>
          <w:sz w:val="24"/>
          <w:szCs w:val="24"/>
        </w:rPr>
        <w:t xml:space="preserve"> </w:t>
      </w:r>
      <w:r w:rsidR="00B73D2C" w:rsidRPr="00C52ADD">
        <w:rPr>
          <w:sz w:val="24"/>
          <w:szCs w:val="24"/>
        </w:rPr>
        <w:t>Code</w:t>
      </w:r>
      <w:r w:rsidRPr="00C52ADD">
        <w:rPr>
          <w:sz w:val="24"/>
          <w:szCs w:val="24"/>
        </w:rPr>
        <w:t xml:space="preserve"> § 5.81(a).</w:t>
      </w:r>
      <w:proofErr w:type="gramEnd"/>
    </w:p>
    <w:p w:rsidR="00595440" w:rsidRPr="00C52ADD" w:rsidRDefault="00595440" w:rsidP="00A427AC">
      <w:pPr>
        <w:pStyle w:val="NoSpacing"/>
        <w:spacing w:line="360" w:lineRule="auto"/>
        <w:rPr>
          <w:rFonts w:ascii="Times New Roman" w:hAnsi="Times New Roman" w:cs="Times New Roman"/>
          <w:sz w:val="24"/>
          <w:szCs w:val="24"/>
        </w:rPr>
      </w:pPr>
    </w:p>
    <w:p w:rsidR="00EF60EC" w:rsidRPr="00C52ADD" w:rsidRDefault="00B94237" w:rsidP="00FB3415">
      <w:pPr>
        <w:pStyle w:val="NoSpacing"/>
        <w:spacing w:line="360" w:lineRule="auto"/>
        <w:rPr>
          <w:rFonts w:ascii="Times New Roman" w:hAnsi="Times New Roman" w:cs="Times New Roman"/>
          <w:sz w:val="24"/>
          <w:szCs w:val="24"/>
        </w:rPr>
      </w:pPr>
      <w:r w:rsidRPr="00C52ADD">
        <w:rPr>
          <w:rFonts w:ascii="Times New Roman" w:hAnsi="Times New Roman" w:cs="Times New Roman"/>
          <w:sz w:val="24"/>
          <w:szCs w:val="24"/>
        </w:rPr>
        <w:lastRenderedPageBreak/>
        <w:tab/>
      </w:r>
      <w:r w:rsidRPr="00C52ADD">
        <w:rPr>
          <w:rFonts w:ascii="Times New Roman" w:hAnsi="Times New Roman" w:cs="Times New Roman"/>
          <w:sz w:val="24"/>
          <w:szCs w:val="24"/>
        </w:rPr>
        <w:tab/>
        <w:t xml:space="preserve">The question of consolidation is clearly left to the sound discretion of the Commission or </w:t>
      </w:r>
      <w:r w:rsidR="00643284">
        <w:rPr>
          <w:rFonts w:ascii="Times New Roman" w:hAnsi="Times New Roman" w:cs="Times New Roman"/>
          <w:sz w:val="24"/>
          <w:szCs w:val="24"/>
        </w:rPr>
        <w:t xml:space="preserve">the </w:t>
      </w:r>
      <w:r w:rsidRPr="00C52ADD">
        <w:rPr>
          <w:rFonts w:ascii="Times New Roman" w:hAnsi="Times New Roman" w:cs="Times New Roman"/>
          <w:sz w:val="24"/>
          <w:szCs w:val="24"/>
        </w:rPr>
        <w:t>presiding officer.</w:t>
      </w:r>
    </w:p>
    <w:p w:rsidR="00674502" w:rsidRPr="00C52ADD" w:rsidRDefault="00674502" w:rsidP="00FB3415">
      <w:pPr>
        <w:pStyle w:val="NoSpacing"/>
        <w:spacing w:line="360" w:lineRule="auto"/>
        <w:rPr>
          <w:rFonts w:ascii="Times New Roman" w:hAnsi="Times New Roman" w:cs="Times New Roman"/>
          <w:sz w:val="24"/>
          <w:szCs w:val="24"/>
        </w:rPr>
      </w:pPr>
    </w:p>
    <w:p w:rsidR="00674502" w:rsidRPr="00C52ADD" w:rsidRDefault="00674502" w:rsidP="00FB3415">
      <w:pPr>
        <w:widowControl w:val="0"/>
        <w:spacing w:line="360" w:lineRule="auto"/>
        <w:ind w:firstLine="1440"/>
        <w:rPr>
          <w:sz w:val="24"/>
          <w:szCs w:val="24"/>
        </w:rPr>
      </w:pPr>
      <w:r w:rsidRPr="00C52ADD">
        <w:rPr>
          <w:sz w:val="24"/>
          <w:szCs w:val="24"/>
        </w:rPr>
        <w:t xml:space="preserve">Cases have been consolidated for adjudication; </w:t>
      </w:r>
      <w:r w:rsidRPr="00C52ADD">
        <w:rPr>
          <w:i/>
          <w:sz w:val="24"/>
          <w:szCs w:val="24"/>
        </w:rPr>
        <w:t>Re Middletown Taxi Co.</w:t>
      </w:r>
      <w:r w:rsidRPr="00C52ADD">
        <w:rPr>
          <w:sz w:val="24"/>
          <w:szCs w:val="24"/>
        </w:rPr>
        <w:t xml:space="preserve">, 50 Pa. PUC 263 (1976), for hearing; </w:t>
      </w:r>
      <w:r w:rsidRPr="00C52ADD">
        <w:rPr>
          <w:i/>
          <w:sz w:val="24"/>
          <w:szCs w:val="24"/>
        </w:rPr>
        <w:t>City of York v. York Telephone and Telegraph Co.</w:t>
      </w:r>
      <w:r w:rsidRPr="00C52ADD">
        <w:rPr>
          <w:sz w:val="24"/>
          <w:szCs w:val="24"/>
        </w:rPr>
        <w:t xml:space="preserve">, 43 Pa. PUC 240 (1967), for briefing; </w:t>
      </w:r>
      <w:r w:rsidRPr="00C52ADD">
        <w:rPr>
          <w:i/>
          <w:sz w:val="24"/>
          <w:szCs w:val="24"/>
        </w:rPr>
        <w:t>Clepper Farms, Inc. v. Grantham Water Co.</w:t>
      </w:r>
      <w:r w:rsidRPr="00C52ADD">
        <w:rPr>
          <w:sz w:val="24"/>
          <w:szCs w:val="24"/>
        </w:rPr>
        <w:t xml:space="preserve">, 41 Pa. PUC 749 (1965), and have been refused consolidation for any purpose; </w:t>
      </w:r>
      <w:r w:rsidRPr="00C52ADD">
        <w:rPr>
          <w:i/>
          <w:sz w:val="24"/>
          <w:szCs w:val="24"/>
        </w:rPr>
        <w:t>Dopp v. Williamsburg Borough Dep’t of Water and Sewer</w:t>
      </w:r>
      <w:r w:rsidRPr="00C52ADD">
        <w:rPr>
          <w:sz w:val="24"/>
          <w:szCs w:val="24"/>
        </w:rPr>
        <w:t>, 59 Pa. PUC 25 (1984).</w:t>
      </w:r>
    </w:p>
    <w:p w:rsidR="00674502" w:rsidRPr="00C52ADD" w:rsidRDefault="00674502" w:rsidP="00A427AC">
      <w:pPr>
        <w:widowControl w:val="0"/>
        <w:spacing w:line="360" w:lineRule="auto"/>
        <w:rPr>
          <w:sz w:val="24"/>
          <w:szCs w:val="24"/>
        </w:rPr>
      </w:pPr>
    </w:p>
    <w:p w:rsidR="00674502" w:rsidRPr="00C52ADD" w:rsidRDefault="00674502" w:rsidP="00FB3415">
      <w:pPr>
        <w:widowControl w:val="0"/>
        <w:spacing w:line="360" w:lineRule="auto"/>
        <w:ind w:firstLine="1440"/>
        <w:rPr>
          <w:sz w:val="24"/>
          <w:szCs w:val="24"/>
        </w:rPr>
      </w:pPr>
      <w:r w:rsidRPr="00C52ADD">
        <w:rPr>
          <w:sz w:val="24"/>
          <w:szCs w:val="24"/>
        </w:rPr>
        <w:t xml:space="preserve">In considering the consolidation of cases, the first criteria (set forth in the Commission’s regulations) is that the proceedings must involve “a common question of law or fact”.  An examination of Commission precedent in such cases as </w:t>
      </w:r>
      <w:r w:rsidRPr="00C52ADD">
        <w:rPr>
          <w:i/>
          <w:sz w:val="24"/>
          <w:szCs w:val="24"/>
        </w:rPr>
        <w:t>Applications of Philadelphia Electric Co.</w:t>
      </w:r>
      <w:r w:rsidRPr="00C52ADD">
        <w:rPr>
          <w:sz w:val="24"/>
          <w:szCs w:val="24"/>
        </w:rPr>
        <w:t xml:space="preserve">, 43 Pa. PUC 781 (1968), </w:t>
      </w:r>
      <w:r w:rsidRPr="00C52ADD">
        <w:rPr>
          <w:i/>
          <w:sz w:val="24"/>
          <w:szCs w:val="24"/>
        </w:rPr>
        <w:t>Pa. Public Utility Comm’n v. Bell Telephone Co. of Pennsylvania</w:t>
      </w:r>
      <w:r w:rsidRPr="00C52ADD">
        <w:rPr>
          <w:sz w:val="24"/>
          <w:szCs w:val="24"/>
        </w:rPr>
        <w:t xml:space="preserve">, 46 Pa. PUC 568 (1973), and </w:t>
      </w:r>
      <w:r w:rsidRPr="00C52ADD">
        <w:rPr>
          <w:i/>
          <w:sz w:val="24"/>
          <w:szCs w:val="24"/>
        </w:rPr>
        <w:t>Pa. Public Utility Comm’n v. Butler Twp. Water Co.</w:t>
      </w:r>
      <w:r w:rsidRPr="00C52ADD">
        <w:rPr>
          <w:sz w:val="24"/>
          <w:szCs w:val="24"/>
        </w:rPr>
        <w:t>, 52 Pa. PUC 442 (1978), as well as those cited above, establishes that considerations in addition to the presence of common questions of law or fact must also be evaluated in ruling on a consolidation.  These other considerations are:</w:t>
      </w:r>
    </w:p>
    <w:p w:rsidR="00674502" w:rsidRPr="00C52ADD" w:rsidRDefault="00674502" w:rsidP="00A427AC">
      <w:pPr>
        <w:widowControl w:val="0"/>
        <w:spacing w:line="360" w:lineRule="auto"/>
        <w:rPr>
          <w:sz w:val="24"/>
          <w:szCs w:val="24"/>
        </w:rPr>
      </w:pPr>
    </w:p>
    <w:p w:rsidR="00674502" w:rsidRPr="00C52ADD" w:rsidRDefault="00674502" w:rsidP="00955515">
      <w:pPr>
        <w:ind w:left="2160" w:hanging="720"/>
        <w:rPr>
          <w:sz w:val="24"/>
          <w:szCs w:val="24"/>
        </w:rPr>
      </w:pPr>
      <w:r w:rsidRPr="00C52ADD">
        <w:rPr>
          <w:sz w:val="24"/>
          <w:szCs w:val="24"/>
        </w:rPr>
        <w:t>1.</w:t>
      </w:r>
      <w:r w:rsidRPr="00C52ADD">
        <w:rPr>
          <w:sz w:val="24"/>
          <w:szCs w:val="24"/>
        </w:rPr>
        <w:tab/>
        <w:t>Will the presence of additional issues cloud a determination of the common issues?</w:t>
      </w:r>
    </w:p>
    <w:p w:rsidR="00674502" w:rsidRPr="00C52ADD" w:rsidRDefault="00674502" w:rsidP="00955515">
      <w:pPr>
        <w:rPr>
          <w:sz w:val="24"/>
          <w:szCs w:val="24"/>
        </w:rPr>
      </w:pPr>
    </w:p>
    <w:p w:rsidR="00674502" w:rsidRPr="00C52ADD" w:rsidRDefault="00674502" w:rsidP="00955515">
      <w:pPr>
        <w:widowControl w:val="0"/>
        <w:ind w:left="2160" w:hanging="720"/>
        <w:rPr>
          <w:sz w:val="24"/>
          <w:szCs w:val="24"/>
        </w:rPr>
      </w:pPr>
      <w:r w:rsidRPr="00C52ADD">
        <w:rPr>
          <w:sz w:val="24"/>
          <w:szCs w:val="24"/>
        </w:rPr>
        <w:t>2.</w:t>
      </w:r>
      <w:r w:rsidRPr="00C52ADD">
        <w:rPr>
          <w:sz w:val="24"/>
          <w:szCs w:val="24"/>
        </w:rPr>
        <w:tab/>
        <w:t>Will consolidation result in reduced costs of litigation and decision-making for the parties and the Commission?</w:t>
      </w:r>
    </w:p>
    <w:p w:rsidR="00674502" w:rsidRPr="00C52ADD" w:rsidRDefault="00674502" w:rsidP="00955515">
      <w:pPr>
        <w:widowControl w:val="0"/>
        <w:rPr>
          <w:sz w:val="24"/>
          <w:szCs w:val="24"/>
        </w:rPr>
      </w:pPr>
    </w:p>
    <w:p w:rsidR="00674502" w:rsidRPr="00C52ADD" w:rsidRDefault="00674502" w:rsidP="00955515">
      <w:pPr>
        <w:widowControl w:val="0"/>
        <w:ind w:left="2160" w:hanging="720"/>
        <w:rPr>
          <w:sz w:val="24"/>
          <w:szCs w:val="24"/>
        </w:rPr>
      </w:pPr>
      <w:r w:rsidRPr="00C52ADD">
        <w:rPr>
          <w:sz w:val="24"/>
          <w:szCs w:val="24"/>
        </w:rPr>
        <w:t>3.</w:t>
      </w:r>
      <w:r w:rsidRPr="00C52ADD">
        <w:rPr>
          <w:sz w:val="24"/>
          <w:szCs w:val="24"/>
        </w:rPr>
        <w:tab/>
        <w:t>Do issues in one proceeding go to the heart of an issue in the other proceeding?</w:t>
      </w:r>
    </w:p>
    <w:p w:rsidR="00674502" w:rsidRPr="00C52ADD" w:rsidRDefault="00674502" w:rsidP="00955515">
      <w:pPr>
        <w:widowControl w:val="0"/>
        <w:rPr>
          <w:sz w:val="24"/>
          <w:szCs w:val="24"/>
        </w:rPr>
      </w:pPr>
    </w:p>
    <w:p w:rsidR="00674502" w:rsidRPr="00C52ADD" w:rsidRDefault="00674502" w:rsidP="00955515">
      <w:pPr>
        <w:widowControl w:val="0"/>
        <w:ind w:left="2160" w:hanging="720"/>
        <w:rPr>
          <w:sz w:val="24"/>
          <w:szCs w:val="24"/>
        </w:rPr>
      </w:pPr>
      <w:r w:rsidRPr="00C52ADD">
        <w:rPr>
          <w:sz w:val="24"/>
          <w:szCs w:val="24"/>
        </w:rPr>
        <w:t>4.</w:t>
      </w:r>
      <w:r w:rsidRPr="00C52ADD">
        <w:rPr>
          <w:sz w:val="24"/>
          <w:szCs w:val="24"/>
        </w:rPr>
        <w:tab/>
        <w:t>Will consolidation unduly protract the hearing, or produce a disorderly and unwieldy record?</w:t>
      </w:r>
    </w:p>
    <w:p w:rsidR="00674502" w:rsidRPr="00C52ADD" w:rsidRDefault="00674502" w:rsidP="00955515">
      <w:pPr>
        <w:widowControl w:val="0"/>
        <w:rPr>
          <w:sz w:val="24"/>
          <w:szCs w:val="24"/>
        </w:rPr>
      </w:pPr>
    </w:p>
    <w:p w:rsidR="00674502" w:rsidRPr="00C52ADD" w:rsidRDefault="00674502" w:rsidP="00955515">
      <w:pPr>
        <w:widowControl w:val="0"/>
        <w:ind w:firstLine="1440"/>
        <w:rPr>
          <w:sz w:val="24"/>
          <w:szCs w:val="24"/>
        </w:rPr>
      </w:pPr>
      <w:r w:rsidRPr="00C52ADD">
        <w:rPr>
          <w:sz w:val="24"/>
          <w:szCs w:val="24"/>
        </w:rPr>
        <w:t>5.</w:t>
      </w:r>
      <w:r w:rsidRPr="00C52ADD">
        <w:rPr>
          <w:sz w:val="24"/>
          <w:szCs w:val="24"/>
        </w:rPr>
        <w:tab/>
        <w:t>Will different statutory and legal issues be involved?</w:t>
      </w:r>
    </w:p>
    <w:p w:rsidR="00674502" w:rsidRPr="00C52ADD" w:rsidRDefault="00674502" w:rsidP="00955515">
      <w:pPr>
        <w:widowControl w:val="0"/>
        <w:rPr>
          <w:sz w:val="24"/>
          <w:szCs w:val="24"/>
        </w:rPr>
      </w:pPr>
    </w:p>
    <w:p w:rsidR="00674502" w:rsidRPr="00C52ADD" w:rsidRDefault="00674502" w:rsidP="00955515">
      <w:pPr>
        <w:widowControl w:val="0"/>
        <w:ind w:firstLine="1440"/>
        <w:rPr>
          <w:sz w:val="24"/>
          <w:szCs w:val="24"/>
        </w:rPr>
      </w:pPr>
      <w:r w:rsidRPr="00C52ADD">
        <w:rPr>
          <w:sz w:val="24"/>
          <w:szCs w:val="24"/>
        </w:rPr>
        <w:t>6.</w:t>
      </w:r>
      <w:r w:rsidRPr="00C52ADD">
        <w:rPr>
          <w:sz w:val="24"/>
          <w:szCs w:val="24"/>
        </w:rPr>
        <w:tab/>
        <w:t>Does the party with the burden of proof differ in the proceedings?</w:t>
      </w:r>
    </w:p>
    <w:p w:rsidR="00674502" w:rsidRPr="00C52ADD" w:rsidRDefault="00674502" w:rsidP="00955515">
      <w:pPr>
        <w:widowControl w:val="0"/>
        <w:rPr>
          <w:sz w:val="24"/>
          <w:szCs w:val="24"/>
        </w:rPr>
      </w:pPr>
    </w:p>
    <w:p w:rsidR="00674502" w:rsidRPr="00C52ADD" w:rsidRDefault="00674502" w:rsidP="00955515">
      <w:pPr>
        <w:widowControl w:val="0"/>
        <w:ind w:firstLine="1440"/>
        <w:rPr>
          <w:sz w:val="24"/>
          <w:szCs w:val="24"/>
        </w:rPr>
      </w:pPr>
      <w:r w:rsidRPr="00C52ADD">
        <w:rPr>
          <w:sz w:val="24"/>
          <w:szCs w:val="24"/>
        </w:rPr>
        <w:t>7.</w:t>
      </w:r>
      <w:r w:rsidRPr="00C52ADD">
        <w:rPr>
          <w:sz w:val="24"/>
          <w:szCs w:val="24"/>
        </w:rPr>
        <w:tab/>
        <w:t>Will consolidation unduly delay the resolution of one of the proceedings?</w:t>
      </w:r>
    </w:p>
    <w:p w:rsidR="00674502" w:rsidRPr="00C52ADD" w:rsidRDefault="00674502" w:rsidP="00955515">
      <w:pPr>
        <w:widowControl w:val="0"/>
        <w:rPr>
          <w:sz w:val="24"/>
          <w:szCs w:val="24"/>
        </w:rPr>
      </w:pPr>
    </w:p>
    <w:p w:rsidR="00674502" w:rsidRPr="00C52ADD" w:rsidRDefault="00674502" w:rsidP="00955515">
      <w:pPr>
        <w:widowControl w:val="0"/>
        <w:tabs>
          <w:tab w:val="left" w:pos="1584"/>
          <w:tab w:val="left" w:pos="2304"/>
        </w:tabs>
        <w:ind w:firstLine="1440"/>
        <w:rPr>
          <w:sz w:val="24"/>
          <w:szCs w:val="24"/>
        </w:rPr>
      </w:pPr>
      <w:r w:rsidRPr="00C52ADD">
        <w:rPr>
          <w:sz w:val="24"/>
          <w:szCs w:val="24"/>
        </w:rPr>
        <w:t>8.</w:t>
      </w:r>
      <w:r w:rsidRPr="00C52ADD">
        <w:rPr>
          <w:sz w:val="24"/>
          <w:szCs w:val="24"/>
        </w:rPr>
        <w:tab/>
        <w:t>Will supporting data in both proceedings be repetitive?</w:t>
      </w:r>
    </w:p>
    <w:p w:rsidR="00674502" w:rsidRPr="00C52ADD" w:rsidRDefault="00674502" w:rsidP="00A427AC">
      <w:pPr>
        <w:widowControl w:val="0"/>
        <w:tabs>
          <w:tab w:val="left" w:pos="1584"/>
          <w:tab w:val="left" w:pos="2304"/>
        </w:tabs>
        <w:spacing w:line="360" w:lineRule="auto"/>
        <w:rPr>
          <w:sz w:val="24"/>
          <w:szCs w:val="24"/>
        </w:rPr>
      </w:pPr>
    </w:p>
    <w:p w:rsidR="00674502" w:rsidRPr="00C52ADD" w:rsidRDefault="00674502" w:rsidP="00FB3415">
      <w:pPr>
        <w:widowControl w:val="0"/>
        <w:spacing w:line="360" w:lineRule="auto"/>
        <w:ind w:firstLine="1440"/>
        <w:rPr>
          <w:sz w:val="24"/>
          <w:szCs w:val="24"/>
        </w:rPr>
      </w:pPr>
      <w:r w:rsidRPr="00C52ADD">
        <w:rPr>
          <w:sz w:val="24"/>
          <w:szCs w:val="24"/>
        </w:rPr>
        <w:t>No single consideration, nor group of these considerations, is dispositive of a consolidation, any more so than the presence of a common question of law or fact.  Rather, the evaluation of all of them and a balancing of those favoring and disfavoring consolidation is required.</w:t>
      </w:r>
    </w:p>
    <w:p w:rsidR="00674502" w:rsidRPr="00C52ADD" w:rsidRDefault="00674502" w:rsidP="00A427AC">
      <w:pPr>
        <w:widowControl w:val="0"/>
        <w:spacing w:line="360" w:lineRule="auto"/>
        <w:rPr>
          <w:sz w:val="24"/>
          <w:szCs w:val="24"/>
        </w:rPr>
      </w:pPr>
    </w:p>
    <w:p w:rsidR="00674502" w:rsidRPr="00C52ADD" w:rsidRDefault="00674502" w:rsidP="00270184">
      <w:pPr>
        <w:pStyle w:val="Style"/>
        <w:spacing w:line="360" w:lineRule="auto"/>
        <w:ind w:firstLine="1440"/>
      </w:pPr>
      <w:r w:rsidRPr="00C52ADD">
        <w:t>In the cases</w:t>
      </w:r>
      <w:r w:rsidR="00270184">
        <w:t xml:space="preserve"> now before us</w:t>
      </w:r>
      <w:r w:rsidRPr="00C52ADD">
        <w:t xml:space="preserve">, </w:t>
      </w:r>
      <w:r w:rsidRPr="00C52ADD">
        <w:rPr>
          <w:color w:val="000000"/>
        </w:rPr>
        <w:t>the above-captioned proceedings are interrelated and raise common issues of law and fact.  Because the disposition of each of these matters is interrelated, the consolidation of these proceedings will promote the efficient use of</w:t>
      </w:r>
      <w:r w:rsidR="000D01ED">
        <w:rPr>
          <w:color w:val="000000"/>
        </w:rPr>
        <w:t xml:space="preserve"> the time and resources of the P</w:t>
      </w:r>
      <w:r w:rsidRPr="00C52ADD">
        <w:rPr>
          <w:color w:val="000000"/>
        </w:rPr>
        <w:t>arties and the Commission.</w:t>
      </w:r>
      <w:r w:rsidR="00270184">
        <w:rPr>
          <w:color w:val="000000"/>
        </w:rPr>
        <w:t xml:space="preserve">  </w:t>
      </w:r>
      <w:r w:rsidRPr="00C52ADD">
        <w:t xml:space="preserve">Consolidation of these cases will not unduly delay the resolution of </w:t>
      </w:r>
      <w:r w:rsidR="0002390F">
        <w:t>either</w:t>
      </w:r>
      <w:r w:rsidRPr="00C52ADD">
        <w:t xml:space="preserve"> of them.  They will be heard, briefed, and decided together.</w:t>
      </w:r>
    </w:p>
    <w:p w:rsidR="00674502" w:rsidRPr="00C52ADD" w:rsidRDefault="00674502" w:rsidP="00A41CC8">
      <w:pPr>
        <w:spacing w:line="360" w:lineRule="auto"/>
        <w:rPr>
          <w:sz w:val="24"/>
          <w:szCs w:val="24"/>
        </w:rPr>
      </w:pPr>
    </w:p>
    <w:p w:rsidR="00A41CC8" w:rsidRDefault="00674502" w:rsidP="00FB3415">
      <w:pPr>
        <w:widowControl w:val="0"/>
        <w:spacing w:line="360" w:lineRule="auto"/>
        <w:ind w:firstLine="1440"/>
        <w:rPr>
          <w:sz w:val="24"/>
          <w:szCs w:val="24"/>
        </w:rPr>
      </w:pPr>
      <w:r w:rsidRPr="00C52ADD">
        <w:rPr>
          <w:sz w:val="24"/>
          <w:szCs w:val="24"/>
        </w:rPr>
        <w:t>For all of the stated reasons, a consolidation for hearing, briefing, and adjudicati</w:t>
      </w:r>
      <w:r w:rsidR="0002390F">
        <w:rPr>
          <w:sz w:val="24"/>
          <w:szCs w:val="24"/>
        </w:rPr>
        <w:t>o</w:t>
      </w:r>
      <w:r w:rsidRPr="00C52ADD">
        <w:rPr>
          <w:sz w:val="24"/>
          <w:szCs w:val="24"/>
        </w:rPr>
        <w:t xml:space="preserve">n is warranted and </w:t>
      </w:r>
      <w:r w:rsidR="0002390F">
        <w:rPr>
          <w:sz w:val="24"/>
          <w:szCs w:val="24"/>
        </w:rPr>
        <w:t xml:space="preserve">is </w:t>
      </w:r>
      <w:r w:rsidRPr="00C52ADD">
        <w:rPr>
          <w:sz w:val="24"/>
          <w:szCs w:val="24"/>
        </w:rPr>
        <w:t xml:space="preserve">in the public interest, the interest of the </w:t>
      </w:r>
      <w:r w:rsidR="00643284">
        <w:rPr>
          <w:sz w:val="24"/>
          <w:szCs w:val="24"/>
        </w:rPr>
        <w:t>P</w:t>
      </w:r>
      <w:r w:rsidRPr="00C52ADD">
        <w:rPr>
          <w:sz w:val="24"/>
          <w:szCs w:val="24"/>
        </w:rPr>
        <w:t>arties and the interest of the Commission</w:t>
      </w:r>
      <w:r w:rsidR="00A41CC8">
        <w:rPr>
          <w:sz w:val="24"/>
          <w:szCs w:val="24"/>
        </w:rPr>
        <w:t>.</w:t>
      </w:r>
    </w:p>
    <w:p w:rsidR="00A41CC8" w:rsidRDefault="00A41CC8" w:rsidP="00A41CC8">
      <w:pPr>
        <w:widowControl w:val="0"/>
        <w:spacing w:line="360" w:lineRule="auto"/>
        <w:rPr>
          <w:sz w:val="24"/>
          <w:szCs w:val="24"/>
        </w:rPr>
      </w:pPr>
    </w:p>
    <w:p w:rsidR="00A41CC8" w:rsidRDefault="00A41CC8" w:rsidP="00270184">
      <w:pPr>
        <w:spacing w:after="200" w:line="276" w:lineRule="auto"/>
        <w:jc w:val="center"/>
        <w:rPr>
          <w:sz w:val="24"/>
          <w:szCs w:val="24"/>
        </w:rPr>
      </w:pPr>
      <w:r>
        <w:rPr>
          <w:b/>
          <w:sz w:val="24"/>
          <w:szCs w:val="24"/>
          <w:u w:val="single"/>
        </w:rPr>
        <w:t>ORDER</w:t>
      </w:r>
    </w:p>
    <w:p w:rsidR="00A41CC8" w:rsidRPr="00A41CC8" w:rsidRDefault="00A41CC8" w:rsidP="00A41CC8">
      <w:pPr>
        <w:widowControl w:val="0"/>
        <w:spacing w:line="360" w:lineRule="auto"/>
        <w:rPr>
          <w:sz w:val="24"/>
          <w:szCs w:val="24"/>
        </w:rPr>
      </w:pPr>
    </w:p>
    <w:p w:rsidR="00674502" w:rsidRPr="00A41CC8" w:rsidRDefault="00674502" w:rsidP="00FB3415">
      <w:pPr>
        <w:widowControl w:val="0"/>
        <w:spacing w:line="360" w:lineRule="auto"/>
        <w:ind w:firstLine="1440"/>
        <w:rPr>
          <w:bCs/>
          <w:sz w:val="24"/>
          <w:szCs w:val="24"/>
        </w:rPr>
      </w:pPr>
      <w:r w:rsidRPr="00A41CC8">
        <w:rPr>
          <w:bCs/>
          <w:sz w:val="24"/>
          <w:szCs w:val="24"/>
        </w:rPr>
        <w:t>THEREFORE,</w:t>
      </w:r>
    </w:p>
    <w:p w:rsidR="00B84A4F" w:rsidRPr="00C52ADD" w:rsidRDefault="00B84A4F" w:rsidP="00FB3415">
      <w:pPr>
        <w:spacing w:line="360" w:lineRule="auto"/>
        <w:ind w:firstLine="1440"/>
        <w:rPr>
          <w:b/>
          <w:bCs/>
          <w:sz w:val="24"/>
          <w:szCs w:val="24"/>
        </w:rPr>
      </w:pPr>
    </w:p>
    <w:p w:rsidR="00674502" w:rsidRPr="00A41CC8" w:rsidRDefault="00674502" w:rsidP="00FB3415">
      <w:pPr>
        <w:spacing w:line="360" w:lineRule="auto"/>
        <w:ind w:firstLine="1440"/>
        <w:rPr>
          <w:bCs/>
          <w:sz w:val="24"/>
          <w:szCs w:val="24"/>
        </w:rPr>
      </w:pPr>
      <w:r w:rsidRPr="00A41CC8">
        <w:rPr>
          <w:bCs/>
          <w:sz w:val="24"/>
          <w:szCs w:val="24"/>
        </w:rPr>
        <w:t>IT IS ORDERED:</w:t>
      </w:r>
    </w:p>
    <w:p w:rsidR="00674502" w:rsidRPr="00C52ADD" w:rsidRDefault="00674502" w:rsidP="00A41CC8">
      <w:pPr>
        <w:spacing w:line="360" w:lineRule="auto"/>
        <w:rPr>
          <w:sz w:val="24"/>
          <w:szCs w:val="24"/>
        </w:rPr>
      </w:pPr>
    </w:p>
    <w:p w:rsidR="00674502" w:rsidRPr="00C52ADD" w:rsidRDefault="00674502" w:rsidP="00D45968">
      <w:pPr>
        <w:tabs>
          <w:tab w:val="left" w:pos="-720"/>
        </w:tabs>
        <w:suppressAutoHyphens/>
        <w:spacing w:line="360" w:lineRule="auto"/>
        <w:ind w:firstLine="1440"/>
        <w:rPr>
          <w:sz w:val="24"/>
          <w:szCs w:val="24"/>
        </w:rPr>
      </w:pPr>
      <w:r w:rsidRPr="00C52ADD">
        <w:rPr>
          <w:sz w:val="24"/>
          <w:szCs w:val="24"/>
        </w:rPr>
        <w:t>1.</w:t>
      </w:r>
      <w:r w:rsidRPr="00C52ADD">
        <w:rPr>
          <w:sz w:val="24"/>
          <w:szCs w:val="24"/>
        </w:rPr>
        <w:tab/>
        <w:t>Th</w:t>
      </w:r>
      <w:r w:rsidR="00B84A4F" w:rsidRPr="00C52ADD">
        <w:rPr>
          <w:sz w:val="24"/>
          <w:szCs w:val="24"/>
        </w:rPr>
        <w:t>at th</w:t>
      </w:r>
      <w:r w:rsidRPr="00C52ADD">
        <w:rPr>
          <w:sz w:val="24"/>
          <w:szCs w:val="24"/>
        </w:rPr>
        <w:t xml:space="preserve">e </w:t>
      </w:r>
      <w:r w:rsidRPr="00C52ADD">
        <w:rPr>
          <w:spacing w:val="-3"/>
          <w:sz w:val="24"/>
          <w:szCs w:val="24"/>
        </w:rPr>
        <w:t xml:space="preserve">Motion to </w:t>
      </w:r>
      <w:proofErr w:type="gramStart"/>
      <w:r w:rsidRPr="00C52ADD">
        <w:rPr>
          <w:spacing w:val="-3"/>
          <w:sz w:val="24"/>
          <w:szCs w:val="24"/>
        </w:rPr>
        <w:t>Consolidate</w:t>
      </w:r>
      <w:proofErr w:type="gramEnd"/>
      <w:r w:rsidRPr="00C52ADD">
        <w:rPr>
          <w:spacing w:val="-3"/>
          <w:sz w:val="24"/>
          <w:szCs w:val="24"/>
        </w:rPr>
        <w:t xml:space="preserve"> filed </w:t>
      </w:r>
      <w:r w:rsidR="000D01ED">
        <w:rPr>
          <w:spacing w:val="-3"/>
          <w:sz w:val="24"/>
          <w:szCs w:val="24"/>
        </w:rPr>
        <w:t xml:space="preserve">June </w:t>
      </w:r>
      <w:r w:rsidR="0002390F">
        <w:rPr>
          <w:spacing w:val="-3"/>
          <w:sz w:val="24"/>
          <w:szCs w:val="24"/>
        </w:rPr>
        <w:t>11, 2010</w:t>
      </w:r>
      <w:r w:rsidRPr="00C52ADD">
        <w:rPr>
          <w:spacing w:val="-3"/>
          <w:sz w:val="24"/>
          <w:szCs w:val="24"/>
        </w:rPr>
        <w:t xml:space="preserve"> by </w:t>
      </w:r>
      <w:r w:rsidR="000D01ED">
        <w:rPr>
          <w:sz w:val="24"/>
          <w:szCs w:val="24"/>
        </w:rPr>
        <w:t xml:space="preserve">Duquesne Light Company </w:t>
      </w:r>
      <w:r w:rsidRPr="00C52ADD">
        <w:rPr>
          <w:spacing w:val="-3"/>
          <w:sz w:val="24"/>
          <w:szCs w:val="24"/>
        </w:rPr>
        <w:t>at Docket N</w:t>
      </w:r>
      <w:r w:rsidR="000D01ED">
        <w:rPr>
          <w:spacing w:val="-3"/>
          <w:sz w:val="24"/>
          <w:szCs w:val="24"/>
        </w:rPr>
        <w:t>os.</w:t>
      </w:r>
      <w:r w:rsidRPr="00C52ADD">
        <w:rPr>
          <w:spacing w:val="-3"/>
          <w:sz w:val="24"/>
          <w:szCs w:val="24"/>
        </w:rPr>
        <w:t xml:space="preserve"> </w:t>
      </w:r>
      <w:r w:rsidR="000D01ED">
        <w:rPr>
          <w:sz w:val="24"/>
          <w:szCs w:val="24"/>
        </w:rPr>
        <w:t>F</w:t>
      </w:r>
      <w:r w:rsidR="000D01ED" w:rsidRPr="00C52ADD">
        <w:rPr>
          <w:sz w:val="24"/>
          <w:szCs w:val="24"/>
        </w:rPr>
        <w:t>-2010-21</w:t>
      </w:r>
      <w:r w:rsidR="000D01ED">
        <w:rPr>
          <w:sz w:val="24"/>
          <w:szCs w:val="24"/>
        </w:rPr>
        <w:t>74509</w:t>
      </w:r>
      <w:r w:rsidR="00D45968">
        <w:rPr>
          <w:sz w:val="24"/>
          <w:szCs w:val="24"/>
        </w:rPr>
        <w:t xml:space="preserve"> and </w:t>
      </w:r>
      <w:r w:rsidR="000D01ED" w:rsidRPr="00015237">
        <w:rPr>
          <w:sz w:val="24"/>
          <w:szCs w:val="24"/>
        </w:rPr>
        <w:t>C-2010-2177251</w:t>
      </w:r>
      <w:r w:rsidR="00F014A2" w:rsidRPr="00C52ADD">
        <w:rPr>
          <w:spacing w:val="-3"/>
          <w:sz w:val="24"/>
          <w:szCs w:val="24"/>
        </w:rPr>
        <w:t xml:space="preserve">, </w:t>
      </w:r>
      <w:r w:rsidRPr="00C52ADD">
        <w:rPr>
          <w:spacing w:val="-3"/>
          <w:sz w:val="24"/>
          <w:szCs w:val="24"/>
        </w:rPr>
        <w:t>is granted.</w:t>
      </w:r>
    </w:p>
    <w:p w:rsidR="00674502" w:rsidRPr="00C52ADD" w:rsidRDefault="00674502" w:rsidP="00A41CC8">
      <w:pPr>
        <w:tabs>
          <w:tab w:val="left" w:pos="-720"/>
        </w:tabs>
        <w:suppressAutoHyphens/>
        <w:spacing w:line="360" w:lineRule="auto"/>
        <w:rPr>
          <w:sz w:val="24"/>
          <w:szCs w:val="24"/>
        </w:rPr>
      </w:pPr>
    </w:p>
    <w:p w:rsidR="00674502" w:rsidRDefault="00674502" w:rsidP="00FB3415">
      <w:pPr>
        <w:tabs>
          <w:tab w:val="left" w:pos="-720"/>
        </w:tabs>
        <w:suppressAutoHyphens/>
        <w:spacing w:line="360" w:lineRule="auto"/>
        <w:ind w:firstLine="1440"/>
        <w:rPr>
          <w:spacing w:val="-3"/>
          <w:sz w:val="24"/>
          <w:szCs w:val="24"/>
        </w:rPr>
      </w:pPr>
      <w:r w:rsidRPr="00C52ADD">
        <w:rPr>
          <w:sz w:val="24"/>
          <w:szCs w:val="24"/>
        </w:rPr>
        <w:t>2.</w:t>
      </w:r>
      <w:r w:rsidRPr="00C52ADD">
        <w:rPr>
          <w:sz w:val="24"/>
          <w:szCs w:val="24"/>
        </w:rPr>
        <w:tab/>
        <w:t>That the above-captioned cases, bearing Docket Numbers</w:t>
      </w:r>
      <w:r w:rsidRPr="00C52ADD">
        <w:rPr>
          <w:spacing w:val="-3"/>
          <w:sz w:val="24"/>
          <w:szCs w:val="24"/>
        </w:rPr>
        <w:t xml:space="preserve"> </w:t>
      </w:r>
      <w:r w:rsidR="000D01ED">
        <w:rPr>
          <w:sz w:val="24"/>
          <w:szCs w:val="24"/>
        </w:rPr>
        <w:t>F</w:t>
      </w:r>
      <w:r w:rsidR="000D01ED" w:rsidRPr="00C52ADD">
        <w:rPr>
          <w:sz w:val="24"/>
          <w:szCs w:val="24"/>
        </w:rPr>
        <w:t>-2010-21</w:t>
      </w:r>
      <w:r w:rsidR="000D01ED">
        <w:rPr>
          <w:sz w:val="24"/>
          <w:szCs w:val="24"/>
        </w:rPr>
        <w:t xml:space="preserve">74509 and </w:t>
      </w:r>
      <w:r w:rsidR="000D01ED" w:rsidRPr="00015237">
        <w:rPr>
          <w:sz w:val="24"/>
          <w:szCs w:val="24"/>
        </w:rPr>
        <w:t>C-2010-2177251</w:t>
      </w:r>
      <w:r w:rsidR="00F014A2" w:rsidRPr="00C52ADD">
        <w:rPr>
          <w:spacing w:val="-3"/>
          <w:sz w:val="24"/>
          <w:szCs w:val="24"/>
        </w:rPr>
        <w:t xml:space="preserve"> </w:t>
      </w:r>
      <w:r w:rsidRPr="00C52ADD">
        <w:rPr>
          <w:spacing w:val="-3"/>
          <w:sz w:val="24"/>
          <w:szCs w:val="24"/>
        </w:rPr>
        <w:t>are consolidated</w:t>
      </w:r>
      <w:r w:rsidRPr="00C52ADD">
        <w:rPr>
          <w:sz w:val="24"/>
          <w:szCs w:val="24"/>
        </w:rPr>
        <w:t xml:space="preserve"> for hearing, briefing, and adjudicati</w:t>
      </w:r>
      <w:r w:rsidR="00D45968">
        <w:rPr>
          <w:sz w:val="24"/>
          <w:szCs w:val="24"/>
        </w:rPr>
        <w:t>o</w:t>
      </w:r>
      <w:r w:rsidRPr="00C52ADD">
        <w:rPr>
          <w:sz w:val="24"/>
          <w:szCs w:val="24"/>
        </w:rPr>
        <w:t>n</w:t>
      </w:r>
      <w:r w:rsidRPr="00C52ADD">
        <w:rPr>
          <w:spacing w:val="-3"/>
          <w:sz w:val="24"/>
          <w:szCs w:val="24"/>
        </w:rPr>
        <w:t>.</w:t>
      </w:r>
    </w:p>
    <w:p w:rsidR="00643284" w:rsidRDefault="00643284" w:rsidP="00FB3415">
      <w:pPr>
        <w:tabs>
          <w:tab w:val="left" w:pos="-720"/>
        </w:tabs>
        <w:suppressAutoHyphens/>
        <w:spacing w:line="360" w:lineRule="auto"/>
        <w:ind w:firstLine="1440"/>
        <w:rPr>
          <w:spacing w:val="-3"/>
          <w:sz w:val="24"/>
          <w:szCs w:val="24"/>
        </w:rPr>
      </w:pPr>
    </w:p>
    <w:p w:rsidR="00643284" w:rsidRDefault="00643284" w:rsidP="00FB3415">
      <w:pPr>
        <w:tabs>
          <w:tab w:val="left" w:pos="-720"/>
        </w:tabs>
        <w:suppressAutoHyphens/>
        <w:spacing w:line="360" w:lineRule="auto"/>
        <w:ind w:firstLine="1440"/>
        <w:rPr>
          <w:spacing w:val="-3"/>
          <w:sz w:val="24"/>
          <w:szCs w:val="24"/>
        </w:rPr>
      </w:pPr>
    </w:p>
    <w:p w:rsidR="00643284" w:rsidRDefault="00643284" w:rsidP="00FB3415">
      <w:pPr>
        <w:tabs>
          <w:tab w:val="left" w:pos="-720"/>
        </w:tabs>
        <w:suppressAutoHyphens/>
        <w:spacing w:line="360" w:lineRule="auto"/>
        <w:ind w:firstLine="1440"/>
        <w:rPr>
          <w:spacing w:val="-3"/>
          <w:sz w:val="24"/>
          <w:szCs w:val="24"/>
        </w:rPr>
      </w:pPr>
    </w:p>
    <w:p w:rsidR="00A22D9C" w:rsidRDefault="00A22D9C" w:rsidP="00FB3415">
      <w:pPr>
        <w:tabs>
          <w:tab w:val="left" w:pos="-720"/>
        </w:tabs>
        <w:suppressAutoHyphens/>
        <w:spacing w:line="360" w:lineRule="auto"/>
        <w:ind w:firstLine="1440"/>
        <w:rPr>
          <w:spacing w:val="-3"/>
          <w:sz w:val="24"/>
          <w:szCs w:val="24"/>
        </w:rPr>
      </w:pPr>
    </w:p>
    <w:p w:rsidR="00A22D9C" w:rsidRPr="00C52ADD" w:rsidRDefault="00A22D9C" w:rsidP="00FB3415">
      <w:pPr>
        <w:tabs>
          <w:tab w:val="left" w:pos="-720"/>
        </w:tabs>
        <w:suppressAutoHyphens/>
        <w:spacing w:line="360" w:lineRule="auto"/>
        <w:ind w:firstLine="1440"/>
        <w:rPr>
          <w:spacing w:val="-3"/>
          <w:sz w:val="24"/>
          <w:szCs w:val="24"/>
        </w:rPr>
      </w:pPr>
      <w:r>
        <w:rPr>
          <w:spacing w:val="-3"/>
          <w:sz w:val="24"/>
          <w:szCs w:val="24"/>
        </w:rPr>
        <w:lastRenderedPageBreak/>
        <w:t>3.</w:t>
      </w:r>
      <w:r>
        <w:rPr>
          <w:spacing w:val="-3"/>
          <w:sz w:val="24"/>
          <w:szCs w:val="24"/>
        </w:rPr>
        <w:tab/>
        <w:t>That this consolidated proceeding be scheduled for hearing.</w:t>
      </w:r>
    </w:p>
    <w:p w:rsidR="00674502" w:rsidRPr="00C52ADD" w:rsidRDefault="00674502" w:rsidP="00A41CC8">
      <w:pPr>
        <w:tabs>
          <w:tab w:val="left" w:pos="-720"/>
        </w:tabs>
        <w:suppressAutoHyphens/>
        <w:spacing w:line="360" w:lineRule="auto"/>
        <w:rPr>
          <w:sz w:val="24"/>
          <w:szCs w:val="24"/>
        </w:rPr>
      </w:pPr>
    </w:p>
    <w:p w:rsidR="00674502" w:rsidRPr="00C52ADD" w:rsidRDefault="00674502" w:rsidP="00A41CC8">
      <w:pPr>
        <w:tabs>
          <w:tab w:val="left" w:pos="-720"/>
        </w:tabs>
        <w:suppressAutoHyphens/>
        <w:spacing w:line="360" w:lineRule="auto"/>
        <w:rPr>
          <w:sz w:val="24"/>
          <w:szCs w:val="24"/>
        </w:rPr>
      </w:pPr>
    </w:p>
    <w:p w:rsidR="00674502" w:rsidRPr="00C52ADD" w:rsidRDefault="00674502" w:rsidP="00C52ADD">
      <w:pPr>
        <w:rPr>
          <w:sz w:val="24"/>
          <w:szCs w:val="24"/>
        </w:rPr>
      </w:pPr>
      <w:r w:rsidRPr="00C52ADD">
        <w:rPr>
          <w:sz w:val="24"/>
          <w:szCs w:val="24"/>
        </w:rPr>
        <w:t>Date:</w:t>
      </w:r>
      <w:r w:rsidR="00B73D2C">
        <w:rPr>
          <w:sz w:val="24"/>
          <w:szCs w:val="24"/>
        </w:rPr>
        <w:tab/>
      </w:r>
      <w:r w:rsidR="00085670">
        <w:rPr>
          <w:sz w:val="24"/>
          <w:szCs w:val="24"/>
          <w:u w:val="single"/>
        </w:rPr>
        <w:t>May 20</w:t>
      </w:r>
      <w:r w:rsidR="00D45968">
        <w:rPr>
          <w:sz w:val="24"/>
          <w:szCs w:val="24"/>
          <w:u w:val="single"/>
        </w:rPr>
        <w:t>, 2011</w:t>
      </w:r>
      <w:r w:rsidRPr="00C52ADD">
        <w:rPr>
          <w:sz w:val="24"/>
          <w:szCs w:val="24"/>
        </w:rPr>
        <w:tab/>
      </w:r>
      <w:r w:rsidR="00085670">
        <w:rPr>
          <w:sz w:val="24"/>
          <w:szCs w:val="24"/>
        </w:rPr>
        <w:tab/>
      </w:r>
      <w:r w:rsidR="00D45968">
        <w:rPr>
          <w:sz w:val="24"/>
          <w:szCs w:val="24"/>
        </w:rPr>
        <w:tab/>
      </w:r>
      <w:r w:rsidR="00B73D2C">
        <w:rPr>
          <w:sz w:val="24"/>
          <w:szCs w:val="24"/>
        </w:rPr>
        <w:tab/>
      </w:r>
      <w:r w:rsidR="00B73D2C">
        <w:rPr>
          <w:sz w:val="24"/>
          <w:szCs w:val="24"/>
        </w:rPr>
        <w:tab/>
        <w:t>____________________________________</w:t>
      </w:r>
    </w:p>
    <w:p w:rsidR="00674502" w:rsidRPr="00C52ADD" w:rsidRDefault="00674502" w:rsidP="00C52ADD">
      <w:pPr>
        <w:rPr>
          <w:sz w:val="24"/>
          <w:szCs w:val="24"/>
        </w:rPr>
      </w:pPr>
      <w:r w:rsidRPr="00C52ADD">
        <w:rPr>
          <w:sz w:val="24"/>
          <w:szCs w:val="24"/>
        </w:rPr>
        <w:tab/>
      </w:r>
      <w:r w:rsidRPr="00C52ADD">
        <w:rPr>
          <w:sz w:val="24"/>
          <w:szCs w:val="24"/>
        </w:rPr>
        <w:tab/>
      </w:r>
      <w:r w:rsidRPr="00C52ADD">
        <w:rPr>
          <w:sz w:val="24"/>
          <w:szCs w:val="24"/>
        </w:rPr>
        <w:tab/>
      </w:r>
      <w:r w:rsidRPr="00C52ADD">
        <w:rPr>
          <w:sz w:val="24"/>
          <w:szCs w:val="24"/>
        </w:rPr>
        <w:tab/>
      </w:r>
      <w:r w:rsidRPr="00C52ADD">
        <w:rPr>
          <w:sz w:val="24"/>
          <w:szCs w:val="24"/>
        </w:rPr>
        <w:tab/>
      </w:r>
      <w:r w:rsidR="00A41CC8">
        <w:rPr>
          <w:sz w:val="24"/>
          <w:szCs w:val="24"/>
        </w:rPr>
        <w:tab/>
      </w:r>
      <w:r w:rsidR="00A41CC8">
        <w:rPr>
          <w:sz w:val="24"/>
          <w:szCs w:val="24"/>
        </w:rPr>
        <w:tab/>
      </w:r>
      <w:r w:rsidR="00F014A2" w:rsidRPr="00C52ADD">
        <w:rPr>
          <w:sz w:val="24"/>
          <w:szCs w:val="24"/>
        </w:rPr>
        <w:t>Dennis J. Buckley</w:t>
      </w:r>
    </w:p>
    <w:p w:rsidR="000F2C9B" w:rsidRDefault="00674502" w:rsidP="00270184">
      <w:pPr>
        <w:rPr>
          <w:sz w:val="24"/>
          <w:szCs w:val="24"/>
        </w:rPr>
        <w:sectPr w:rsidR="000F2C9B" w:rsidSect="00270184">
          <w:footerReference w:type="default" r:id="rId6"/>
          <w:pgSz w:w="12240" w:h="15840"/>
          <w:pgMar w:top="1440" w:right="1440" w:bottom="1440" w:left="1440" w:header="720" w:footer="720" w:gutter="0"/>
          <w:cols w:space="720"/>
          <w:docGrid w:linePitch="360"/>
        </w:sectPr>
      </w:pPr>
      <w:r w:rsidRPr="00C52ADD">
        <w:rPr>
          <w:sz w:val="24"/>
          <w:szCs w:val="24"/>
        </w:rPr>
        <w:tab/>
      </w:r>
      <w:r w:rsidRPr="00C52ADD">
        <w:rPr>
          <w:sz w:val="24"/>
          <w:szCs w:val="24"/>
        </w:rPr>
        <w:tab/>
      </w:r>
      <w:r w:rsidRPr="00C52ADD">
        <w:rPr>
          <w:sz w:val="24"/>
          <w:szCs w:val="24"/>
        </w:rPr>
        <w:tab/>
      </w:r>
      <w:r w:rsidRPr="00C52ADD">
        <w:rPr>
          <w:sz w:val="24"/>
          <w:szCs w:val="24"/>
        </w:rPr>
        <w:tab/>
      </w:r>
      <w:r w:rsidRPr="00C52ADD">
        <w:rPr>
          <w:sz w:val="24"/>
          <w:szCs w:val="24"/>
        </w:rPr>
        <w:tab/>
      </w:r>
      <w:r w:rsidR="00A41CC8">
        <w:rPr>
          <w:sz w:val="24"/>
          <w:szCs w:val="24"/>
        </w:rPr>
        <w:tab/>
      </w:r>
      <w:r w:rsidR="00A41CC8">
        <w:rPr>
          <w:sz w:val="24"/>
          <w:szCs w:val="24"/>
        </w:rPr>
        <w:tab/>
      </w:r>
      <w:r w:rsidRPr="00C52ADD">
        <w:rPr>
          <w:sz w:val="24"/>
          <w:szCs w:val="24"/>
        </w:rPr>
        <w:t>Administrative Law Judge</w:t>
      </w:r>
    </w:p>
    <w:p w:rsidR="000F2C9B" w:rsidRDefault="000F2C9B" w:rsidP="000F2C9B">
      <w:pPr>
        <w:spacing w:after="120"/>
      </w:pPr>
      <w:r>
        <w:rPr>
          <w:rFonts w:ascii="Microsoft Sans Serif"/>
          <w:b/>
          <w:sz w:val="24"/>
          <w:u w:val="single"/>
        </w:rPr>
        <w:lastRenderedPageBreak/>
        <w:t>F-2010-2174509, C-2010-2177251 - THEODORE PRESUTTI v. DUQUESNE LIGHT COMPANY</w:t>
      </w:r>
      <w:r>
        <w:rPr>
          <w:rFonts w:ascii="Microsoft Sans Serif"/>
          <w:b/>
          <w:sz w:val="24"/>
          <w:u w:val="single"/>
        </w:rPr>
        <w:cr/>
      </w:r>
      <w:r>
        <w:rPr>
          <w:rFonts w:ascii="Microsoft Sans Serif"/>
          <w:b/>
          <w:sz w:val="24"/>
          <w:u w:val="single"/>
        </w:rPr>
        <w:cr/>
      </w:r>
      <w:r>
        <w:rPr>
          <w:rFonts w:ascii="Microsoft Sans Serif"/>
          <w:sz w:val="24"/>
        </w:rPr>
        <w:t>KRYSIA KUBIAK ESQUIRE</w:t>
      </w:r>
      <w:r>
        <w:rPr>
          <w:rFonts w:ascii="Microsoft Sans Serif"/>
          <w:sz w:val="24"/>
        </w:rPr>
        <w:cr/>
        <w:t>DUQUESNE LIGHT COMPANY</w:t>
      </w:r>
      <w:r>
        <w:rPr>
          <w:rFonts w:ascii="Microsoft Sans Serif"/>
          <w:sz w:val="24"/>
        </w:rPr>
        <w:cr/>
        <w:t>411 SEVENTH AVENUE 16-1</w:t>
      </w:r>
      <w:r>
        <w:rPr>
          <w:rFonts w:ascii="Microsoft Sans Serif"/>
          <w:sz w:val="24"/>
        </w:rPr>
        <w:cr/>
        <w:t>PITTSBURGH PA  15219</w:t>
      </w:r>
      <w:r>
        <w:rPr>
          <w:rFonts w:ascii="Microsoft Sans Serif"/>
          <w:sz w:val="24"/>
        </w:rPr>
        <w:cr/>
        <w:t>412-393-6505</w:t>
      </w:r>
      <w:r>
        <w:rPr>
          <w:rFonts w:ascii="Microsoft Sans Serif"/>
          <w:sz w:val="24"/>
        </w:rPr>
        <w:cr/>
      </w:r>
      <w:r>
        <w:rPr>
          <w:rFonts w:ascii="Microsoft Sans Serif"/>
          <w:sz w:val="24"/>
        </w:rPr>
        <w:cr/>
        <w:t>THEODORE PRESUTTI</w:t>
      </w:r>
      <w:r>
        <w:rPr>
          <w:rFonts w:ascii="Microsoft Sans Serif"/>
          <w:sz w:val="24"/>
        </w:rPr>
        <w:cr/>
        <w:t>409 FOREST HILL ROAD</w:t>
      </w:r>
      <w:r>
        <w:rPr>
          <w:rFonts w:ascii="Microsoft Sans Serif"/>
          <w:sz w:val="24"/>
        </w:rPr>
        <w:cr/>
        <w:t>INDUSTRY PA  15052</w:t>
      </w:r>
      <w:r>
        <w:rPr>
          <w:rFonts w:ascii="Microsoft Sans Serif"/>
          <w:sz w:val="24"/>
        </w:rPr>
        <w:cr/>
        <w:t>724-643-1694</w:t>
      </w:r>
      <w:r>
        <w:rPr>
          <w:rFonts w:ascii="Microsoft Sans Serif"/>
          <w:sz w:val="24"/>
        </w:rPr>
        <w:cr/>
      </w:r>
    </w:p>
    <w:p w:rsidR="000F2C9B" w:rsidRDefault="000F2C9B" w:rsidP="000F2C9B">
      <w:r>
        <w:rPr>
          <w:rFonts w:ascii="Microsoft Sans Serif"/>
          <w:sz w:val="24"/>
        </w:rPr>
        <w:t>RICHARD RIAZZI</w:t>
      </w:r>
      <w:r>
        <w:rPr>
          <w:rFonts w:ascii="Microsoft Sans Serif"/>
          <w:sz w:val="24"/>
        </w:rPr>
        <w:cr/>
        <w:t>DUQUESNE LIGHT COMPANY</w:t>
      </w:r>
      <w:r>
        <w:rPr>
          <w:rFonts w:ascii="Microsoft Sans Serif"/>
          <w:sz w:val="24"/>
        </w:rPr>
        <w:cr/>
        <w:t>411 7TH AVENUE 16-1</w:t>
      </w:r>
      <w:r>
        <w:rPr>
          <w:rFonts w:ascii="Microsoft Sans Serif"/>
          <w:sz w:val="24"/>
        </w:rPr>
        <w:cr/>
        <w:t>PITTSBURGH PA  15219-1905</w:t>
      </w:r>
    </w:p>
    <w:p w:rsidR="00F45E3C" w:rsidRPr="00DB5ED7" w:rsidRDefault="00F45E3C" w:rsidP="00270184">
      <w:pPr>
        <w:rPr>
          <w:rFonts w:ascii="Microsoft Sans Serif" w:hAnsi="Microsoft Sans Serif" w:cs="Microsoft Sans Serif"/>
          <w:i/>
          <w:szCs w:val="24"/>
        </w:rPr>
      </w:pPr>
    </w:p>
    <w:p w:rsidR="00674502" w:rsidRPr="00C52ADD" w:rsidRDefault="00674502" w:rsidP="00C52ADD">
      <w:pPr>
        <w:rPr>
          <w:sz w:val="24"/>
          <w:szCs w:val="24"/>
        </w:rPr>
      </w:pPr>
    </w:p>
    <w:sectPr w:rsidR="00674502" w:rsidRPr="00C52ADD" w:rsidSect="00270184">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E7D97" w:rsidRDefault="008E7D97" w:rsidP="005140E0">
      <w:r>
        <w:separator/>
      </w:r>
    </w:p>
  </w:endnote>
  <w:endnote w:type="continuationSeparator" w:id="0">
    <w:p w:rsidR="008E7D97" w:rsidRDefault="008E7D97" w:rsidP="005140E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Microsoft Sans Serif">
    <w:panose1 w:val="020B0604020202020204"/>
    <w:charset w:val="00"/>
    <w:family w:val="swiss"/>
    <w:pitch w:val="variable"/>
    <w:sig w:usb0="61002BDF"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0125532"/>
      <w:docPartObj>
        <w:docPartGallery w:val="Page Numbers (Bottom of Page)"/>
        <w:docPartUnique/>
      </w:docPartObj>
    </w:sdtPr>
    <w:sdtEndPr>
      <w:rPr>
        <w:sz w:val="20"/>
      </w:rPr>
    </w:sdtEndPr>
    <w:sdtContent>
      <w:p w:rsidR="000E2DFE" w:rsidRPr="00B73D2C" w:rsidRDefault="002C2EE7">
        <w:pPr>
          <w:pStyle w:val="Footer"/>
          <w:jc w:val="center"/>
          <w:rPr>
            <w:sz w:val="20"/>
          </w:rPr>
        </w:pPr>
        <w:r w:rsidRPr="00B73D2C">
          <w:rPr>
            <w:sz w:val="20"/>
          </w:rPr>
          <w:fldChar w:fldCharType="begin"/>
        </w:r>
        <w:r w:rsidR="000E2DFE" w:rsidRPr="00B73D2C">
          <w:rPr>
            <w:sz w:val="20"/>
          </w:rPr>
          <w:instrText xml:space="preserve"> PAGE   \* MERGEFORMAT </w:instrText>
        </w:r>
        <w:r w:rsidRPr="00B73D2C">
          <w:rPr>
            <w:sz w:val="20"/>
          </w:rPr>
          <w:fldChar w:fldCharType="separate"/>
        </w:r>
        <w:r w:rsidR="000F2C9B">
          <w:rPr>
            <w:noProof/>
            <w:sz w:val="20"/>
          </w:rPr>
          <w:t>1</w:t>
        </w:r>
        <w:r w:rsidRPr="00B73D2C">
          <w:rPr>
            <w:sz w:val="20"/>
          </w:rPr>
          <w:fldChar w:fldCharType="end"/>
        </w:r>
      </w:p>
    </w:sdtContent>
  </w:sdt>
  <w:p w:rsidR="000E2DFE" w:rsidRPr="00B73D2C" w:rsidRDefault="000E2DFE">
    <w:pPr>
      <w:pStyle w:val="Footer"/>
      <w:rPr>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E7D97" w:rsidRDefault="008E7D97" w:rsidP="005140E0">
      <w:r>
        <w:separator/>
      </w:r>
    </w:p>
  </w:footnote>
  <w:footnote w:type="continuationSeparator" w:id="0">
    <w:p w:rsidR="008E7D97" w:rsidRDefault="008E7D97" w:rsidP="005140E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145D7C"/>
    <w:rsid w:val="00000B68"/>
    <w:rsid w:val="00015237"/>
    <w:rsid w:val="00020ACF"/>
    <w:rsid w:val="0002390F"/>
    <w:rsid w:val="000361C6"/>
    <w:rsid w:val="000453F0"/>
    <w:rsid w:val="00056850"/>
    <w:rsid w:val="00065E2A"/>
    <w:rsid w:val="00071466"/>
    <w:rsid w:val="00077CBB"/>
    <w:rsid w:val="000805AC"/>
    <w:rsid w:val="00083DF6"/>
    <w:rsid w:val="00085670"/>
    <w:rsid w:val="00086142"/>
    <w:rsid w:val="0009315C"/>
    <w:rsid w:val="000B615A"/>
    <w:rsid w:val="000B7C4C"/>
    <w:rsid w:val="000D01ED"/>
    <w:rsid w:val="000D5A3D"/>
    <w:rsid w:val="000E2DFE"/>
    <w:rsid w:val="000E3437"/>
    <w:rsid w:val="000E4B75"/>
    <w:rsid w:val="000F2C9B"/>
    <w:rsid w:val="0011388A"/>
    <w:rsid w:val="0013260C"/>
    <w:rsid w:val="00132676"/>
    <w:rsid w:val="00145D7C"/>
    <w:rsid w:val="00156549"/>
    <w:rsid w:val="001647A3"/>
    <w:rsid w:val="00170D92"/>
    <w:rsid w:val="00172CCF"/>
    <w:rsid w:val="00172EB1"/>
    <w:rsid w:val="001A3B11"/>
    <w:rsid w:val="001A4593"/>
    <w:rsid w:val="001B13A4"/>
    <w:rsid w:val="001D3624"/>
    <w:rsid w:val="001F3FEC"/>
    <w:rsid w:val="00203174"/>
    <w:rsid w:val="002226E1"/>
    <w:rsid w:val="002254EA"/>
    <w:rsid w:val="00230D85"/>
    <w:rsid w:val="00235F06"/>
    <w:rsid w:val="00241F98"/>
    <w:rsid w:val="00243B5A"/>
    <w:rsid w:val="00253546"/>
    <w:rsid w:val="00270184"/>
    <w:rsid w:val="00285552"/>
    <w:rsid w:val="002870A9"/>
    <w:rsid w:val="00287328"/>
    <w:rsid w:val="002A38DB"/>
    <w:rsid w:val="002A3CF4"/>
    <w:rsid w:val="002B1C21"/>
    <w:rsid w:val="002B2EE6"/>
    <w:rsid w:val="002B42FA"/>
    <w:rsid w:val="002C2EE7"/>
    <w:rsid w:val="002C7BFD"/>
    <w:rsid w:val="002D12EC"/>
    <w:rsid w:val="002D6A4C"/>
    <w:rsid w:val="002F06EE"/>
    <w:rsid w:val="002F5243"/>
    <w:rsid w:val="002F52AF"/>
    <w:rsid w:val="00311460"/>
    <w:rsid w:val="00312033"/>
    <w:rsid w:val="00331361"/>
    <w:rsid w:val="00343410"/>
    <w:rsid w:val="00351AD2"/>
    <w:rsid w:val="003627CB"/>
    <w:rsid w:val="0036596E"/>
    <w:rsid w:val="00366A60"/>
    <w:rsid w:val="0037107E"/>
    <w:rsid w:val="00375267"/>
    <w:rsid w:val="00384FE3"/>
    <w:rsid w:val="003A15DB"/>
    <w:rsid w:val="003A3EEB"/>
    <w:rsid w:val="003B28F4"/>
    <w:rsid w:val="003B48F6"/>
    <w:rsid w:val="003B5F87"/>
    <w:rsid w:val="003C341D"/>
    <w:rsid w:val="003E12A9"/>
    <w:rsid w:val="003E24C1"/>
    <w:rsid w:val="003F480E"/>
    <w:rsid w:val="003F604A"/>
    <w:rsid w:val="00402FD8"/>
    <w:rsid w:val="004116D3"/>
    <w:rsid w:val="004161DA"/>
    <w:rsid w:val="0042367A"/>
    <w:rsid w:val="00452DC3"/>
    <w:rsid w:val="004575DD"/>
    <w:rsid w:val="00461BE2"/>
    <w:rsid w:val="004629D8"/>
    <w:rsid w:val="00466412"/>
    <w:rsid w:val="00472390"/>
    <w:rsid w:val="00476463"/>
    <w:rsid w:val="00476AA5"/>
    <w:rsid w:val="004973BF"/>
    <w:rsid w:val="004A4A92"/>
    <w:rsid w:val="004B3B38"/>
    <w:rsid w:val="004B4CB7"/>
    <w:rsid w:val="004D4447"/>
    <w:rsid w:val="004E133C"/>
    <w:rsid w:val="004E1A8C"/>
    <w:rsid w:val="004E4202"/>
    <w:rsid w:val="004F3E7F"/>
    <w:rsid w:val="004F51B0"/>
    <w:rsid w:val="005028FF"/>
    <w:rsid w:val="00504287"/>
    <w:rsid w:val="005074C3"/>
    <w:rsid w:val="005140E0"/>
    <w:rsid w:val="00523C09"/>
    <w:rsid w:val="005352D3"/>
    <w:rsid w:val="00540ACE"/>
    <w:rsid w:val="005475EC"/>
    <w:rsid w:val="00552D9B"/>
    <w:rsid w:val="00564484"/>
    <w:rsid w:val="00567509"/>
    <w:rsid w:val="00582CD8"/>
    <w:rsid w:val="0059506A"/>
    <w:rsid w:val="00595440"/>
    <w:rsid w:val="005B4379"/>
    <w:rsid w:val="005C0261"/>
    <w:rsid w:val="005F0C32"/>
    <w:rsid w:val="005F0D45"/>
    <w:rsid w:val="005F659B"/>
    <w:rsid w:val="005F6F2D"/>
    <w:rsid w:val="0060385F"/>
    <w:rsid w:val="006422D5"/>
    <w:rsid w:val="00643284"/>
    <w:rsid w:val="00650AF2"/>
    <w:rsid w:val="00655B19"/>
    <w:rsid w:val="00672D17"/>
    <w:rsid w:val="00674502"/>
    <w:rsid w:val="00676751"/>
    <w:rsid w:val="00676817"/>
    <w:rsid w:val="006826C5"/>
    <w:rsid w:val="0069027E"/>
    <w:rsid w:val="00690843"/>
    <w:rsid w:val="00692368"/>
    <w:rsid w:val="006B4F76"/>
    <w:rsid w:val="006D05F2"/>
    <w:rsid w:val="006D2615"/>
    <w:rsid w:val="006D4B2A"/>
    <w:rsid w:val="006E48ED"/>
    <w:rsid w:val="006F79B1"/>
    <w:rsid w:val="006F7F52"/>
    <w:rsid w:val="00700A03"/>
    <w:rsid w:val="007244D1"/>
    <w:rsid w:val="00727658"/>
    <w:rsid w:val="007403C2"/>
    <w:rsid w:val="00746E27"/>
    <w:rsid w:val="00793DB4"/>
    <w:rsid w:val="007B0837"/>
    <w:rsid w:val="007B0DBB"/>
    <w:rsid w:val="007B49D8"/>
    <w:rsid w:val="007B69CE"/>
    <w:rsid w:val="007C6B1F"/>
    <w:rsid w:val="007E2D1F"/>
    <w:rsid w:val="007F0C9F"/>
    <w:rsid w:val="007F1EAC"/>
    <w:rsid w:val="007F4FF9"/>
    <w:rsid w:val="007F5EE7"/>
    <w:rsid w:val="007F6F94"/>
    <w:rsid w:val="00802919"/>
    <w:rsid w:val="00821A92"/>
    <w:rsid w:val="00826EAF"/>
    <w:rsid w:val="00844AFD"/>
    <w:rsid w:val="0085437D"/>
    <w:rsid w:val="008605CF"/>
    <w:rsid w:val="00876810"/>
    <w:rsid w:val="00882CF9"/>
    <w:rsid w:val="00883BB5"/>
    <w:rsid w:val="00890339"/>
    <w:rsid w:val="0089738C"/>
    <w:rsid w:val="008B65EE"/>
    <w:rsid w:val="008C0782"/>
    <w:rsid w:val="008C22D3"/>
    <w:rsid w:val="008C258A"/>
    <w:rsid w:val="008C6F9E"/>
    <w:rsid w:val="008D041F"/>
    <w:rsid w:val="008D6FD4"/>
    <w:rsid w:val="008E077F"/>
    <w:rsid w:val="008E7D97"/>
    <w:rsid w:val="008F03F5"/>
    <w:rsid w:val="008F633F"/>
    <w:rsid w:val="009062E7"/>
    <w:rsid w:val="00930862"/>
    <w:rsid w:val="009356A3"/>
    <w:rsid w:val="00946E14"/>
    <w:rsid w:val="00955515"/>
    <w:rsid w:val="0096711C"/>
    <w:rsid w:val="00982D5E"/>
    <w:rsid w:val="009A3A50"/>
    <w:rsid w:val="009B2CC6"/>
    <w:rsid w:val="009D3354"/>
    <w:rsid w:val="009E434D"/>
    <w:rsid w:val="009F1830"/>
    <w:rsid w:val="009F1C4B"/>
    <w:rsid w:val="009F72A1"/>
    <w:rsid w:val="00A00DC5"/>
    <w:rsid w:val="00A07865"/>
    <w:rsid w:val="00A07B60"/>
    <w:rsid w:val="00A07DDD"/>
    <w:rsid w:val="00A10BD9"/>
    <w:rsid w:val="00A14AF3"/>
    <w:rsid w:val="00A22D9C"/>
    <w:rsid w:val="00A23F46"/>
    <w:rsid w:val="00A37544"/>
    <w:rsid w:val="00A37E71"/>
    <w:rsid w:val="00A402ED"/>
    <w:rsid w:val="00A41CC8"/>
    <w:rsid w:val="00A427AC"/>
    <w:rsid w:val="00A44D00"/>
    <w:rsid w:val="00A46561"/>
    <w:rsid w:val="00A50404"/>
    <w:rsid w:val="00A56232"/>
    <w:rsid w:val="00A97DFF"/>
    <w:rsid w:val="00AB43D7"/>
    <w:rsid w:val="00AD74B1"/>
    <w:rsid w:val="00AE0270"/>
    <w:rsid w:val="00B207AC"/>
    <w:rsid w:val="00B228F1"/>
    <w:rsid w:val="00B231B1"/>
    <w:rsid w:val="00B24540"/>
    <w:rsid w:val="00B25B93"/>
    <w:rsid w:val="00B321B4"/>
    <w:rsid w:val="00B50E38"/>
    <w:rsid w:val="00B56159"/>
    <w:rsid w:val="00B60B06"/>
    <w:rsid w:val="00B73D2C"/>
    <w:rsid w:val="00B80C4A"/>
    <w:rsid w:val="00B83072"/>
    <w:rsid w:val="00B84A4F"/>
    <w:rsid w:val="00B94237"/>
    <w:rsid w:val="00BA0462"/>
    <w:rsid w:val="00BA2207"/>
    <w:rsid w:val="00BA284C"/>
    <w:rsid w:val="00BA40F5"/>
    <w:rsid w:val="00BA51EE"/>
    <w:rsid w:val="00BB0E58"/>
    <w:rsid w:val="00BD58D1"/>
    <w:rsid w:val="00BE0B88"/>
    <w:rsid w:val="00BE2CA6"/>
    <w:rsid w:val="00BF07E7"/>
    <w:rsid w:val="00BF48D5"/>
    <w:rsid w:val="00C0579B"/>
    <w:rsid w:val="00C07FAC"/>
    <w:rsid w:val="00C14F0F"/>
    <w:rsid w:val="00C27268"/>
    <w:rsid w:val="00C372F6"/>
    <w:rsid w:val="00C52ADD"/>
    <w:rsid w:val="00C72B24"/>
    <w:rsid w:val="00C9342F"/>
    <w:rsid w:val="00CA0EFC"/>
    <w:rsid w:val="00CA663B"/>
    <w:rsid w:val="00CA6E2E"/>
    <w:rsid w:val="00CB17FD"/>
    <w:rsid w:val="00CB22AF"/>
    <w:rsid w:val="00CB327A"/>
    <w:rsid w:val="00CB7129"/>
    <w:rsid w:val="00CC1741"/>
    <w:rsid w:val="00CC4531"/>
    <w:rsid w:val="00CE348B"/>
    <w:rsid w:val="00CE4F5D"/>
    <w:rsid w:val="00CF258C"/>
    <w:rsid w:val="00CF2898"/>
    <w:rsid w:val="00CF4F5C"/>
    <w:rsid w:val="00D022E5"/>
    <w:rsid w:val="00D1225B"/>
    <w:rsid w:val="00D22CE8"/>
    <w:rsid w:val="00D23841"/>
    <w:rsid w:val="00D26522"/>
    <w:rsid w:val="00D2744A"/>
    <w:rsid w:val="00D44521"/>
    <w:rsid w:val="00D45968"/>
    <w:rsid w:val="00D466F1"/>
    <w:rsid w:val="00D823D4"/>
    <w:rsid w:val="00DA0A68"/>
    <w:rsid w:val="00DA4ACE"/>
    <w:rsid w:val="00DA576C"/>
    <w:rsid w:val="00DB2D57"/>
    <w:rsid w:val="00DB3CBF"/>
    <w:rsid w:val="00DB44A1"/>
    <w:rsid w:val="00DB59FE"/>
    <w:rsid w:val="00DB61DB"/>
    <w:rsid w:val="00DB7570"/>
    <w:rsid w:val="00DC7849"/>
    <w:rsid w:val="00DE7AF5"/>
    <w:rsid w:val="00DF163B"/>
    <w:rsid w:val="00E04D6D"/>
    <w:rsid w:val="00E1129D"/>
    <w:rsid w:val="00E13121"/>
    <w:rsid w:val="00E35445"/>
    <w:rsid w:val="00E42181"/>
    <w:rsid w:val="00E51F3B"/>
    <w:rsid w:val="00E5493C"/>
    <w:rsid w:val="00E54F9C"/>
    <w:rsid w:val="00E80B4A"/>
    <w:rsid w:val="00E82D2D"/>
    <w:rsid w:val="00E87367"/>
    <w:rsid w:val="00E90795"/>
    <w:rsid w:val="00E926E2"/>
    <w:rsid w:val="00E94B13"/>
    <w:rsid w:val="00EA70CC"/>
    <w:rsid w:val="00EA7F7A"/>
    <w:rsid w:val="00EE7AC4"/>
    <w:rsid w:val="00EF2CC4"/>
    <w:rsid w:val="00EF60EC"/>
    <w:rsid w:val="00EF6D5D"/>
    <w:rsid w:val="00F009D8"/>
    <w:rsid w:val="00F014A2"/>
    <w:rsid w:val="00F06B35"/>
    <w:rsid w:val="00F07896"/>
    <w:rsid w:val="00F1060F"/>
    <w:rsid w:val="00F1568B"/>
    <w:rsid w:val="00F16E63"/>
    <w:rsid w:val="00F20565"/>
    <w:rsid w:val="00F20E7B"/>
    <w:rsid w:val="00F25D5E"/>
    <w:rsid w:val="00F314D3"/>
    <w:rsid w:val="00F3603B"/>
    <w:rsid w:val="00F36206"/>
    <w:rsid w:val="00F45E3C"/>
    <w:rsid w:val="00F4698F"/>
    <w:rsid w:val="00F56F9A"/>
    <w:rsid w:val="00F77F48"/>
    <w:rsid w:val="00F85F87"/>
    <w:rsid w:val="00F91381"/>
    <w:rsid w:val="00F9221D"/>
    <w:rsid w:val="00F956D6"/>
    <w:rsid w:val="00F9579B"/>
    <w:rsid w:val="00F959F7"/>
    <w:rsid w:val="00F961C5"/>
    <w:rsid w:val="00FA03E2"/>
    <w:rsid w:val="00FA2790"/>
    <w:rsid w:val="00FA5806"/>
    <w:rsid w:val="00FB1DBA"/>
    <w:rsid w:val="00FB27C5"/>
    <w:rsid w:val="00FB3415"/>
    <w:rsid w:val="00FB508C"/>
    <w:rsid w:val="00FC3AA9"/>
    <w:rsid w:val="00FC4372"/>
    <w:rsid w:val="00FC4664"/>
    <w:rsid w:val="00FE560D"/>
    <w:rsid w:val="00FE7AC8"/>
    <w:rsid w:val="00FF2CB8"/>
    <w:rsid w:val="00FF323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5D7C"/>
    <w:pPr>
      <w:spacing w:after="0" w:line="240" w:lineRule="auto"/>
    </w:pPr>
    <w:rPr>
      <w:rFonts w:ascii="Times New Roman" w:eastAsia="Times New Roman" w:hAnsi="Times New Roman" w:cs="Times New Roman"/>
      <w:color w:val="000000"/>
      <w:sz w:val="2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45D7C"/>
    <w:pPr>
      <w:spacing w:after="0" w:line="240" w:lineRule="auto"/>
    </w:pPr>
  </w:style>
  <w:style w:type="character" w:styleId="PlaceholderText">
    <w:name w:val="Placeholder Text"/>
    <w:basedOn w:val="DefaultParagraphFont"/>
    <w:uiPriority w:val="99"/>
    <w:semiHidden/>
    <w:rsid w:val="003C341D"/>
    <w:rPr>
      <w:color w:val="808080"/>
    </w:rPr>
  </w:style>
  <w:style w:type="paragraph" w:styleId="BalloonText">
    <w:name w:val="Balloon Text"/>
    <w:basedOn w:val="Normal"/>
    <w:link w:val="BalloonTextChar"/>
    <w:uiPriority w:val="99"/>
    <w:semiHidden/>
    <w:unhideWhenUsed/>
    <w:rsid w:val="003C341D"/>
    <w:rPr>
      <w:rFonts w:ascii="Tahoma" w:hAnsi="Tahoma" w:cs="Tahoma"/>
      <w:sz w:val="16"/>
      <w:szCs w:val="16"/>
    </w:rPr>
  </w:style>
  <w:style w:type="character" w:customStyle="1" w:styleId="BalloonTextChar">
    <w:name w:val="Balloon Text Char"/>
    <w:basedOn w:val="DefaultParagraphFont"/>
    <w:link w:val="BalloonText"/>
    <w:uiPriority w:val="99"/>
    <w:semiHidden/>
    <w:rsid w:val="003C341D"/>
    <w:rPr>
      <w:rFonts w:ascii="Tahoma" w:eastAsia="Times New Roman" w:hAnsi="Tahoma" w:cs="Tahoma"/>
      <w:color w:val="000000"/>
      <w:sz w:val="16"/>
      <w:szCs w:val="16"/>
    </w:rPr>
  </w:style>
  <w:style w:type="paragraph" w:customStyle="1" w:styleId="Style">
    <w:name w:val="Style"/>
    <w:rsid w:val="00674502"/>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5140E0"/>
    <w:pPr>
      <w:tabs>
        <w:tab w:val="center" w:pos="4680"/>
        <w:tab w:val="right" w:pos="9360"/>
      </w:tabs>
    </w:pPr>
  </w:style>
  <w:style w:type="character" w:customStyle="1" w:styleId="HeaderChar">
    <w:name w:val="Header Char"/>
    <w:basedOn w:val="DefaultParagraphFont"/>
    <w:link w:val="Header"/>
    <w:uiPriority w:val="99"/>
    <w:semiHidden/>
    <w:rsid w:val="005140E0"/>
    <w:rPr>
      <w:rFonts w:ascii="Times New Roman" w:eastAsia="Times New Roman" w:hAnsi="Times New Roman" w:cs="Times New Roman"/>
      <w:color w:val="000000"/>
      <w:sz w:val="26"/>
      <w:szCs w:val="20"/>
    </w:rPr>
  </w:style>
  <w:style w:type="paragraph" w:styleId="Footer">
    <w:name w:val="footer"/>
    <w:basedOn w:val="Normal"/>
    <w:link w:val="FooterChar"/>
    <w:uiPriority w:val="99"/>
    <w:unhideWhenUsed/>
    <w:rsid w:val="005140E0"/>
    <w:pPr>
      <w:tabs>
        <w:tab w:val="center" w:pos="4680"/>
        <w:tab w:val="right" w:pos="9360"/>
      </w:tabs>
    </w:pPr>
  </w:style>
  <w:style w:type="character" w:customStyle="1" w:styleId="FooterChar">
    <w:name w:val="Footer Char"/>
    <w:basedOn w:val="DefaultParagraphFont"/>
    <w:link w:val="Footer"/>
    <w:uiPriority w:val="99"/>
    <w:rsid w:val="005140E0"/>
    <w:rPr>
      <w:rFonts w:ascii="Times New Roman" w:eastAsia="Times New Roman" w:hAnsi="Times New Roman" w:cs="Times New Roman"/>
      <w:color w:val="000000"/>
      <w:sz w:val="26"/>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976</Words>
  <Characters>5565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6528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debuckley</dc:creator>
  <cp:keywords/>
  <dc:description/>
  <cp:lastModifiedBy>astout</cp:lastModifiedBy>
  <cp:revision>2</cp:revision>
  <cp:lastPrinted>2011-02-04T15:54:00Z</cp:lastPrinted>
  <dcterms:created xsi:type="dcterms:W3CDTF">2011-05-24T17:35:00Z</dcterms:created>
  <dcterms:modified xsi:type="dcterms:W3CDTF">2011-05-24T17:35:00Z</dcterms:modified>
</cp:coreProperties>
</file>