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971855">
        <w:trPr>
          <w:trHeight w:val="990"/>
        </w:trPr>
        <w:tc>
          <w:tcPr>
            <w:tcW w:w="1363" w:type="dxa"/>
          </w:tcPr>
          <w:p w:rsidR="00971855" w:rsidRDefault="00FB6CF5">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971855" w:rsidRDefault="00971855">
            <w:pPr>
              <w:suppressAutoHyphens/>
              <w:spacing w:line="204" w:lineRule="auto"/>
              <w:jc w:val="center"/>
              <w:rPr>
                <w:rFonts w:ascii="Arial" w:hAnsi="Arial"/>
                <w:color w:val="000080"/>
                <w:spacing w:val="-3"/>
                <w:sz w:val="26"/>
              </w:rPr>
            </w:pPr>
          </w:p>
          <w:p w:rsidR="00971855" w:rsidRDefault="00971855">
            <w:pPr>
              <w:suppressAutoHyphens/>
              <w:spacing w:line="204" w:lineRule="auto"/>
              <w:jc w:val="center"/>
              <w:rPr>
                <w:rFonts w:ascii="Arial" w:hAnsi="Arial"/>
                <w:color w:val="000080"/>
                <w:spacing w:val="-3"/>
                <w:sz w:val="26"/>
              </w:rPr>
            </w:pPr>
            <w:smartTag w:uri="urn:schemas-microsoft-com:office:smarttags" w:element="PlaceType">
              <w:smartTag w:uri="urn:schemas-microsoft-com:office:smarttags" w:element="plac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71855" w:rsidRDefault="0097185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71855" w:rsidRDefault="0097185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PostalCode">
                <w:smartTag w:uri="urn:schemas-microsoft-com:office:smarttags" w:element="PostalCode">
                  <w:smartTag w:uri="urn:schemas-microsoft-com:office:smarttags" w:element="Street">
                    <w:r>
                      <w:rPr>
                        <w:rFonts w:ascii="Arial" w:hAnsi="Arial"/>
                        <w:color w:val="000080"/>
                        <w:spacing w:val="-3"/>
                        <w:sz w:val="26"/>
                      </w:rPr>
                      <w:t>BOX 3265</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smartTag>
          </w:p>
        </w:tc>
        <w:tc>
          <w:tcPr>
            <w:tcW w:w="1440" w:type="dxa"/>
          </w:tcPr>
          <w:p w:rsidR="00971855" w:rsidRDefault="00971855">
            <w:pPr>
              <w:rPr>
                <w:rFonts w:ascii="Arial" w:hAnsi="Arial"/>
                <w:sz w:val="12"/>
              </w:rPr>
            </w:pPr>
          </w:p>
          <w:p w:rsidR="00971855" w:rsidRDefault="00971855">
            <w:pPr>
              <w:rPr>
                <w:rFonts w:ascii="Arial" w:hAnsi="Arial"/>
                <w:sz w:val="12"/>
              </w:rPr>
            </w:pPr>
          </w:p>
          <w:p w:rsidR="00971855" w:rsidRDefault="00971855">
            <w:pPr>
              <w:jc w:val="right"/>
              <w:rPr>
                <w:rFonts w:ascii="Arial" w:hAnsi="Arial"/>
                <w:b/>
                <w:spacing w:val="-1"/>
                <w:sz w:val="12"/>
              </w:rPr>
            </w:pPr>
            <w:r>
              <w:rPr>
                <w:rFonts w:ascii="Arial" w:hAnsi="Arial"/>
                <w:b/>
                <w:spacing w:val="-1"/>
                <w:sz w:val="12"/>
              </w:rPr>
              <w:t>IN REPLY PLEASE REFER TO OUR FILE</w:t>
            </w:r>
          </w:p>
          <w:p w:rsidR="00971855" w:rsidRPr="0002706C" w:rsidRDefault="00971855">
            <w:pPr>
              <w:jc w:val="right"/>
              <w:rPr>
                <w:rFonts w:ascii="Arial" w:hAnsi="Arial"/>
                <w:sz w:val="16"/>
                <w:szCs w:val="16"/>
              </w:rPr>
            </w:pPr>
            <w:r w:rsidRPr="0002706C">
              <w:rPr>
                <w:rFonts w:ascii="Arial" w:hAnsi="Arial"/>
                <w:sz w:val="16"/>
                <w:szCs w:val="16"/>
              </w:rPr>
              <w:t>M-2008-2069887</w:t>
            </w:r>
          </w:p>
        </w:tc>
      </w:tr>
    </w:tbl>
    <w:p w:rsidR="00971855" w:rsidRDefault="00971855">
      <w:pPr>
        <w:rPr>
          <w:sz w:val="24"/>
        </w:rPr>
        <w:sectPr w:rsidR="00971855" w:rsidSect="009E40EC">
          <w:footerReference w:type="even" r:id="rId9"/>
          <w:footerReference w:type="default" r:id="rId10"/>
          <w:pgSz w:w="12240" w:h="15840"/>
          <w:pgMar w:top="504" w:right="1440" w:bottom="1440" w:left="1440" w:header="720" w:footer="720" w:gutter="0"/>
          <w:cols w:space="720"/>
          <w:titlePg/>
        </w:sectPr>
      </w:pPr>
    </w:p>
    <w:p w:rsidR="00971855" w:rsidRPr="009E40EC" w:rsidRDefault="005B68B1" w:rsidP="00FA0E37">
      <w:pPr>
        <w:jc w:val="center"/>
        <w:rPr>
          <w:b/>
          <w:sz w:val="26"/>
          <w:szCs w:val="26"/>
        </w:rPr>
      </w:pPr>
      <w:r>
        <w:rPr>
          <w:b/>
          <w:sz w:val="26"/>
          <w:szCs w:val="26"/>
        </w:rPr>
        <w:lastRenderedPageBreak/>
        <w:t>May 25, 2011</w:t>
      </w:r>
    </w:p>
    <w:p w:rsidR="00E00F41" w:rsidRDefault="00E00F41" w:rsidP="00BE4A72">
      <w:pPr>
        <w:rPr>
          <w:sz w:val="24"/>
          <w:szCs w:val="24"/>
        </w:rPr>
      </w:pPr>
    </w:p>
    <w:p w:rsidR="00E00F41" w:rsidRDefault="00E00F41" w:rsidP="00BE4A72">
      <w:pPr>
        <w:rPr>
          <w:sz w:val="24"/>
          <w:szCs w:val="24"/>
        </w:rPr>
      </w:pPr>
    </w:p>
    <w:p w:rsidR="00971855" w:rsidRPr="00E00F41" w:rsidRDefault="00971855" w:rsidP="00BE4A72">
      <w:pPr>
        <w:rPr>
          <w:sz w:val="24"/>
          <w:szCs w:val="24"/>
        </w:rPr>
      </w:pPr>
      <w:r w:rsidRPr="00E00F41">
        <w:rPr>
          <w:sz w:val="24"/>
          <w:szCs w:val="24"/>
        </w:rPr>
        <w:t>TO ALL INTERESTED PARTIES:</w:t>
      </w:r>
    </w:p>
    <w:p w:rsidR="00E00F41" w:rsidRPr="00E00F41" w:rsidRDefault="00E00F41" w:rsidP="00BE4A72">
      <w:pPr>
        <w:rPr>
          <w:sz w:val="24"/>
          <w:szCs w:val="24"/>
        </w:rPr>
      </w:pPr>
    </w:p>
    <w:p w:rsidR="00971855" w:rsidRPr="00E00F41" w:rsidRDefault="00971855" w:rsidP="009E40EC">
      <w:pPr>
        <w:rPr>
          <w:sz w:val="24"/>
          <w:szCs w:val="24"/>
        </w:rPr>
      </w:pPr>
      <w:r w:rsidRPr="00E00F41">
        <w:rPr>
          <w:sz w:val="24"/>
          <w:szCs w:val="24"/>
        </w:rPr>
        <w:tab/>
        <w:t>Re:</w:t>
      </w:r>
      <w:r w:rsidRPr="00E00F41">
        <w:rPr>
          <w:sz w:val="24"/>
          <w:szCs w:val="24"/>
        </w:rPr>
        <w:tab/>
        <w:t>Energy Efficiency and Conservation Program</w:t>
      </w:r>
    </w:p>
    <w:p w:rsidR="00971855" w:rsidRPr="00E00F41" w:rsidRDefault="00971855" w:rsidP="009E40EC">
      <w:pPr>
        <w:rPr>
          <w:sz w:val="24"/>
          <w:szCs w:val="24"/>
        </w:rPr>
      </w:pPr>
      <w:r w:rsidRPr="00E00F41">
        <w:rPr>
          <w:sz w:val="24"/>
          <w:szCs w:val="24"/>
        </w:rPr>
        <w:tab/>
      </w:r>
      <w:r w:rsidRPr="00E00F41">
        <w:rPr>
          <w:sz w:val="24"/>
          <w:szCs w:val="24"/>
        </w:rPr>
        <w:tab/>
        <w:t>Docket No. M</w:t>
      </w:r>
      <w:r w:rsidRPr="00E00F41">
        <w:rPr>
          <w:sz w:val="24"/>
          <w:szCs w:val="24"/>
        </w:rPr>
        <w:noBreakHyphen/>
        <w:t>2008</w:t>
      </w:r>
      <w:r w:rsidRPr="00E00F41">
        <w:rPr>
          <w:sz w:val="24"/>
          <w:szCs w:val="24"/>
        </w:rPr>
        <w:noBreakHyphen/>
        <w:t>2069887</w:t>
      </w:r>
    </w:p>
    <w:p w:rsidR="00971855" w:rsidRPr="00E00F41" w:rsidRDefault="00971855" w:rsidP="009E40EC">
      <w:pPr>
        <w:rPr>
          <w:sz w:val="24"/>
          <w:szCs w:val="24"/>
        </w:rPr>
      </w:pPr>
    </w:p>
    <w:p w:rsidR="00971855" w:rsidRPr="00E00F41" w:rsidRDefault="00971855" w:rsidP="00BE4A72">
      <w:pPr>
        <w:rPr>
          <w:sz w:val="24"/>
          <w:szCs w:val="24"/>
        </w:rPr>
      </w:pPr>
      <w:r w:rsidRPr="00E00F41">
        <w:rPr>
          <w:sz w:val="24"/>
          <w:szCs w:val="24"/>
        </w:rPr>
        <w:tab/>
        <w:t xml:space="preserve">In the </w:t>
      </w:r>
      <w:r w:rsidRPr="00E00F41">
        <w:rPr>
          <w:i/>
          <w:sz w:val="24"/>
          <w:szCs w:val="24"/>
        </w:rPr>
        <w:t>Implementation Order</w:t>
      </w:r>
      <w:r w:rsidRPr="00E00F41">
        <w:rPr>
          <w:sz w:val="24"/>
          <w:szCs w:val="24"/>
        </w:rPr>
        <w:t xml:space="preserve"> entered January 16, 2009, at the above</w:t>
      </w:r>
      <w:r w:rsidR="00297D9A">
        <w:rPr>
          <w:sz w:val="24"/>
          <w:szCs w:val="24"/>
        </w:rPr>
        <w:t>-</w:t>
      </w:r>
      <w:r w:rsidRPr="00E00F41">
        <w:rPr>
          <w:sz w:val="24"/>
          <w:szCs w:val="24"/>
        </w:rPr>
        <w:t xml:space="preserve">referenced docket number, the Pennsylvania Public Utility Commission (Commission) established standards and procedures for </w:t>
      </w:r>
      <w:r w:rsidR="00297D9A">
        <w:rPr>
          <w:sz w:val="24"/>
          <w:szCs w:val="24"/>
        </w:rPr>
        <w:t xml:space="preserve">the </w:t>
      </w:r>
      <w:r w:rsidRPr="00E00F41">
        <w:rPr>
          <w:sz w:val="24"/>
          <w:szCs w:val="24"/>
        </w:rPr>
        <w:t xml:space="preserve">submittal, review and approval of all aspects of electric distribution company (EDC) energy efficiency and conservation (EE&amp;C) plans, in accordance with Act 129 of 2008 (Act 129).  The Commission noted in the </w:t>
      </w:r>
      <w:r w:rsidRPr="00E00F41">
        <w:rPr>
          <w:i/>
          <w:sz w:val="24"/>
          <w:szCs w:val="24"/>
        </w:rPr>
        <w:t>Implementation Order</w:t>
      </w:r>
      <w:r w:rsidRPr="00E00F41">
        <w:rPr>
          <w:rStyle w:val="FootnoteReference"/>
          <w:sz w:val="24"/>
          <w:szCs w:val="24"/>
        </w:rPr>
        <w:footnoteReference w:id="1"/>
      </w:r>
      <w:r w:rsidRPr="00E00F41">
        <w:rPr>
          <w:sz w:val="24"/>
          <w:szCs w:val="24"/>
        </w:rPr>
        <w:t xml:space="preserve"> that Act 129 requires EDCs to submit annual reports documenting the effectiveness of their EE&amp;C plans, the measurement and verification of energy savings, the evaluation of the cost</w:t>
      </w:r>
      <w:r w:rsidRPr="00E00F41">
        <w:rPr>
          <w:sz w:val="24"/>
          <w:szCs w:val="24"/>
        </w:rPr>
        <w:noBreakHyphen/>
        <w:t>effectiveness of expenditures and any other information required by the Commission.</w:t>
      </w:r>
      <w:r w:rsidRPr="00E00F41">
        <w:rPr>
          <w:rStyle w:val="FootnoteReference"/>
          <w:sz w:val="24"/>
          <w:szCs w:val="24"/>
        </w:rPr>
        <w:footnoteReference w:id="2"/>
      </w:r>
      <w:r w:rsidRPr="00E00F41">
        <w:rPr>
          <w:sz w:val="24"/>
          <w:szCs w:val="24"/>
        </w:rPr>
        <w:t xml:space="preserve">  While the </w:t>
      </w:r>
      <w:r w:rsidRPr="00E00F41">
        <w:rPr>
          <w:i/>
          <w:sz w:val="24"/>
          <w:szCs w:val="24"/>
        </w:rPr>
        <w:t>Implementation Order</w:t>
      </w:r>
      <w:r w:rsidRPr="00E00F41">
        <w:rPr>
          <w:sz w:val="24"/>
          <w:szCs w:val="24"/>
        </w:rPr>
        <w:t xml:space="preserve"> did not clearly delineate when the annual reports were to be submitted, it did note that, as the first annual reports </w:t>
      </w:r>
      <w:r w:rsidR="00297D9A">
        <w:rPr>
          <w:sz w:val="24"/>
          <w:szCs w:val="24"/>
        </w:rPr>
        <w:t>were</w:t>
      </w:r>
      <w:r w:rsidR="00297D9A" w:rsidRPr="00E00F41">
        <w:rPr>
          <w:sz w:val="24"/>
          <w:szCs w:val="24"/>
        </w:rPr>
        <w:t xml:space="preserve"> </w:t>
      </w:r>
      <w:r w:rsidRPr="00E00F41">
        <w:rPr>
          <w:sz w:val="24"/>
          <w:szCs w:val="24"/>
        </w:rPr>
        <w:t>not due until 2010, the Commission would address the annual report filing requirements in a subsequent order.</w:t>
      </w:r>
      <w:r w:rsidRPr="00E00F41">
        <w:rPr>
          <w:rStyle w:val="FootnoteReference"/>
          <w:sz w:val="24"/>
          <w:szCs w:val="24"/>
        </w:rPr>
        <w:footnoteReference w:id="3"/>
      </w:r>
      <w:r w:rsidRPr="00E00F41">
        <w:rPr>
          <w:sz w:val="24"/>
          <w:szCs w:val="24"/>
        </w:rPr>
        <w:t xml:space="preserve">  </w:t>
      </w:r>
    </w:p>
    <w:p w:rsidR="00971855" w:rsidRPr="00E00F41" w:rsidRDefault="00971855" w:rsidP="00BE4A72">
      <w:pPr>
        <w:rPr>
          <w:sz w:val="24"/>
          <w:szCs w:val="24"/>
        </w:rPr>
      </w:pPr>
    </w:p>
    <w:p w:rsidR="00971855" w:rsidRPr="00E00F41" w:rsidRDefault="00971855" w:rsidP="00687F96">
      <w:pPr>
        <w:ind w:firstLine="720"/>
        <w:rPr>
          <w:sz w:val="24"/>
          <w:szCs w:val="24"/>
        </w:rPr>
      </w:pPr>
      <w:r w:rsidRPr="00E00F41">
        <w:rPr>
          <w:sz w:val="24"/>
          <w:szCs w:val="24"/>
        </w:rPr>
        <w:t xml:space="preserve">The Commission, by Secretarial Letter issued on June 24, 2010, provided guidance regarding the 2010 Act 129 annual reporting requirement.  Specifically, the Commission directed the EDCs to submit their 2010 Act 129 annual reports and any proposed EE&amp;C plan revisions by September 15, 2010.  In addition, the Commission reiterated the procedures for reviewing proposed EE&amp;C plan revisions as set forth in the </w:t>
      </w:r>
      <w:r w:rsidRPr="00E00F41">
        <w:rPr>
          <w:i/>
          <w:sz w:val="24"/>
          <w:szCs w:val="24"/>
        </w:rPr>
        <w:t>Implementation Order</w:t>
      </w:r>
      <w:r w:rsidRPr="00E00F41">
        <w:rPr>
          <w:sz w:val="24"/>
          <w:szCs w:val="24"/>
        </w:rPr>
        <w:t>.</w:t>
      </w:r>
      <w:r w:rsidRPr="00E00F41">
        <w:rPr>
          <w:rStyle w:val="FootnoteReference"/>
          <w:sz w:val="24"/>
          <w:szCs w:val="24"/>
        </w:rPr>
        <w:footnoteReference w:id="4"/>
      </w:r>
      <w:r w:rsidRPr="00E00F41">
        <w:rPr>
          <w:sz w:val="24"/>
          <w:szCs w:val="24"/>
        </w:rPr>
        <w:t xml:space="preserve">  Finally, the Commission stated that the directives in the June 24, 2010 Secretarial Letter only applied to the Act 129annual reporting requirement</w:t>
      </w:r>
      <w:r w:rsidR="00297D9A">
        <w:rPr>
          <w:sz w:val="24"/>
          <w:szCs w:val="24"/>
        </w:rPr>
        <w:t xml:space="preserve"> for 2010</w:t>
      </w:r>
      <w:r w:rsidRPr="00E00F41">
        <w:rPr>
          <w:sz w:val="24"/>
          <w:szCs w:val="24"/>
        </w:rPr>
        <w:t>.  By this Secretarial Letter, the Commission is providing additional guidance to EDCs regarding future Act 129 annual reporting requirements, as well as guidance on quarterly reporting requirements.</w:t>
      </w:r>
    </w:p>
    <w:p w:rsidR="00971855" w:rsidRPr="00E00F41" w:rsidRDefault="00971855" w:rsidP="00BE4A72">
      <w:pPr>
        <w:rPr>
          <w:sz w:val="24"/>
          <w:szCs w:val="24"/>
        </w:rPr>
      </w:pPr>
    </w:p>
    <w:p w:rsidR="00971855" w:rsidRPr="00E00F41" w:rsidRDefault="00971855" w:rsidP="00BE4A72">
      <w:pPr>
        <w:rPr>
          <w:sz w:val="24"/>
          <w:szCs w:val="24"/>
        </w:rPr>
      </w:pPr>
      <w:r w:rsidRPr="00E00F41">
        <w:rPr>
          <w:sz w:val="24"/>
          <w:szCs w:val="24"/>
        </w:rPr>
        <w:tab/>
        <w:t>For the remainder of the current Act 129 program period,</w:t>
      </w:r>
      <w:r w:rsidRPr="00E00F41">
        <w:rPr>
          <w:rStyle w:val="FootnoteReference"/>
          <w:sz w:val="24"/>
          <w:szCs w:val="24"/>
        </w:rPr>
        <w:footnoteReference w:id="5"/>
      </w:r>
      <w:r w:rsidRPr="00E00F41">
        <w:rPr>
          <w:sz w:val="24"/>
          <w:szCs w:val="24"/>
        </w:rPr>
        <w:t xml:space="preserve"> the Commission directs the EDCs to submit two Act 129 annual reports per program year.  The first annual report, due July 15, will be a preliminary report.  The preliminary report will provide each EDC’s reported savings for its EE&amp;C portfolio for that program year.  The reported savings will be based on tracking system estimates and will be for projects installed and commercially operable as of May 31 of the reporting year.  By submitting a preliminary annual report on July 15, the EDCs will be providing the Commission with an initial look at savings information so the Commission can begin its work in determining compliance with Act 129 EE&amp;C goals.  </w:t>
      </w:r>
    </w:p>
    <w:p w:rsidR="00971855" w:rsidRPr="00E00F41" w:rsidRDefault="00971855" w:rsidP="00BE4A72">
      <w:pPr>
        <w:rPr>
          <w:sz w:val="24"/>
          <w:szCs w:val="24"/>
        </w:rPr>
      </w:pPr>
    </w:p>
    <w:p w:rsidR="00971855" w:rsidRPr="00E00F41" w:rsidRDefault="00971855">
      <w:pPr>
        <w:ind w:firstLine="720"/>
        <w:rPr>
          <w:sz w:val="24"/>
          <w:szCs w:val="24"/>
        </w:rPr>
      </w:pPr>
      <w:r w:rsidRPr="00E00F41">
        <w:rPr>
          <w:sz w:val="24"/>
          <w:szCs w:val="24"/>
        </w:rPr>
        <w:lastRenderedPageBreak/>
        <w:t>The Commission recognizes that collecting verified savings data takes a significant amount of time.  Therefore, the second report, a final annual report, will be due November 15 of each year.  The final annual report will provide verified savings for the EDC’s EE&amp;C portfolio for that program year, the cost-effectiveness evaluation (Total Resource Cost Test), the process evaluation</w:t>
      </w:r>
      <w:r w:rsidR="005A4A50" w:rsidRPr="00E00F41">
        <w:rPr>
          <w:sz w:val="24"/>
          <w:szCs w:val="24"/>
        </w:rPr>
        <w:t>, as well as items required by Act 129</w:t>
      </w:r>
      <w:r w:rsidR="005A4A50" w:rsidRPr="00E00F41">
        <w:rPr>
          <w:rStyle w:val="FootnoteReference"/>
          <w:sz w:val="24"/>
          <w:szCs w:val="24"/>
        </w:rPr>
        <w:footnoteReference w:id="6"/>
      </w:r>
      <w:r w:rsidR="005A4A50" w:rsidRPr="00E00F41">
        <w:rPr>
          <w:sz w:val="24"/>
          <w:szCs w:val="24"/>
        </w:rPr>
        <w:t xml:space="preserve"> and Commission Orders</w:t>
      </w:r>
      <w:r w:rsidRPr="00E00F41">
        <w:rPr>
          <w:sz w:val="24"/>
          <w:szCs w:val="24"/>
        </w:rPr>
        <w:t xml:space="preserve">.  The Commission believes that the November 15 submission deadline will allow EDCs adequate time to compile, verify and analyze the data necessary to determine the effectiveness of </w:t>
      </w:r>
      <w:r w:rsidR="007C3C8E">
        <w:rPr>
          <w:sz w:val="24"/>
          <w:szCs w:val="24"/>
        </w:rPr>
        <w:t xml:space="preserve">their </w:t>
      </w:r>
      <w:r w:rsidRPr="00E00F41">
        <w:rPr>
          <w:sz w:val="24"/>
          <w:szCs w:val="24"/>
        </w:rPr>
        <w:t>EE&amp;C plan</w:t>
      </w:r>
      <w:r w:rsidR="007C3C8E">
        <w:rPr>
          <w:sz w:val="24"/>
          <w:szCs w:val="24"/>
        </w:rPr>
        <w:t>s</w:t>
      </w:r>
      <w:r w:rsidRPr="00E00F41">
        <w:rPr>
          <w:sz w:val="24"/>
          <w:szCs w:val="24"/>
        </w:rPr>
        <w:t>, to verify energy savings, to collect all necessary documentation and to evaluate the cost</w:t>
      </w:r>
      <w:r w:rsidRPr="00E00F41">
        <w:rPr>
          <w:sz w:val="24"/>
          <w:szCs w:val="24"/>
        </w:rPr>
        <w:noBreakHyphen/>
        <w:t xml:space="preserve">effectiveness of plan expenditures.  </w:t>
      </w:r>
    </w:p>
    <w:p w:rsidR="00971855" w:rsidRPr="00E00F41" w:rsidRDefault="00971855" w:rsidP="00BE4A72">
      <w:pPr>
        <w:rPr>
          <w:sz w:val="24"/>
          <w:szCs w:val="24"/>
        </w:rPr>
      </w:pPr>
    </w:p>
    <w:p w:rsidR="00971855" w:rsidRPr="00E00F41" w:rsidRDefault="00971855" w:rsidP="00232B5D">
      <w:pPr>
        <w:rPr>
          <w:sz w:val="24"/>
          <w:szCs w:val="24"/>
        </w:rPr>
      </w:pPr>
      <w:r w:rsidRPr="00E00F41">
        <w:rPr>
          <w:sz w:val="24"/>
          <w:szCs w:val="24"/>
        </w:rPr>
        <w:tab/>
        <w:t xml:space="preserve">In addition to the annual reports, the Commission directs the EDCs to file quarterly reports for the first three quarters of each reporting year.  A copy of these reports shall also be provided to the Act 129 Statewide Evaluator (GDS Associates, Inc.).  These reports will be due </w:t>
      </w:r>
      <w:r w:rsidR="007C3C8E">
        <w:rPr>
          <w:sz w:val="24"/>
          <w:szCs w:val="24"/>
        </w:rPr>
        <w:t>45</w:t>
      </w:r>
      <w:r w:rsidRPr="00E00F41">
        <w:rPr>
          <w:sz w:val="24"/>
          <w:szCs w:val="24"/>
        </w:rPr>
        <w:t xml:space="preserve"> calendar days from the end of the respective quarter.</w:t>
      </w:r>
      <w:r w:rsidR="009E486D">
        <w:rPr>
          <w:rStyle w:val="FootnoteReference"/>
          <w:sz w:val="24"/>
          <w:szCs w:val="24"/>
        </w:rPr>
        <w:footnoteReference w:id="7"/>
      </w:r>
      <w:r w:rsidRPr="00E00F41">
        <w:rPr>
          <w:sz w:val="24"/>
          <w:szCs w:val="24"/>
        </w:rPr>
        <w:t xml:space="preserve">  Due to the preliminary annual report’s deadline of July 15, the Commission directs that fourth quarter reporting information be included in the preliminary annual report.  </w:t>
      </w:r>
    </w:p>
    <w:p w:rsidR="00971855" w:rsidRPr="00E00F41" w:rsidRDefault="00971855" w:rsidP="00232B5D">
      <w:pPr>
        <w:rPr>
          <w:sz w:val="24"/>
          <w:szCs w:val="24"/>
        </w:rPr>
      </w:pPr>
    </w:p>
    <w:p w:rsidR="00971855" w:rsidRPr="00E00F41" w:rsidRDefault="00971855" w:rsidP="00232B5D">
      <w:pPr>
        <w:rPr>
          <w:sz w:val="24"/>
          <w:szCs w:val="24"/>
        </w:rPr>
      </w:pPr>
      <w:r w:rsidRPr="00E00F41">
        <w:rPr>
          <w:sz w:val="24"/>
          <w:szCs w:val="24"/>
        </w:rPr>
        <w:tab/>
        <w:t>The preliminary annual reports, final annual reports and quarterly reports shall be filed with the Commission’s Secretary and the Act 129 Statewide Evaluator within the time</w:t>
      </w:r>
      <w:r w:rsidR="007C3C8E">
        <w:rPr>
          <w:sz w:val="24"/>
          <w:szCs w:val="24"/>
        </w:rPr>
        <w:t xml:space="preserve"> </w:t>
      </w:r>
      <w:r w:rsidRPr="00E00F41">
        <w:rPr>
          <w:sz w:val="24"/>
          <w:szCs w:val="24"/>
        </w:rPr>
        <w:t>lines outlined above.  The Commission directs the EDCs to post all reports on their websites.  The Commission will also post these reports on its website for public access.</w:t>
      </w:r>
      <w:r w:rsidRPr="00E00F41">
        <w:rPr>
          <w:rStyle w:val="FootnoteReference"/>
          <w:sz w:val="24"/>
          <w:szCs w:val="24"/>
        </w:rPr>
        <w:footnoteReference w:id="8"/>
      </w:r>
    </w:p>
    <w:p w:rsidR="00971855" w:rsidRPr="00E00F41" w:rsidRDefault="00971855" w:rsidP="00BE4A72">
      <w:pPr>
        <w:rPr>
          <w:sz w:val="24"/>
          <w:szCs w:val="24"/>
        </w:rPr>
      </w:pPr>
      <w:r w:rsidRPr="00E00F41">
        <w:rPr>
          <w:sz w:val="24"/>
          <w:szCs w:val="24"/>
        </w:rPr>
        <w:tab/>
      </w:r>
    </w:p>
    <w:p w:rsidR="00E00F41" w:rsidRDefault="00E00F41" w:rsidP="00BE4A72">
      <w:pPr>
        <w:ind w:left="3600"/>
        <w:rPr>
          <w:sz w:val="24"/>
          <w:szCs w:val="24"/>
        </w:rPr>
      </w:pPr>
    </w:p>
    <w:p w:rsidR="00E00F41" w:rsidRDefault="005B68B1" w:rsidP="00BE4A72">
      <w:pPr>
        <w:ind w:left="3600"/>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2181225</wp:posOffset>
            </wp:positionH>
            <wp:positionV relativeFrom="paragraph">
              <wp:posOffset>17780</wp:posOffset>
            </wp:positionV>
            <wp:extent cx="2200275" cy="838200"/>
            <wp:effectExtent l="19050" t="0" r="9525" b="0"/>
            <wp:wrapNone/>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971855" w:rsidRPr="00E00F41" w:rsidRDefault="00971855" w:rsidP="00BE4A72">
      <w:pPr>
        <w:ind w:left="3600"/>
        <w:rPr>
          <w:sz w:val="24"/>
          <w:szCs w:val="24"/>
        </w:rPr>
      </w:pPr>
      <w:r w:rsidRPr="00E00F41">
        <w:rPr>
          <w:sz w:val="24"/>
          <w:szCs w:val="24"/>
        </w:rPr>
        <w:tab/>
        <w:t>Sincerely,</w:t>
      </w:r>
    </w:p>
    <w:p w:rsidR="00971855" w:rsidRPr="00E00F41" w:rsidRDefault="00971855" w:rsidP="00BE4A72">
      <w:pPr>
        <w:ind w:left="3600"/>
        <w:rPr>
          <w:sz w:val="24"/>
          <w:szCs w:val="24"/>
        </w:rPr>
      </w:pPr>
    </w:p>
    <w:p w:rsidR="00971855" w:rsidRPr="00E00F41" w:rsidRDefault="00971855" w:rsidP="00BE4A72">
      <w:pPr>
        <w:ind w:left="3600"/>
        <w:rPr>
          <w:sz w:val="24"/>
          <w:szCs w:val="24"/>
        </w:rPr>
      </w:pPr>
    </w:p>
    <w:p w:rsidR="00971855" w:rsidRPr="00E00F41" w:rsidRDefault="00971855" w:rsidP="005C6561">
      <w:pPr>
        <w:ind w:left="2880" w:firstLine="720"/>
        <w:jc w:val="both"/>
        <w:rPr>
          <w:color w:val="000000"/>
          <w:sz w:val="24"/>
          <w:szCs w:val="24"/>
        </w:rPr>
      </w:pPr>
      <w:r w:rsidRPr="00E00F41">
        <w:rPr>
          <w:sz w:val="24"/>
          <w:szCs w:val="24"/>
        </w:rPr>
        <w:tab/>
      </w:r>
      <w:r w:rsidRPr="00E00F41">
        <w:rPr>
          <w:color w:val="000000"/>
          <w:sz w:val="24"/>
          <w:szCs w:val="24"/>
        </w:rPr>
        <w:t xml:space="preserve">Rosemary Chiavetta </w:t>
      </w:r>
    </w:p>
    <w:p w:rsidR="00E00F41" w:rsidRDefault="00971855" w:rsidP="005C6561">
      <w:pPr>
        <w:jc w:val="both"/>
        <w:rPr>
          <w:sz w:val="24"/>
          <w:szCs w:val="24"/>
        </w:rPr>
      </w:pPr>
      <w:r w:rsidRPr="00E00F41">
        <w:rPr>
          <w:sz w:val="24"/>
          <w:szCs w:val="24"/>
        </w:rPr>
        <w:tab/>
      </w:r>
      <w:r w:rsidRPr="00E00F41">
        <w:rPr>
          <w:sz w:val="24"/>
          <w:szCs w:val="24"/>
        </w:rPr>
        <w:tab/>
      </w:r>
      <w:r w:rsidRPr="00E00F41">
        <w:rPr>
          <w:sz w:val="24"/>
          <w:szCs w:val="24"/>
        </w:rPr>
        <w:tab/>
      </w:r>
      <w:r w:rsidRPr="00E00F41">
        <w:rPr>
          <w:sz w:val="24"/>
          <w:szCs w:val="24"/>
        </w:rPr>
        <w:tab/>
      </w:r>
      <w:r w:rsidRPr="00E00F41">
        <w:rPr>
          <w:sz w:val="24"/>
          <w:szCs w:val="24"/>
        </w:rPr>
        <w:tab/>
      </w:r>
      <w:r w:rsidRPr="00E00F41">
        <w:rPr>
          <w:sz w:val="24"/>
          <w:szCs w:val="24"/>
        </w:rPr>
        <w:tab/>
        <w:t>Secretary</w:t>
      </w:r>
      <w:r w:rsidRPr="00E00F41">
        <w:rPr>
          <w:sz w:val="24"/>
          <w:szCs w:val="24"/>
        </w:rPr>
        <w:tab/>
      </w:r>
      <w:r w:rsidRPr="00E00F41">
        <w:rPr>
          <w:sz w:val="24"/>
          <w:szCs w:val="24"/>
        </w:rPr>
        <w:tab/>
      </w:r>
      <w:r w:rsidRPr="00E00F41">
        <w:rPr>
          <w:sz w:val="24"/>
          <w:szCs w:val="24"/>
        </w:rPr>
        <w:tab/>
      </w:r>
      <w:r w:rsidRPr="00E00F41">
        <w:rPr>
          <w:sz w:val="24"/>
          <w:szCs w:val="24"/>
        </w:rPr>
        <w:tab/>
      </w:r>
      <w:r w:rsidRPr="00E00F41">
        <w:rPr>
          <w:sz w:val="24"/>
          <w:szCs w:val="24"/>
        </w:rPr>
        <w:tab/>
      </w:r>
      <w:r w:rsidRPr="00E00F41">
        <w:rPr>
          <w:sz w:val="24"/>
          <w:szCs w:val="24"/>
        </w:rPr>
        <w:tab/>
      </w:r>
    </w:p>
    <w:p w:rsidR="00E00F41" w:rsidRDefault="00E00F41" w:rsidP="005C6561">
      <w:pPr>
        <w:jc w:val="both"/>
        <w:rPr>
          <w:sz w:val="24"/>
          <w:szCs w:val="24"/>
        </w:rPr>
      </w:pPr>
    </w:p>
    <w:p w:rsidR="00E00F41" w:rsidRDefault="00E00F41" w:rsidP="005C6561">
      <w:pPr>
        <w:jc w:val="both"/>
        <w:rPr>
          <w:sz w:val="24"/>
          <w:szCs w:val="24"/>
        </w:rPr>
      </w:pPr>
    </w:p>
    <w:p w:rsidR="00971855" w:rsidRPr="00E00F41" w:rsidRDefault="00971855" w:rsidP="005C6561">
      <w:pPr>
        <w:jc w:val="both"/>
        <w:rPr>
          <w:sz w:val="24"/>
          <w:szCs w:val="24"/>
        </w:rPr>
      </w:pPr>
      <w:r w:rsidRPr="00E00F41">
        <w:rPr>
          <w:sz w:val="24"/>
          <w:szCs w:val="24"/>
        </w:rPr>
        <w:tab/>
      </w:r>
    </w:p>
    <w:p w:rsidR="00971855" w:rsidRPr="00E00F41" w:rsidRDefault="00971855" w:rsidP="005C6561">
      <w:pPr>
        <w:jc w:val="both"/>
        <w:rPr>
          <w:sz w:val="24"/>
          <w:szCs w:val="24"/>
        </w:rPr>
      </w:pPr>
      <w:r w:rsidRPr="00E00F41">
        <w:rPr>
          <w:sz w:val="24"/>
          <w:szCs w:val="24"/>
        </w:rPr>
        <w:t>cc:</w:t>
      </w:r>
      <w:r w:rsidRPr="00E00F41">
        <w:rPr>
          <w:sz w:val="24"/>
          <w:szCs w:val="24"/>
        </w:rPr>
        <w:tab/>
        <w:t>Chairman’s Office</w:t>
      </w:r>
    </w:p>
    <w:p w:rsidR="00971855" w:rsidRPr="00E00F41" w:rsidRDefault="00971855" w:rsidP="005C6561">
      <w:pPr>
        <w:jc w:val="both"/>
        <w:rPr>
          <w:sz w:val="24"/>
          <w:szCs w:val="24"/>
        </w:rPr>
      </w:pPr>
      <w:r w:rsidRPr="00E00F41">
        <w:rPr>
          <w:sz w:val="24"/>
          <w:szCs w:val="24"/>
        </w:rPr>
        <w:tab/>
        <w:t>Vice Chairman’s Office</w:t>
      </w:r>
    </w:p>
    <w:p w:rsidR="00971855" w:rsidRPr="00E00F41" w:rsidRDefault="00971855" w:rsidP="005C6561">
      <w:pPr>
        <w:jc w:val="both"/>
        <w:rPr>
          <w:sz w:val="24"/>
          <w:szCs w:val="24"/>
        </w:rPr>
      </w:pPr>
      <w:r w:rsidRPr="00E00F41">
        <w:rPr>
          <w:sz w:val="24"/>
          <w:szCs w:val="24"/>
        </w:rPr>
        <w:tab/>
        <w:t>Commissioners’ Office</w:t>
      </w:r>
    </w:p>
    <w:p w:rsidR="00971855" w:rsidRPr="00E00F41" w:rsidRDefault="00971855" w:rsidP="005C6561">
      <w:pPr>
        <w:jc w:val="both"/>
        <w:rPr>
          <w:sz w:val="24"/>
          <w:szCs w:val="24"/>
        </w:rPr>
      </w:pPr>
      <w:r w:rsidRPr="00E00F41">
        <w:rPr>
          <w:sz w:val="24"/>
          <w:szCs w:val="24"/>
        </w:rPr>
        <w:tab/>
        <w:t>Karen Oill Moury, Director of Operations</w:t>
      </w:r>
    </w:p>
    <w:p w:rsidR="00971855" w:rsidRPr="00E00F41" w:rsidRDefault="00971855" w:rsidP="005C6561">
      <w:pPr>
        <w:jc w:val="both"/>
        <w:rPr>
          <w:sz w:val="24"/>
          <w:szCs w:val="24"/>
        </w:rPr>
      </w:pPr>
      <w:r w:rsidRPr="00E00F41">
        <w:rPr>
          <w:sz w:val="24"/>
          <w:szCs w:val="24"/>
        </w:rPr>
        <w:tab/>
        <w:t>Bohdan R. Pankiw, Chief Counsel</w:t>
      </w:r>
    </w:p>
    <w:p w:rsidR="00971855" w:rsidRPr="00E00F41" w:rsidRDefault="00971855" w:rsidP="005C6561">
      <w:pPr>
        <w:jc w:val="both"/>
        <w:rPr>
          <w:sz w:val="24"/>
          <w:szCs w:val="24"/>
        </w:rPr>
      </w:pPr>
      <w:r w:rsidRPr="00E00F41">
        <w:rPr>
          <w:sz w:val="24"/>
          <w:szCs w:val="24"/>
        </w:rPr>
        <w:tab/>
        <w:t>Robert F. Young, Deputy Chief Counsel</w:t>
      </w:r>
    </w:p>
    <w:p w:rsidR="00971855" w:rsidRPr="00E00F41" w:rsidRDefault="00971855" w:rsidP="00B644AB">
      <w:pPr>
        <w:jc w:val="both"/>
        <w:rPr>
          <w:sz w:val="24"/>
          <w:szCs w:val="24"/>
        </w:rPr>
      </w:pPr>
      <w:r w:rsidRPr="00E00F41">
        <w:rPr>
          <w:sz w:val="24"/>
          <w:szCs w:val="24"/>
        </w:rPr>
        <w:tab/>
        <w:t xml:space="preserve">Wayne L. Williams, Director, </w:t>
      </w:r>
      <w:r w:rsidR="00FF42D2">
        <w:rPr>
          <w:sz w:val="24"/>
          <w:szCs w:val="24"/>
        </w:rPr>
        <w:t xml:space="preserve">Bureau of </w:t>
      </w:r>
      <w:r w:rsidRPr="00E00F41">
        <w:rPr>
          <w:sz w:val="24"/>
          <w:szCs w:val="24"/>
        </w:rPr>
        <w:t xml:space="preserve">Conservation, Economics and Energy Planning </w:t>
      </w:r>
    </w:p>
    <w:sectPr w:rsidR="00971855" w:rsidRPr="00E00F41" w:rsidSect="00B92745">
      <w:footerReference w:type="even" r:id="rId12"/>
      <w:footerReference w:type="default" r:id="rId13"/>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40A" w:rsidRDefault="00BB240A">
      <w:r>
        <w:separator/>
      </w:r>
    </w:p>
  </w:endnote>
  <w:endnote w:type="continuationSeparator" w:id="0">
    <w:p w:rsidR="00BB240A" w:rsidRDefault="00BB24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55" w:rsidRDefault="00297300" w:rsidP="009E40EC">
    <w:pPr>
      <w:pStyle w:val="Footer"/>
      <w:framePr w:wrap="around" w:vAnchor="text" w:hAnchor="margin" w:xAlign="center" w:y="1"/>
      <w:rPr>
        <w:rStyle w:val="PageNumber"/>
      </w:rPr>
    </w:pPr>
    <w:r>
      <w:rPr>
        <w:rStyle w:val="PageNumber"/>
      </w:rPr>
      <w:fldChar w:fldCharType="begin"/>
    </w:r>
    <w:r w:rsidR="00971855">
      <w:rPr>
        <w:rStyle w:val="PageNumber"/>
      </w:rPr>
      <w:instrText xml:space="preserve">PAGE  </w:instrText>
    </w:r>
    <w:r>
      <w:rPr>
        <w:rStyle w:val="PageNumber"/>
      </w:rPr>
      <w:fldChar w:fldCharType="end"/>
    </w:r>
  </w:p>
  <w:p w:rsidR="00971855" w:rsidRDefault="009718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55" w:rsidRDefault="00297300" w:rsidP="009E40EC">
    <w:pPr>
      <w:pStyle w:val="Footer"/>
      <w:framePr w:wrap="around" w:vAnchor="text" w:hAnchor="margin" w:xAlign="center" w:y="1"/>
      <w:rPr>
        <w:rStyle w:val="PageNumber"/>
      </w:rPr>
    </w:pPr>
    <w:r>
      <w:rPr>
        <w:rStyle w:val="PageNumber"/>
      </w:rPr>
      <w:fldChar w:fldCharType="begin"/>
    </w:r>
    <w:r w:rsidR="00971855">
      <w:rPr>
        <w:rStyle w:val="PageNumber"/>
      </w:rPr>
      <w:instrText xml:space="preserve">PAGE  </w:instrText>
    </w:r>
    <w:r>
      <w:rPr>
        <w:rStyle w:val="PageNumber"/>
      </w:rPr>
      <w:fldChar w:fldCharType="end"/>
    </w:r>
  </w:p>
  <w:p w:rsidR="00971855" w:rsidRDefault="009718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55" w:rsidRDefault="00297300">
    <w:pPr>
      <w:pStyle w:val="Footer"/>
      <w:framePr w:wrap="around" w:vAnchor="text" w:hAnchor="margin" w:xAlign="center" w:y="1"/>
      <w:rPr>
        <w:rStyle w:val="PageNumber"/>
      </w:rPr>
    </w:pPr>
    <w:r>
      <w:rPr>
        <w:rStyle w:val="PageNumber"/>
      </w:rPr>
      <w:fldChar w:fldCharType="begin"/>
    </w:r>
    <w:r w:rsidR="00971855">
      <w:rPr>
        <w:rStyle w:val="PageNumber"/>
      </w:rPr>
      <w:instrText xml:space="preserve">PAGE  </w:instrText>
    </w:r>
    <w:r>
      <w:rPr>
        <w:rStyle w:val="PageNumber"/>
      </w:rPr>
      <w:fldChar w:fldCharType="separate"/>
    </w:r>
    <w:r w:rsidR="00971855">
      <w:rPr>
        <w:rStyle w:val="PageNumber"/>
        <w:noProof/>
      </w:rPr>
      <w:t>2</w:t>
    </w:r>
    <w:r>
      <w:rPr>
        <w:rStyle w:val="PageNumber"/>
      </w:rPr>
      <w:fldChar w:fldCharType="end"/>
    </w:r>
  </w:p>
  <w:p w:rsidR="00971855" w:rsidRDefault="0097185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55" w:rsidRDefault="00971855">
    <w:pPr>
      <w:pStyle w:val="Footer"/>
      <w:framePr w:wrap="around" w:vAnchor="text" w:hAnchor="margin" w:xAlign="center" w:y="1"/>
      <w:rPr>
        <w:rStyle w:val="PageNumber"/>
      </w:rPr>
    </w:pPr>
  </w:p>
  <w:p w:rsidR="00971855" w:rsidRDefault="009718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40A" w:rsidRDefault="00BB240A">
      <w:r>
        <w:separator/>
      </w:r>
    </w:p>
  </w:footnote>
  <w:footnote w:type="continuationSeparator" w:id="0">
    <w:p w:rsidR="00BB240A" w:rsidRDefault="00BB240A">
      <w:r>
        <w:continuationSeparator/>
      </w:r>
    </w:p>
  </w:footnote>
  <w:footnote w:id="1">
    <w:p w:rsidR="00971855" w:rsidRDefault="00971855" w:rsidP="00105363">
      <w:pPr>
        <w:pStyle w:val="FootnoteText"/>
      </w:pPr>
      <w:r w:rsidRPr="00105363">
        <w:rPr>
          <w:rStyle w:val="FootnoteReference"/>
          <w:sz w:val="22"/>
          <w:szCs w:val="22"/>
        </w:rPr>
        <w:footnoteRef/>
      </w:r>
      <w:r w:rsidRPr="00105363">
        <w:rPr>
          <w:sz w:val="22"/>
          <w:szCs w:val="22"/>
        </w:rPr>
        <w:t xml:space="preserve"> </w:t>
      </w:r>
      <w:proofErr w:type="gramStart"/>
      <w:r w:rsidRPr="00105363">
        <w:rPr>
          <w:i/>
          <w:sz w:val="22"/>
          <w:szCs w:val="22"/>
        </w:rPr>
        <w:t>Implementation Order</w:t>
      </w:r>
      <w:r w:rsidRPr="00105363">
        <w:rPr>
          <w:sz w:val="22"/>
          <w:szCs w:val="22"/>
        </w:rPr>
        <w:t xml:space="preserve"> at 13 and 14.</w:t>
      </w:r>
      <w:proofErr w:type="gramEnd"/>
    </w:p>
  </w:footnote>
  <w:footnote w:id="2">
    <w:p w:rsidR="00971855" w:rsidRDefault="00971855">
      <w:pPr>
        <w:pStyle w:val="FootnoteText"/>
      </w:pPr>
      <w:r w:rsidRPr="00105363">
        <w:rPr>
          <w:rStyle w:val="FootnoteReference"/>
          <w:sz w:val="22"/>
          <w:szCs w:val="22"/>
        </w:rPr>
        <w:footnoteRef/>
      </w:r>
      <w:r w:rsidRPr="00105363">
        <w:rPr>
          <w:sz w:val="22"/>
          <w:szCs w:val="22"/>
        </w:rPr>
        <w:t xml:space="preserve"> See 66 </w:t>
      </w:r>
      <w:smartTag w:uri="urn:schemas-microsoft-com:office:smarttags" w:element="State">
        <w:smartTag w:uri="urn:schemas-microsoft-com:office:smarttags" w:element="place">
          <w:r w:rsidRPr="00105363">
            <w:rPr>
              <w:sz w:val="22"/>
              <w:szCs w:val="22"/>
            </w:rPr>
            <w:t>Pa.</w:t>
          </w:r>
        </w:smartTag>
      </w:smartTag>
      <w:r w:rsidRPr="00105363">
        <w:rPr>
          <w:sz w:val="22"/>
          <w:szCs w:val="22"/>
        </w:rPr>
        <w:t xml:space="preserve"> C.S. § 2806.1(i)(1).</w:t>
      </w:r>
    </w:p>
  </w:footnote>
  <w:footnote w:id="3">
    <w:p w:rsidR="00971855" w:rsidRDefault="00971855">
      <w:pPr>
        <w:pStyle w:val="FootnoteText"/>
      </w:pPr>
      <w:r w:rsidRPr="00105363">
        <w:rPr>
          <w:rStyle w:val="FootnoteReference"/>
          <w:sz w:val="22"/>
          <w:szCs w:val="22"/>
        </w:rPr>
        <w:footnoteRef/>
      </w:r>
      <w:r w:rsidRPr="00105363">
        <w:rPr>
          <w:sz w:val="22"/>
          <w:szCs w:val="22"/>
        </w:rPr>
        <w:t xml:space="preserve"> </w:t>
      </w:r>
      <w:r w:rsidRPr="00105363">
        <w:rPr>
          <w:i/>
          <w:sz w:val="22"/>
          <w:szCs w:val="22"/>
        </w:rPr>
        <w:t>Implementation Order</w:t>
      </w:r>
      <w:r w:rsidRPr="00105363">
        <w:rPr>
          <w:sz w:val="22"/>
          <w:szCs w:val="22"/>
        </w:rPr>
        <w:t xml:space="preserve"> at 14.</w:t>
      </w:r>
    </w:p>
  </w:footnote>
  <w:footnote w:id="4">
    <w:p w:rsidR="00971855" w:rsidRDefault="00971855">
      <w:pPr>
        <w:pStyle w:val="FootnoteText"/>
      </w:pPr>
      <w:r w:rsidRPr="0025591B">
        <w:rPr>
          <w:rStyle w:val="FootnoteReference"/>
          <w:sz w:val="22"/>
          <w:szCs w:val="22"/>
        </w:rPr>
        <w:footnoteRef/>
      </w:r>
      <w:r w:rsidRPr="0025591B">
        <w:rPr>
          <w:sz w:val="22"/>
          <w:szCs w:val="22"/>
        </w:rPr>
        <w:t xml:space="preserve"> </w:t>
      </w:r>
      <w:r w:rsidRPr="0025591B">
        <w:rPr>
          <w:i/>
          <w:sz w:val="22"/>
          <w:szCs w:val="22"/>
        </w:rPr>
        <w:t>Implementation Order</w:t>
      </w:r>
      <w:r w:rsidRPr="0025591B">
        <w:rPr>
          <w:sz w:val="22"/>
          <w:szCs w:val="22"/>
        </w:rPr>
        <w:t xml:space="preserve"> at 23 and 24.</w:t>
      </w:r>
    </w:p>
  </w:footnote>
  <w:footnote w:id="5">
    <w:p w:rsidR="00971855" w:rsidRDefault="00971855">
      <w:pPr>
        <w:pStyle w:val="FootnoteText"/>
      </w:pPr>
      <w:r w:rsidRPr="00DB6E49">
        <w:rPr>
          <w:rStyle w:val="FootnoteReference"/>
          <w:sz w:val="22"/>
          <w:szCs w:val="22"/>
        </w:rPr>
        <w:footnoteRef/>
      </w:r>
      <w:r w:rsidRPr="00DB6E49">
        <w:rPr>
          <w:sz w:val="22"/>
          <w:szCs w:val="22"/>
        </w:rPr>
        <w:t xml:space="preserve"> The current Act 129 program period ends November 30, 2013, by which date the Commission must set new incremental reduction targets if the program is cost effective.</w:t>
      </w:r>
    </w:p>
  </w:footnote>
  <w:footnote w:id="6">
    <w:p w:rsidR="005A4A50" w:rsidRPr="005A4A50" w:rsidRDefault="00746CC6">
      <w:pPr>
        <w:pStyle w:val="FootnoteText"/>
        <w:rPr>
          <w:sz w:val="22"/>
          <w:szCs w:val="22"/>
        </w:rPr>
      </w:pPr>
      <w:r w:rsidRPr="00746CC6">
        <w:rPr>
          <w:rStyle w:val="FootnoteReference"/>
          <w:sz w:val="22"/>
          <w:szCs w:val="22"/>
        </w:rPr>
        <w:footnoteRef/>
      </w:r>
      <w:r w:rsidRPr="00746CC6">
        <w:rPr>
          <w:sz w:val="22"/>
          <w:szCs w:val="22"/>
        </w:rPr>
        <w:t xml:space="preserve"> See 66 Pa. C.S § 2806.1(i)(1).</w:t>
      </w:r>
    </w:p>
  </w:footnote>
  <w:footnote w:id="7">
    <w:p w:rsidR="009E486D" w:rsidRPr="009E486D" w:rsidRDefault="009E486D">
      <w:pPr>
        <w:pStyle w:val="FootnoteText"/>
        <w:rPr>
          <w:sz w:val="22"/>
          <w:szCs w:val="22"/>
        </w:rPr>
      </w:pPr>
      <w:r>
        <w:rPr>
          <w:rStyle w:val="FootnoteReference"/>
        </w:rPr>
        <w:footnoteRef/>
      </w:r>
      <w:r>
        <w:t xml:space="preserve"> </w:t>
      </w:r>
      <w:r w:rsidRPr="009E486D">
        <w:rPr>
          <w:sz w:val="22"/>
          <w:szCs w:val="22"/>
        </w:rPr>
        <w:t>The quarterly reports for quarters 1, 2 and 3 will be due October 15, January 15 and April 15, respectively.</w:t>
      </w:r>
    </w:p>
  </w:footnote>
  <w:footnote w:id="8">
    <w:p w:rsidR="00971855" w:rsidRDefault="00746CC6">
      <w:pPr>
        <w:pStyle w:val="FootnoteText"/>
      </w:pPr>
      <w:r w:rsidRPr="00746CC6">
        <w:rPr>
          <w:rStyle w:val="FootnoteReference"/>
          <w:sz w:val="22"/>
          <w:szCs w:val="22"/>
        </w:rPr>
        <w:footnoteRef/>
      </w:r>
      <w:r w:rsidRPr="00746CC6">
        <w:rPr>
          <w:sz w:val="22"/>
          <w:szCs w:val="22"/>
        </w:rPr>
        <w:t xml:space="preserve"> </w:t>
      </w:r>
      <w:hyperlink r:id="rId1" w:history="1">
        <w:r w:rsidRPr="00746CC6">
          <w:rPr>
            <w:rStyle w:val="Hyperlink"/>
            <w:sz w:val="22"/>
            <w:szCs w:val="22"/>
          </w:rPr>
          <w:t>http://www.puc.state.pa.us/electric/Act129/Act129_SWE.aspx</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4A51"/>
    <w:rsid w:val="000131ED"/>
    <w:rsid w:val="0002706C"/>
    <w:rsid w:val="00027A40"/>
    <w:rsid w:val="0007052C"/>
    <w:rsid w:val="00076803"/>
    <w:rsid w:val="000C0C7F"/>
    <w:rsid w:val="000E3B78"/>
    <w:rsid w:val="000E64E8"/>
    <w:rsid w:val="00105363"/>
    <w:rsid w:val="00107F5F"/>
    <w:rsid w:val="001176C2"/>
    <w:rsid w:val="001209F1"/>
    <w:rsid w:val="0012735B"/>
    <w:rsid w:val="00133C0F"/>
    <w:rsid w:val="00171E64"/>
    <w:rsid w:val="00190837"/>
    <w:rsid w:val="001947A5"/>
    <w:rsid w:val="001A0CA5"/>
    <w:rsid w:val="001A797C"/>
    <w:rsid w:val="001E1BF3"/>
    <w:rsid w:val="001F22DF"/>
    <w:rsid w:val="00222110"/>
    <w:rsid w:val="002229C3"/>
    <w:rsid w:val="002245E3"/>
    <w:rsid w:val="00232B5D"/>
    <w:rsid w:val="0023689D"/>
    <w:rsid w:val="00244B14"/>
    <w:rsid w:val="0025139E"/>
    <w:rsid w:val="0025591B"/>
    <w:rsid w:val="00260867"/>
    <w:rsid w:val="002639EF"/>
    <w:rsid w:val="00292B97"/>
    <w:rsid w:val="0029471C"/>
    <w:rsid w:val="00297300"/>
    <w:rsid w:val="00297D9A"/>
    <w:rsid w:val="002F0138"/>
    <w:rsid w:val="002F307A"/>
    <w:rsid w:val="002F443E"/>
    <w:rsid w:val="0030651D"/>
    <w:rsid w:val="00331E7F"/>
    <w:rsid w:val="0035564E"/>
    <w:rsid w:val="00355FB2"/>
    <w:rsid w:val="003569E8"/>
    <w:rsid w:val="0036151F"/>
    <w:rsid w:val="00363CC5"/>
    <w:rsid w:val="00384920"/>
    <w:rsid w:val="003872E4"/>
    <w:rsid w:val="003C515D"/>
    <w:rsid w:val="003D1D38"/>
    <w:rsid w:val="00410571"/>
    <w:rsid w:val="00416EFD"/>
    <w:rsid w:val="004346CC"/>
    <w:rsid w:val="00446375"/>
    <w:rsid w:val="00450245"/>
    <w:rsid w:val="00451C0E"/>
    <w:rsid w:val="0045381E"/>
    <w:rsid w:val="00462CF6"/>
    <w:rsid w:val="00480840"/>
    <w:rsid w:val="00482676"/>
    <w:rsid w:val="004A0637"/>
    <w:rsid w:val="004A296C"/>
    <w:rsid w:val="004B11C2"/>
    <w:rsid w:val="004B5AA6"/>
    <w:rsid w:val="004C4C48"/>
    <w:rsid w:val="004D2698"/>
    <w:rsid w:val="004E31BB"/>
    <w:rsid w:val="004E3FA0"/>
    <w:rsid w:val="004E6FC4"/>
    <w:rsid w:val="004F488B"/>
    <w:rsid w:val="004F5084"/>
    <w:rsid w:val="00504873"/>
    <w:rsid w:val="0051639C"/>
    <w:rsid w:val="00525681"/>
    <w:rsid w:val="00526895"/>
    <w:rsid w:val="00527A2A"/>
    <w:rsid w:val="005372E4"/>
    <w:rsid w:val="00546096"/>
    <w:rsid w:val="00553528"/>
    <w:rsid w:val="005748D5"/>
    <w:rsid w:val="00595468"/>
    <w:rsid w:val="005A28F6"/>
    <w:rsid w:val="005A4A50"/>
    <w:rsid w:val="005B68B1"/>
    <w:rsid w:val="005C6561"/>
    <w:rsid w:val="005E25C5"/>
    <w:rsid w:val="005F67E3"/>
    <w:rsid w:val="005F728E"/>
    <w:rsid w:val="0061149D"/>
    <w:rsid w:val="00647EDC"/>
    <w:rsid w:val="00662082"/>
    <w:rsid w:val="006624AE"/>
    <w:rsid w:val="00662E3D"/>
    <w:rsid w:val="00666EC8"/>
    <w:rsid w:val="00670623"/>
    <w:rsid w:val="0067110D"/>
    <w:rsid w:val="006755C0"/>
    <w:rsid w:val="00687F96"/>
    <w:rsid w:val="006940A5"/>
    <w:rsid w:val="00696AF8"/>
    <w:rsid w:val="006A0C95"/>
    <w:rsid w:val="006B7F3E"/>
    <w:rsid w:val="006D3697"/>
    <w:rsid w:val="006F4AEA"/>
    <w:rsid w:val="00704308"/>
    <w:rsid w:val="00712678"/>
    <w:rsid w:val="00746CC6"/>
    <w:rsid w:val="007617B1"/>
    <w:rsid w:val="00764454"/>
    <w:rsid w:val="00765888"/>
    <w:rsid w:val="00780D34"/>
    <w:rsid w:val="007842B1"/>
    <w:rsid w:val="007A41CF"/>
    <w:rsid w:val="007C0377"/>
    <w:rsid w:val="007C3C8E"/>
    <w:rsid w:val="007E6D1C"/>
    <w:rsid w:val="007F1AA9"/>
    <w:rsid w:val="007F1F66"/>
    <w:rsid w:val="00800272"/>
    <w:rsid w:val="00843AB6"/>
    <w:rsid w:val="00897E1C"/>
    <w:rsid w:val="008C224B"/>
    <w:rsid w:val="008E5413"/>
    <w:rsid w:val="009147F8"/>
    <w:rsid w:val="00914A4A"/>
    <w:rsid w:val="00933273"/>
    <w:rsid w:val="0094299E"/>
    <w:rsid w:val="00943D16"/>
    <w:rsid w:val="00971855"/>
    <w:rsid w:val="00974CB0"/>
    <w:rsid w:val="00996C70"/>
    <w:rsid w:val="009A0C5A"/>
    <w:rsid w:val="009B23D8"/>
    <w:rsid w:val="009B51EB"/>
    <w:rsid w:val="009C45E5"/>
    <w:rsid w:val="009E40EC"/>
    <w:rsid w:val="009E486D"/>
    <w:rsid w:val="009E5D90"/>
    <w:rsid w:val="009F5F66"/>
    <w:rsid w:val="00A205AF"/>
    <w:rsid w:val="00A2207A"/>
    <w:rsid w:val="00A31B01"/>
    <w:rsid w:val="00A334FD"/>
    <w:rsid w:val="00A36626"/>
    <w:rsid w:val="00A50D88"/>
    <w:rsid w:val="00A7025F"/>
    <w:rsid w:val="00A80849"/>
    <w:rsid w:val="00B2209E"/>
    <w:rsid w:val="00B22D6C"/>
    <w:rsid w:val="00B37A43"/>
    <w:rsid w:val="00B4676B"/>
    <w:rsid w:val="00B5141A"/>
    <w:rsid w:val="00B644AB"/>
    <w:rsid w:val="00B71C57"/>
    <w:rsid w:val="00B92745"/>
    <w:rsid w:val="00BA3CDC"/>
    <w:rsid w:val="00BB240A"/>
    <w:rsid w:val="00BB2A9D"/>
    <w:rsid w:val="00BC5230"/>
    <w:rsid w:val="00BD5BC4"/>
    <w:rsid w:val="00BD7C51"/>
    <w:rsid w:val="00BE13FF"/>
    <w:rsid w:val="00BE4A72"/>
    <w:rsid w:val="00BE5119"/>
    <w:rsid w:val="00BF4868"/>
    <w:rsid w:val="00BF52B0"/>
    <w:rsid w:val="00C1338C"/>
    <w:rsid w:val="00C20628"/>
    <w:rsid w:val="00C37BE5"/>
    <w:rsid w:val="00C37C68"/>
    <w:rsid w:val="00C37E0D"/>
    <w:rsid w:val="00C44594"/>
    <w:rsid w:val="00C61A35"/>
    <w:rsid w:val="00C74A51"/>
    <w:rsid w:val="00C77F29"/>
    <w:rsid w:val="00C83812"/>
    <w:rsid w:val="00C90506"/>
    <w:rsid w:val="00C92167"/>
    <w:rsid w:val="00C94080"/>
    <w:rsid w:val="00CB5738"/>
    <w:rsid w:val="00CC1A5A"/>
    <w:rsid w:val="00CC5A68"/>
    <w:rsid w:val="00CE1608"/>
    <w:rsid w:val="00CF047C"/>
    <w:rsid w:val="00D17F37"/>
    <w:rsid w:val="00D360BC"/>
    <w:rsid w:val="00D7222A"/>
    <w:rsid w:val="00D76315"/>
    <w:rsid w:val="00D77E12"/>
    <w:rsid w:val="00D878A9"/>
    <w:rsid w:val="00DA4178"/>
    <w:rsid w:val="00DA5CA1"/>
    <w:rsid w:val="00DB6E49"/>
    <w:rsid w:val="00DE7F43"/>
    <w:rsid w:val="00E00F41"/>
    <w:rsid w:val="00E07C84"/>
    <w:rsid w:val="00E14B69"/>
    <w:rsid w:val="00E22610"/>
    <w:rsid w:val="00E349DA"/>
    <w:rsid w:val="00E631EB"/>
    <w:rsid w:val="00E92BB3"/>
    <w:rsid w:val="00E9795D"/>
    <w:rsid w:val="00EA6E61"/>
    <w:rsid w:val="00ED67AE"/>
    <w:rsid w:val="00F061C2"/>
    <w:rsid w:val="00F119E7"/>
    <w:rsid w:val="00F22864"/>
    <w:rsid w:val="00F256FF"/>
    <w:rsid w:val="00F30678"/>
    <w:rsid w:val="00F42BCA"/>
    <w:rsid w:val="00F531C5"/>
    <w:rsid w:val="00F56730"/>
    <w:rsid w:val="00F63322"/>
    <w:rsid w:val="00F7094C"/>
    <w:rsid w:val="00F720B7"/>
    <w:rsid w:val="00F87EAE"/>
    <w:rsid w:val="00FA0E37"/>
    <w:rsid w:val="00FB6CF5"/>
    <w:rsid w:val="00FC4DF3"/>
    <w:rsid w:val="00FC50BC"/>
    <w:rsid w:val="00FC767E"/>
    <w:rsid w:val="00FD1574"/>
    <w:rsid w:val="00FF01AF"/>
    <w:rsid w:val="00FF4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Name"/>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addres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15"/>
    <w:rPr>
      <w:sz w:val="20"/>
      <w:szCs w:val="20"/>
    </w:rPr>
  </w:style>
  <w:style w:type="paragraph" w:styleId="Heading1">
    <w:name w:val="heading 1"/>
    <w:basedOn w:val="Normal"/>
    <w:next w:val="Normal"/>
    <w:link w:val="Heading1Char"/>
    <w:uiPriority w:val="99"/>
    <w:qFormat/>
    <w:rsid w:val="00D7631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0C95"/>
    <w:rPr>
      <w:rFonts w:ascii="Cambria" w:hAnsi="Cambria" w:cs="Times New Roman"/>
      <w:b/>
      <w:bCs/>
      <w:kern w:val="32"/>
      <w:sz w:val="32"/>
      <w:szCs w:val="32"/>
    </w:rPr>
  </w:style>
  <w:style w:type="paragraph" w:styleId="BodyTextIndent">
    <w:name w:val="Body Text Indent"/>
    <w:basedOn w:val="Normal"/>
    <w:link w:val="BodyTextIndentChar"/>
    <w:uiPriority w:val="99"/>
    <w:rsid w:val="00D76315"/>
    <w:pPr>
      <w:ind w:left="360"/>
    </w:pPr>
    <w:rPr>
      <w:sz w:val="24"/>
    </w:rPr>
  </w:style>
  <w:style w:type="character" w:customStyle="1" w:styleId="BodyTextIndentChar">
    <w:name w:val="Body Text Indent Char"/>
    <w:basedOn w:val="DefaultParagraphFont"/>
    <w:link w:val="BodyTextIndent"/>
    <w:uiPriority w:val="99"/>
    <w:semiHidden/>
    <w:locked/>
    <w:rsid w:val="006A0C95"/>
    <w:rPr>
      <w:rFonts w:cs="Times New Roman"/>
      <w:sz w:val="20"/>
      <w:szCs w:val="20"/>
    </w:rPr>
  </w:style>
  <w:style w:type="paragraph" w:styleId="Header">
    <w:name w:val="header"/>
    <w:basedOn w:val="Normal"/>
    <w:link w:val="HeaderChar"/>
    <w:uiPriority w:val="99"/>
    <w:rsid w:val="00D76315"/>
    <w:pPr>
      <w:tabs>
        <w:tab w:val="center" w:pos="4320"/>
        <w:tab w:val="right" w:pos="8640"/>
      </w:tabs>
    </w:pPr>
  </w:style>
  <w:style w:type="character" w:customStyle="1" w:styleId="HeaderChar">
    <w:name w:val="Header Char"/>
    <w:basedOn w:val="DefaultParagraphFont"/>
    <w:link w:val="Header"/>
    <w:uiPriority w:val="99"/>
    <w:semiHidden/>
    <w:locked/>
    <w:rsid w:val="006A0C95"/>
    <w:rPr>
      <w:rFonts w:cs="Times New Roman"/>
      <w:sz w:val="20"/>
      <w:szCs w:val="20"/>
    </w:rPr>
  </w:style>
  <w:style w:type="paragraph" w:styleId="Footer">
    <w:name w:val="footer"/>
    <w:basedOn w:val="Normal"/>
    <w:link w:val="FooterChar"/>
    <w:uiPriority w:val="99"/>
    <w:rsid w:val="00D76315"/>
    <w:pPr>
      <w:tabs>
        <w:tab w:val="center" w:pos="4320"/>
        <w:tab w:val="right" w:pos="8640"/>
      </w:tabs>
    </w:pPr>
  </w:style>
  <w:style w:type="character" w:customStyle="1" w:styleId="FooterChar">
    <w:name w:val="Footer Char"/>
    <w:basedOn w:val="DefaultParagraphFont"/>
    <w:link w:val="Footer"/>
    <w:uiPriority w:val="99"/>
    <w:semiHidden/>
    <w:locked/>
    <w:rsid w:val="006A0C95"/>
    <w:rPr>
      <w:rFonts w:cs="Times New Roman"/>
      <w:sz w:val="20"/>
      <w:szCs w:val="20"/>
    </w:rPr>
  </w:style>
  <w:style w:type="paragraph" w:styleId="BalloonText">
    <w:name w:val="Balloon Text"/>
    <w:basedOn w:val="Normal"/>
    <w:link w:val="BalloonTextChar"/>
    <w:uiPriority w:val="99"/>
    <w:semiHidden/>
    <w:rsid w:val="00675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C95"/>
    <w:rPr>
      <w:rFonts w:cs="Times New Roman"/>
      <w:sz w:val="2"/>
    </w:rPr>
  </w:style>
  <w:style w:type="paragraph" w:styleId="BodyText">
    <w:name w:val="Body Text"/>
    <w:basedOn w:val="Normal"/>
    <w:link w:val="BodyTextChar"/>
    <w:uiPriority w:val="99"/>
    <w:rsid w:val="009E40EC"/>
    <w:pPr>
      <w:spacing w:after="120"/>
    </w:pPr>
  </w:style>
  <w:style w:type="character" w:customStyle="1" w:styleId="BodyTextChar">
    <w:name w:val="Body Text Char"/>
    <w:basedOn w:val="DefaultParagraphFont"/>
    <w:link w:val="BodyText"/>
    <w:uiPriority w:val="99"/>
    <w:semiHidden/>
    <w:locked/>
    <w:rsid w:val="006A0C95"/>
    <w:rPr>
      <w:rFonts w:cs="Times New Roman"/>
      <w:sz w:val="20"/>
      <w:szCs w:val="20"/>
    </w:rPr>
  </w:style>
  <w:style w:type="character" w:styleId="PageNumber">
    <w:name w:val="page number"/>
    <w:basedOn w:val="DefaultParagraphFont"/>
    <w:uiPriority w:val="99"/>
    <w:rsid w:val="009E40EC"/>
    <w:rPr>
      <w:rFonts w:cs="Times New Roman"/>
    </w:rPr>
  </w:style>
  <w:style w:type="paragraph" w:styleId="FootnoteText">
    <w:name w:val="footnote text"/>
    <w:basedOn w:val="Normal"/>
    <w:link w:val="FootnoteTextChar"/>
    <w:uiPriority w:val="99"/>
    <w:rsid w:val="00451C0E"/>
  </w:style>
  <w:style w:type="character" w:customStyle="1" w:styleId="FootnoteTextChar">
    <w:name w:val="Footnote Text Char"/>
    <w:basedOn w:val="DefaultParagraphFont"/>
    <w:link w:val="FootnoteText"/>
    <w:uiPriority w:val="99"/>
    <w:locked/>
    <w:rsid w:val="00451C0E"/>
    <w:rPr>
      <w:rFonts w:cs="Times New Roman"/>
    </w:rPr>
  </w:style>
  <w:style w:type="character" w:styleId="FootnoteReference">
    <w:name w:val="footnote reference"/>
    <w:basedOn w:val="DefaultParagraphFont"/>
    <w:uiPriority w:val="99"/>
    <w:rsid w:val="00451C0E"/>
    <w:rPr>
      <w:rFonts w:cs="Times New Roman"/>
      <w:vertAlign w:val="superscript"/>
    </w:rPr>
  </w:style>
  <w:style w:type="character" w:styleId="CommentReference">
    <w:name w:val="annotation reference"/>
    <w:basedOn w:val="DefaultParagraphFont"/>
    <w:uiPriority w:val="99"/>
    <w:rsid w:val="005A28F6"/>
    <w:rPr>
      <w:rFonts w:cs="Times New Roman"/>
      <w:sz w:val="16"/>
      <w:szCs w:val="16"/>
    </w:rPr>
  </w:style>
  <w:style w:type="paragraph" w:styleId="CommentText">
    <w:name w:val="annotation text"/>
    <w:basedOn w:val="Normal"/>
    <w:link w:val="CommentTextChar"/>
    <w:uiPriority w:val="99"/>
    <w:rsid w:val="005A28F6"/>
  </w:style>
  <w:style w:type="character" w:customStyle="1" w:styleId="CommentTextChar">
    <w:name w:val="Comment Text Char"/>
    <w:basedOn w:val="DefaultParagraphFont"/>
    <w:link w:val="CommentText"/>
    <w:uiPriority w:val="99"/>
    <w:locked/>
    <w:rsid w:val="005A28F6"/>
    <w:rPr>
      <w:rFonts w:cs="Times New Roman"/>
    </w:rPr>
  </w:style>
  <w:style w:type="paragraph" w:styleId="CommentSubject">
    <w:name w:val="annotation subject"/>
    <w:basedOn w:val="CommentText"/>
    <w:next w:val="CommentText"/>
    <w:link w:val="CommentSubjectChar"/>
    <w:uiPriority w:val="99"/>
    <w:rsid w:val="005A28F6"/>
    <w:rPr>
      <w:b/>
      <w:bCs/>
    </w:rPr>
  </w:style>
  <w:style w:type="character" w:customStyle="1" w:styleId="CommentSubjectChar">
    <w:name w:val="Comment Subject Char"/>
    <w:basedOn w:val="CommentTextChar"/>
    <w:link w:val="CommentSubject"/>
    <w:uiPriority w:val="99"/>
    <w:locked/>
    <w:rsid w:val="005A28F6"/>
    <w:rPr>
      <w:rFonts w:cs="Times New Roman"/>
      <w:b/>
      <w:bCs/>
    </w:rPr>
  </w:style>
  <w:style w:type="character" w:styleId="Hyperlink">
    <w:name w:val="Hyperlink"/>
    <w:basedOn w:val="DefaultParagraphFont"/>
    <w:uiPriority w:val="99"/>
    <w:rsid w:val="00553528"/>
    <w:rPr>
      <w:rFonts w:cs="Times New Roman"/>
      <w:color w:val="0000FF"/>
      <w:u w:val="single"/>
    </w:rPr>
  </w:style>
  <w:style w:type="paragraph" w:styleId="EndnoteText">
    <w:name w:val="endnote text"/>
    <w:basedOn w:val="Normal"/>
    <w:link w:val="EndnoteTextChar"/>
    <w:uiPriority w:val="99"/>
    <w:semiHidden/>
    <w:unhideWhenUsed/>
    <w:rsid w:val="009E486D"/>
  </w:style>
  <w:style w:type="character" w:customStyle="1" w:styleId="EndnoteTextChar">
    <w:name w:val="Endnote Text Char"/>
    <w:basedOn w:val="DefaultParagraphFont"/>
    <w:link w:val="EndnoteText"/>
    <w:uiPriority w:val="99"/>
    <w:semiHidden/>
    <w:rsid w:val="009E486D"/>
    <w:rPr>
      <w:sz w:val="20"/>
      <w:szCs w:val="20"/>
    </w:rPr>
  </w:style>
  <w:style w:type="character" w:styleId="EndnoteReference">
    <w:name w:val="endnote reference"/>
    <w:basedOn w:val="DefaultParagraphFont"/>
    <w:uiPriority w:val="99"/>
    <w:semiHidden/>
    <w:unhideWhenUsed/>
    <w:rsid w:val="009E48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uc.state.pa.us/electric/Act129/Act129_SW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84F12-C72C-4759-88A2-E756304F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dc:creator>
  <cp:keywords/>
  <dc:description/>
  <cp:lastModifiedBy>joyce marie farner</cp:lastModifiedBy>
  <cp:revision>3</cp:revision>
  <cp:lastPrinted>2011-05-25T17:49:00Z</cp:lastPrinted>
  <dcterms:created xsi:type="dcterms:W3CDTF">2011-05-25T15:12:00Z</dcterms:created>
  <dcterms:modified xsi:type="dcterms:W3CDTF">2011-05-25T17:49:00Z</dcterms:modified>
</cp:coreProperties>
</file>