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AC5EA3" w:rsidP="00CE43B4">
      <w:pPr>
        <w:tabs>
          <w:tab w:val="left" w:pos="-720"/>
        </w:tabs>
        <w:suppressAutoHyphens/>
        <w:rPr>
          <w:b/>
          <w:bCs/>
          <w:spacing w:val="-3"/>
          <w:sz w:val="24"/>
          <w:szCs w:val="24"/>
        </w:rPr>
      </w:pPr>
      <w:r>
        <w:rPr>
          <w:bCs/>
          <w:spacing w:val="-3"/>
          <w:sz w:val="24"/>
          <w:szCs w:val="24"/>
        </w:rPr>
        <w:t>Daniel K. Weber</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B34834">
        <w:rPr>
          <w:spacing w:val="-3"/>
          <w:sz w:val="24"/>
          <w:szCs w:val="24"/>
        </w:rPr>
        <w:tab/>
      </w:r>
      <w:r w:rsidR="00AC5EA3">
        <w:rPr>
          <w:spacing w:val="-3"/>
          <w:sz w:val="24"/>
          <w:szCs w:val="24"/>
        </w:rPr>
        <w:t>C-2010-2164257</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AC5EA3" w:rsidP="00CE43B4">
      <w:pPr>
        <w:tabs>
          <w:tab w:val="left" w:pos="-720"/>
        </w:tabs>
        <w:suppressAutoHyphens/>
        <w:rPr>
          <w:spacing w:val="-3"/>
          <w:sz w:val="24"/>
          <w:szCs w:val="24"/>
        </w:rPr>
      </w:pPr>
      <w:r>
        <w:rPr>
          <w:spacing w:val="-3"/>
          <w:sz w:val="24"/>
          <w:szCs w:val="24"/>
        </w:rPr>
        <w:t>UGI Utilities, Inc.</w:t>
      </w:r>
      <w:r w:rsidR="00A271B4">
        <w:rPr>
          <w:spacing w:val="-3"/>
          <w:sz w:val="24"/>
          <w:szCs w:val="24"/>
        </w:rPr>
        <w:tab/>
      </w:r>
      <w:r w:rsidR="00A271B4">
        <w:rPr>
          <w:spacing w:val="-3"/>
          <w:sz w:val="24"/>
          <w:szCs w:val="24"/>
        </w:rPr>
        <w:tab/>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AC5EA3">
        <w:rPr>
          <w:sz w:val="24"/>
          <w:szCs w:val="24"/>
        </w:rPr>
        <w:t xml:space="preserve"> or about March 12, 2010</w:t>
      </w:r>
      <w:r w:rsidR="007965B0" w:rsidRPr="007965B0">
        <w:rPr>
          <w:sz w:val="24"/>
          <w:szCs w:val="24"/>
        </w:rPr>
        <w:t xml:space="preserve">, </w:t>
      </w:r>
      <w:r w:rsidR="00AC5EA3">
        <w:rPr>
          <w:sz w:val="24"/>
          <w:szCs w:val="24"/>
        </w:rPr>
        <w:t>Daniel K. Weber</w:t>
      </w:r>
      <w:r w:rsidR="007965B0" w:rsidRPr="007965B0">
        <w:rPr>
          <w:sz w:val="24"/>
          <w:szCs w:val="24"/>
        </w:rPr>
        <w:t xml:space="preserve"> (Complainant) filed a Formal Complaint with the Pennsylvania Public Utility Commission against </w:t>
      </w:r>
      <w:r w:rsidR="00AC5EA3">
        <w:rPr>
          <w:sz w:val="24"/>
          <w:szCs w:val="24"/>
        </w:rPr>
        <w:t>UGI Utilities, Inc.</w:t>
      </w:r>
      <w:r w:rsidR="007965B0" w:rsidRPr="007965B0">
        <w:rPr>
          <w:sz w:val="24"/>
          <w:szCs w:val="24"/>
        </w:rPr>
        <w:t xml:space="preserve"> (Respondent</w:t>
      </w:r>
      <w:r w:rsidR="00AC5EA3">
        <w:rPr>
          <w:sz w:val="24"/>
          <w:szCs w:val="24"/>
        </w:rPr>
        <w:t xml:space="preserve"> or UGI</w:t>
      </w:r>
      <w:r w:rsidR="007965B0" w:rsidRPr="007965B0">
        <w:rPr>
          <w:sz w:val="24"/>
          <w:szCs w:val="24"/>
        </w:rPr>
        <w:t xml:space="preserve">) alleging </w:t>
      </w:r>
      <w:r w:rsidR="00AC5EA3">
        <w:rPr>
          <w:sz w:val="24"/>
          <w:szCs w:val="24"/>
        </w:rPr>
        <w:t>low heat in the mornings and high heat in the afternoons, and that UGI does not provide “natural gas” because their gas has additives in it.</w:t>
      </w:r>
      <w:r w:rsidR="007965B0" w:rsidRPr="007965B0">
        <w:rPr>
          <w:sz w:val="24"/>
          <w:szCs w:val="24"/>
        </w:rPr>
        <w:t xml:space="preserve">  On</w:t>
      </w:r>
      <w:r w:rsidR="00AC5EA3">
        <w:rPr>
          <w:sz w:val="24"/>
          <w:szCs w:val="24"/>
        </w:rPr>
        <w:t xml:space="preserve"> or about </w:t>
      </w:r>
      <w:r w:rsidR="00104927">
        <w:rPr>
          <w:sz w:val="24"/>
          <w:szCs w:val="24"/>
        </w:rPr>
        <w:t>April 6, 2010, the</w:t>
      </w:r>
      <w:r w:rsidR="007965B0" w:rsidRPr="007965B0">
        <w:rPr>
          <w:sz w:val="24"/>
          <w:szCs w:val="24"/>
        </w:rPr>
        <w:t xml:space="preserve"> Respondent filed an </w:t>
      </w:r>
      <w:r w:rsidR="007965B0" w:rsidRPr="007965B0">
        <w:rPr>
          <w:spacing w:val="-3"/>
          <w:sz w:val="24"/>
          <w:szCs w:val="24"/>
        </w:rPr>
        <w:t>Answer denying the material allegations of the Complaint</w:t>
      </w:r>
      <w:r w:rsidR="00104927">
        <w:rPr>
          <w:spacing w:val="-3"/>
          <w:sz w:val="24"/>
          <w:szCs w:val="24"/>
        </w:rPr>
        <w:t xml:space="preserve"> and asserting that their natural gas complied with all heating value and purity requirements.</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104927">
        <w:rPr>
          <w:sz w:val="24"/>
          <w:szCs w:val="24"/>
        </w:rPr>
        <w:t>August 17, 2010</w:t>
      </w:r>
      <w:r w:rsidR="00CE3E51">
        <w:rPr>
          <w:sz w:val="24"/>
          <w:szCs w:val="24"/>
        </w:rPr>
        <w:t>,</w:t>
      </w:r>
      <w:r w:rsidRPr="007965B0">
        <w:rPr>
          <w:sz w:val="24"/>
          <w:szCs w:val="24"/>
        </w:rPr>
        <w:t xml:space="preserve"> the parties were notified that an Initial Hearing in this case was scheduled for the morning of </w:t>
      </w:r>
      <w:r w:rsidR="00104927">
        <w:rPr>
          <w:sz w:val="24"/>
          <w:szCs w:val="24"/>
        </w:rPr>
        <w:t>October 12, 2010</w:t>
      </w:r>
      <w:r w:rsidRPr="007965B0">
        <w:rPr>
          <w:sz w:val="24"/>
          <w:szCs w:val="24"/>
        </w:rPr>
        <w:t xml:space="preserve">.  A Prehearing Order was issued on </w:t>
      </w:r>
      <w:r w:rsidR="00104927">
        <w:rPr>
          <w:sz w:val="24"/>
          <w:szCs w:val="24"/>
        </w:rPr>
        <w:t>September 28, 2010</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CE43B4" w:rsidRDefault="007965B0" w:rsidP="007965B0">
      <w:pPr>
        <w:spacing w:line="360" w:lineRule="auto"/>
        <w:ind w:firstLine="1440"/>
        <w:rPr>
          <w:sz w:val="24"/>
          <w:szCs w:val="24"/>
        </w:rPr>
      </w:pPr>
      <w:r w:rsidRPr="007965B0">
        <w:rPr>
          <w:sz w:val="24"/>
          <w:szCs w:val="24"/>
        </w:rPr>
        <w:lastRenderedPageBreak/>
        <w:t xml:space="preserve">The hearing convened as scheduled.  </w:t>
      </w:r>
      <w:r w:rsidR="00104927">
        <w:rPr>
          <w:sz w:val="24"/>
          <w:szCs w:val="24"/>
        </w:rPr>
        <w:t xml:space="preserve">The Complainant appeared </w:t>
      </w:r>
      <w:r w:rsidR="00104927" w:rsidRPr="00531CD0">
        <w:rPr>
          <w:i/>
          <w:sz w:val="24"/>
          <w:szCs w:val="24"/>
        </w:rPr>
        <w:t>pro se</w:t>
      </w:r>
      <w:r w:rsidR="00104927">
        <w:rPr>
          <w:sz w:val="24"/>
          <w:szCs w:val="24"/>
        </w:rPr>
        <w:t xml:space="preserve">.  The Respondent was represented by counsel.  </w:t>
      </w:r>
      <w:r w:rsidR="00732A3F">
        <w:rPr>
          <w:sz w:val="24"/>
          <w:szCs w:val="24"/>
        </w:rPr>
        <w:t>The record in this matter clo</w:t>
      </w:r>
      <w:r w:rsidR="00104927">
        <w:rPr>
          <w:sz w:val="24"/>
          <w:szCs w:val="24"/>
        </w:rPr>
        <w:t xml:space="preserve">sed on </w:t>
      </w:r>
      <w:r w:rsidR="00732A3F">
        <w:rPr>
          <w:sz w:val="24"/>
          <w:szCs w:val="24"/>
        </w:rPr>
        <w:t xml:space="preserve">November 15, 2010.  </w:t>
      </w:r>
      <w:r w:rsidR="00104927">
        <w:rPr>
          <w:sz w:val="24"/>
          <w:szCs w:val="24"/>
        </w:rPr>
        <w:t>The matter is ready for disposition.</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732A3F" w:rsidP="00C419F9">
      <w:pPr>
        <w:numPr>
          <w:ilvl w:val="0"/>
          <w:numId w:val="18"/>
        </w:numPr>
        <w:tabs>
          <w:tab w:val="left" w:pos="2160"/>
        </w:tabs>
        <w:spacing w:line="360" w:lineRule="auto"/>
        <w:ind w:left="0" w:firstLine="1440"/>
        <w:rPr>
          <w:sz w:val="24"/>
          <w:szCs w:val="24"/>
        </w:rPr>
      </w:pPr>
      <w:r>
        <w:rPr>
          <w:sz w:val="24"/>
          <w:szCs w:val="24"/>
        </w:rPr>
        <w:t>The Complainant receives natural gas service from the Respondent.</w:t>
      </w:r>
    </w:p>
    <w:p w:rsidR="00732A3F" w:rsidRDefault="00732A3F" w:rsidP="00732A3F">
      <w:pPr>
        <w:spacing w:line="360" w:lineRule="auto"/>
        <w:ind w:left="1440"/>
        <w:rPr>
          <w:sz w:val="24"/>
          <w:szCs w:val="24"/>
        </w:rPr>
      </w:pPr>
      <w:r>
        <w:rPr>
          <w:sz w:val="24"/>
          <w:szCs w:val="24"/>
        </w:rPr>
        <w:t xml:space="preserve"> </w:t>
      </w:r>
    </w:p>
    <w:p w:rsidR="00732A3F" w:rsidRDefault="00DF66FC" w:rsidP="00C419F9">
      <w:pPr>
        <w:numPr>
          <w:ilvl w:val="0"/>
          <w:numId w:val="18"/>
        </w:numPr>
        <w:tabs>
          <w:tab w:val="left" w:pos="2160"/>
        </w:tabs>
        <w:spacing w:line="360" w:lineRule="auto"/>
        <w:ind w:left="0" w:firstLine="1440"/>
        <w:rPr>
          <w:sz w:val="24"/>
          <w:szCs w:val="24"/>
        </w:rPr>
      </w:pPr>
      <w:r>
        <w:rPr>
          <w:sz w:val="24"/>
          <w:szCs w:val="24"/>
        </w:rPr>
        <w:t>At hearing, the Complainant’s only complaint was the Respondent’s name which he believed to be misleading and a violation of federal law.  Tr. 6-7.</w:t>
      </w:r>
    </w:p>
    <w:p w:rsidR="00DF66FC" w:rsidRDefault="00DF66FC" w:rsidP="00C576BA">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DF66FC">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proofErr w:type="gramStart"/>
      <w:r w:rsidRPr="000B72BC">
        <w:rPr>
          <w:i/>
          <w:spacing w:val="-3"/>
          <w:sz w:val="24"/>
          <w:szCs w:val="24"/>
        </w:rPr>
        <w:t>Samuel J. Lansberry, Inc. v. Pa. Pub</w:t>
      </w:r>
      <w:r w:rsidR="00223E7E">
        <w:rPr>
          <w:i/>
          <w:spacing w:val="-3"/>
          <w:sz w:val="24"/>
          <w:szCs w:val="24"/>
        </w:rPr>
        <w:t>.</w:t>
      </w:r>
      <w:proofErr w:type="gramEnd"/>
      <w:r w:rsidR="00531CD0">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den.</w:t>
      </w:r>
      <w:r w:rsidRPr="000B72BC">
        <w:rPr>
          <w:spacing w:val="-3"/>
          <w:sz w:val="24"/>
          <w:szCs w:val="24"/>
        </w:rPr>
        <w:t xml:space="preserve">, 602 A.2d 863 (1992).  That is, </w:t>
      </w:r>
      <w:r w:rsidR="00DF66FC">
        <w:rPr>
          <w:spacing w:val="-3"/>
          <w:sz w:val="24"/>
          <w:szCs w:val="24"/>
        </w:rPr>
        <w:t xml:space="preserve">the Complainant must </w:t>
      </w:r>
      <w:r w:rsidRPr="000B72BC">
        <w:rPr>
          <w:spacing w:val="-3"/>
          <w:sz w:val="24"/>
          <w:szCs w:val="24"/>
        </w:rPr>
        <w:t xml:space="preserve">present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w:t>
      </w:r>
      <w:r w:rsidR="0078345B">
        <w:rPr>
          <w:spacing w:val="-3"/>
          <w:sz w:val="24"/>
          <w:szCs w:val="24"/>
        </w:rPr>
        <w:t> </w:t>
      </w:r>
      <w:r w:rsidRPr="000B72BC">
        <w:rPr>
          <w:spacing w:val="-3"/>
          <w:sz w:val="24"/>
          <w:szCs w:val="24"/>
        </w:rPr>
        <w:t>§</w:t>
      </w:r>
      <w:r w:rsidR="0078345B">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 of Public Welfare, White Haven Center</w:t>
      </w:r>
      <w:r w:rsidRPr="000B72BC">
        <w:rPr>
          <w:spacing w:val="-3"/>
          <w:sz w:val="24"/>
          <w:szCs w:val="24"/>
        </w:rPr>
        <w:t>, 480 A.2d 382 (1984).</w:t>
      </w:r>
      <w:r w:rsidR="00DF66FC">
        <w:rPr>
          <w:spacing w:val="-3"/>
          <w:sz w:val="24"/>
          <w:szCs w:val="24"/>
        </w:rPr>
        <w:t xml:space="preserve">  More is required than uncorroborated opinion testimony.</w:t>
      </w:r>
    </w:p>
    <w:p w:rsidR="00DF66FC" w:rsidRDefault="00DF66FC" w:rsidP="00B0541E">
      <w:pPr>
        <w:spacing w:line="360" w:lineRule="auto"/>
        <w:ind w:firstLine="1440"/>
        <w:rPr>
          <w:spacing w:val="-3"/>
          <w:sz w:val="24"/>
          <w:szCs w:val="24"/>
        </w:rPr>
      </w:pPr>
      <w:r>
        <w:rPr>
          <w:spacing w:val="-3"/>
          <w:sz w:val="24"/>
          <w:szCs w:val="24"/>
        </w:rPr>
        <w:lastRenderedPageBreak/>
        <w:t xml:space="preserve">The Complainant had only one issue at the evidentiary hearing.  The Complainant’s issue with the Respondent is that he believes they are violating a federal law </w:t>
      </w:r>
      <w:r w:rsidR="004032CB">
        <w:rPr>
          <w:spacing w:val="-3"/>
          <w:sz w:val="24"/>
          <w:szCs w:val="24"/>
        </w:rPr>
        <w:t>by</w:t>
      </w:r>
      <w:r w:rsidR="00D0572B">
        <w:rPr>
          <w:spacing w:val="-3"/>
          <w:sz w:val="24"/>
          <w:szCs w:val="24"/>
        </w:rPr>
        <w:t xml:space="preserve"> call</w:t>
      </w:r>
      <w:r w:rsidR="004032CB">
        <w:rPr>
          <w:spacing w:val="-3"/>
          <w:sz w:val="24"/>
          <w:szCs w:val="24"/>
        </w:rPr>
        <w:t>ing</w:t>
      </w:r>
      <w:r w:rsidR="00D0572B">
        <w:rPr>
          <w:spacing w:val="-3"/>
          <w:sz w:val="24"/>
          <w:szCs w:val="24"/>
        </w:rPr>
        <w:t xml:space="preserve"> themselves a “natural gas” company.  (Tr. 6)</w:t>
      </w:r>
    </w:p>
    <w:p w:rsidR="00D0572B" w:rsidRDefault="00D0572B" w:rsidP="00B0541E">
      <w:pPr>
        <w:spacing w:line="360" w:lineRule="auto"/>
        <w:ind w:firstLine="1440"/>
        <w:rPr>
          <w:spacing w:val="-3"/>
          <w:sz w:val="24"/>
          <w:szCs w:val="24"/>
        </w:rPr>
      </w:pPr>
    </w:p>
    <w:p w:rsidR="00AC4DCC" w:rsidRDefault="004032CB" w:rsidP="00B0541E">
      <w:pPr>
        <w:spacing w:line="360" w:lineRule="auto"/>
        <w:ind w:firstLine="1440"/>
        <w:rPr>
          <w:spacing w:val="-3"/>
          <w:sz w:val="24"/>
          <w:szCs w:val="24"/>
        </w:rPr>
      </w:pPr>
      <w:r>
        <w:rPr>
          <w:spacing w:val="-3"/>
          <w:sz w:val="24"/>
          <w:szCs w:val="24"/>
        </w:rPr>
        <w:t>T</w:t>
      </w:r>
      <w:r w:rsidR="00D0572B">
        <w:rPr>
          <w:spacing w:val="-3"/>
          <w:sz w:val="24"/>
          <w:szCs w:val="24"/>
        </w:rPr>
        <w:t xml:space="preserve">he complaint stated that Complainant’s home was warmer in the afternoons than the mornings and requested that the Commission investigate.  </w:t>
      </w:r>
      <w:r w:rsidR="002C578C">
        <w:rPr>
          <w:spacing w:val="-3"/>
          <w:sz w:val="24"/>
          <w:szCs w:val="24"/>
        </w:rPr>
        <w:t>However, this part of the complaint was not addressed by the Complainant at all during the hearing.  Having provided no testimonial or documentary evidence on this issue, the Complainant cannot meet his burden of proof</w:t>
      </w:r>
      <w:r w:rsidR="00762906">
        <w:rPr>
          <w:spacing w:val="-3"/>
          <w:sz w:val="24"/>
          <w:szCs w:val="24"/>
        </w:rPr>
        <w:t xml:space="preserve"> regarding this allegation</w:t>
      </w:r>
      <w:r w:rsidR="002C578C">
        <w:rPr>
          <w:spacing w:val="-3"/>
          <w:sz w:val="24"/>
          <w:szCs w:val="24"/>
        </w:rPr>
        <w:t>.</w:t>
      </w:r>
      <w:r w:rsidR="00762906">
        <w:rPr>
          <w:spacing w:val="-3"/>
          <w:sz w:val="24"/>
          <w:szCs w:val="24"/>
        </w:rPr>
        <w:t xml:space="preserve"> </w:t>
      </w:r>
      <w:r w:rsidR="00457B32">
        <w:rPr>
          <w:spacing w:val="-3"/>
          <w:sz w:val="24"/>
          <w:szCs w:val="24"/>
        </w:rPr>
        <w:t xml:space="preserve"> With regard to the alleged violation of federal law, w</w:t>
      </w:r>
      <w:r w:rsidR="00762906">
        <w:rPr>
          <w:spacing w:val="-3"/>
          <w:sz w:val="24"/>
          <w:szCs w:val="24"/>
        </w:rPr>
        <w:t xml:space="preserve">hen asked by counsel for UGI whether he had any information regarding the federal government’s role the Complainant answered “not at this moment.”  </w:t>
      </w:r>
      <w:proofErr w:type="gramStart"/>
      <w:r w:rsidR="00762906">
        <w:rPr>
          <w:spacing w:val="-3"/>
          <w:sz w:val="24"/>
          <w:szCs w:val="24"/>
        </w:rPr>
        <w:t>(Tr. 13).</w:t>
      </w:r>
      <w:proofErr w:type="gramEnd"/>
      <w:r w:rsidR="00457B32">
        <w:rPr>
          <w:spacing w:val="-3"/>
          <w:sz w:val="24"/>
          <w:szCs w:val="24"/>
        </w:rPr>
        <w:t xml:space="preserve">  Therefore, the Complainant failed </w:t>
      </w:r>
      <w:proofErr w:type="gramStart"/>
      <w:r w:rsidR="00457B32">
        <w:rPr>
          <w:spacing w:val="-3"/>
          <w:sz w:val="24"/>
          <w:szCs w:val="24"/>
        </w:rPr>
        <w:t>pro</w:t>
      </w:r>
      <w:r w:rsidR="00CB13E8">
        <w:rPr>
          <w:spacing w:val="-3"/>
          <w:sz w:val="24"/>
          <w:szCs w:val="24"/>
        </w:rPr>
        <w:t>ve</w:t>
      </w:r>
      <w:proofErr w:type="gramEnd"/>
      <w:r w:rsidR="00CB13E8">
        <w:rPr>
          <w:spacing w:val="-3"/>
          <w:sz w:val="24"/>
          <w:szCs w:val="24"/>
        </w:rPr>
        <w:t xml:space="preserve"> either that his home was warmer in the afternoons or that there was any violation of federal law.</w:t>
      </w:r>
    </w:p>
    <w:p w:rsidR="00CB13E8" w:rsidRDefault="00CB13E8" w:rsidP="00B0541E">
      <w:pPr>
        <w:spacing w:line="360" w:lineRule="auto"/>
        <w:ind w:firstLine="1440"/>
        <w:rPr>
          <w:spacing w:val="-3"/>
          <w:sz w:val="24"/>
          <w:szCs w:val="24"/>
        </w:rPr>
      </w:pPr>
    </w:p>
    <w:p w:rsidR="00AC4DCC" w:rsidRDefault="00AC4DCC" w:rsidP="00B0541E">
      <w:pPr>
        <w:spacing w:line="360" w:lineRule="auto"/>
        <w:ind w:firstLine="1440"/>
        <w:rPr>
          <w:spacing w:val="-3"/>
          <w:sz w:val="24"/>
          <w:szCs w:val="24"/>
        </w:rPr>
      </w:pPr>
      <w:r>
        <w:rPr>
          <w:spacing w:val="-3"/>
          <w:sz w:val="24"/>
          <w:szCs w:val="24"/>
        </w:rPr>
        <w:t xml:space="preserve">The only </w:t>
      </w:r>
      <w:r w:rsidR="00CB13E8">
        <w:rPr>
          <w:spacing w:val="-3"/>
          <w:sz w:val="24"/>
          <w:szCs w:val="24"/>
        </w:rPr>
        <w:t xml:space="preserve">remaining </w:t>
      </w:r>
      <w:r>
        <w:rPr>
          <w:spacing w:val="-3"/>
          <w:sz w:val="24"/>
          <w:szCs w:val="24"/>
        </w:rPr>
        <w:t xml:space="preserve">issue </w:t>
      </w:r>
      <w:r w:rsidR="002C578C">
        <w:rPr>
          <w:spacing w:val="-3"/>
          <w:sz w:val="24"/>
          <w:szCs w:val="24"/>
        </w:rPr>
        <w:t xml:space="preserve">testified </w:t>
      </w:r>
      <w:r w:rsidR="00CB13E8">
        <w:rPr>
          <w:spacing w:val="-3"/>
          <w:sz w:val="24"/>
          <w:szCs w:val="24"/>
        </w:rPr>
        <w:t xml:space="preserve">to at </w:t>
      </w:r>
      <w:r w:rsidR="002C578C">
        <w:rPr>
          <w:spacing w:val="-3"/>
          <w:sz w:val="24"/>
          <w:szCs w:val="24"/>
        </w:rPr>
        <w:t>hearing was</w:t>
      </w:r>
      <w:r>
        <w:rPr>
          <w:spacing w:val="-3"/>
          <w:sz w:val="24"/>
          <w:szCs w:val="24"/>
        </w:rPr>
        <w:t xml:space="preserve"> that </w:t>
      </w:r>
      <w:r w:rsidR="00CB13E8">
        <w:rPr>
          <w:spacing w:val="-3"/>
          <w:sz w:val="24"/>
          <w:szCs w:val="24"/>
        </w:rPr>
        <w:t>t</w:t>
      </w:r>
      <w:r>
        <w:rPr>
          <w:spacing w:val="-3"/>
          <w:sz w:val="24"/>
          <w:szCs w:val="24"/>
        </w:rPr>
        <w:t>he</w:t>
      </w:r>
      <w:r w:rsidR="00CB13E8">
        <w:rPr>
          <w:spacing w:val="-3"/>
          <w:sz w:val="24"/>
          <w:szCs w:val="24"/>
        </w:rPr>
        <w:t xml:space="preserve"> Complainant</w:t>
      </w:r>
      <w:r>
        <w:rPr>
          <w:spacing w:val="-3"/>
          <w:sz w:val="24"/>
          <w:szCs w:val="24"/>
        </w:rPr>
        <w:t xml:space="preserve"> believes that UGI should be ordered to change its name.  </w:t>
      </w:r>
      <w:proofErr w:type="gramStart"/>
      <w:r>
        <w:rPr>
          <w:spacing w:val="-3"/>
          <w:sz w:val="24"/>
          <w:szCs w:val="24"/>
        </w:rPr>
        <w:t>(Tr. 9)</w:t>
      </w:r>
      <w:r w:rsidR="004B41EB">
        <w:rPr>
          <w:spacing w:val="-3"/>
          <w:sz w:val="24"/>
          <w:szCs w:val="24"/>
        </w:rPr>
        <w:t>.</w:t>
      </w:r>
      <w:proofErr w:type="gramEnd"/>
      <w:r w:rsidR="0046552B">
        <w:rPr>
          <w:spacing w:val="-3"/>
          <w:sz w:val="24"/>
          <w:szCs w:val="24"/>
        </w:rPr>
        <w:t xml:space="preserve"> </w:t>
      </w:r>
      <w:r w:rsidR="00457B32">
        <w:rPr>
          <w:spacing w:val="-3"/>
          <w:sz w:val="24"/>
          <w:szCs w:val="24"/>
        </w:rPr>
        <w:t xml:space="preserve"> The Complainant believes that the Respondent’s name is confusing</w:t>
      </w:r>
      <w:r w:rsidR="00CB13E8">
        <w:rPr>
          <w:spacing w:val="-3"/>
          <w:sz w:val="24"/>
          <w:szCs w:val="24"/>
        </w:rPr>
        <w:t xml:space="preserve"> because it has the phrase “natural gas” in it</w:t>
      </w:r>
      <w:r w:rsidR="00457B32">
        <w:rPr>
          <w:spacing w:val="-3"/>
          <w:sz w:val="24"/>
          <w:szCs w:val="24"/>
        </w:rPr>
        <w:t>.</w:t>
      </w:r>
      <w:r w:rsidR="00CB13E8">
        <w:rPr>
          <w:spacing w:val="-3"/>
          <w:sz w:val="24"/>
          <w:szCs w:val="24"/>
        </w:rPr>
        <w:t xml:space="preserve">  When asked for a name he thought would be appropriate, the Complainant suggested to counsel for UGI to </w:t>
      </w:r>
      <w:r w:rsidR="004E55FF">
        <w:rPr>
          <w:spacing w:val="-3"/>
          <w:sz w:val="24"/>
          <w:szCs w:val="24"/>
        </w:rPr>
        <w:t xml:space="preserve">“get out </w:t>
      </w:r>
      <w:proofErr w:type="gramStart"/>
      <w:r w:rsidR="004E55FF">
        <w:rPr>
          <w:spacing w:val="-3"/>
          <w:sz w:val="24"/>
          <w:szCs w:val="24"/>
        </w:rPr>
        <w:t xml:space="preserve">a </w:t>
      </w:r>
      <w:r w:rsidR="00CB13E8">
        <w:rPr>
          <w:spacing w:val="-3"/>
          <w:sz w:val="24"/>
          <w:szCs w:val="24"/>
        </w:rPr>
        <w:t xml:space="preserve"> dictionary</w:t>
      </w:r>
      <w:proofErr w:type="gramEnd"/>
      <w:r w:rsidR="00CB13E8">
        <w:rPr>
          <w:spacing w:val="-3"/>
          <w:sz w:val="24"/>
          <w:szCs w:val="24"/>
        </w:rPr>
        <w:t>.</w:t>
      </w:r>
      <w:r w:rsidR="004E55FF">
        <w:rPr>
          <w:spacing w:val="-3"/>
          <w:sz w:val="24"/>
          <w:szCs w:val="24"/>
        </w:rPr>
        <w:t xml:space="preserve">”  </w:t>
      </w:r>
      <w:proofErr w:type="gramStart"/>
      <w:r w:rsidR="004E55FF">
        <w:rPr>
          <w:spacing w:val="-3"/>
          <w:sz w:val="24"/>
          <w:szCs w:val="24"/>
        </w:rPr>
        <w:t>(Tr. 10).</w:t>
      </w:r>
      <w:proofErr w:type="gramEnd"/>
      <w:r w:rsidR="00CB13E8">
        <w:rPr>
          <w:spacing w:val="-3"/>
          <w:sz w:val="24"/>
          <w:szCs w:val="24"/>
        </w:rPr>
        <w:t xml:space="preserve">  </w:t>
      </w:r>
      <w:r w:rsidR="0046552B">
        <w:rPr>
          <w:spacing w:val="-3"/>
          <w:sz w:val="24"/>
          <w:szCs w:val="24"/>
        </w:rPr>
        <w:t>The Respondent’s witness testified that the natural gas piped to the Complainant</w:t>
      </w:r>
      <w:r w:rsidR="00EF6913">
        <w:rPr>
          <w:spacing w:val="-3"/>
          <w:sz w:val="24"/>
          <w:szCs w:val="24"/>
        </w:rPr>
        <w:t>’</w:t>
      </w:r>
      <w:r w:rsidR="0046552B">
        <w:rPr>
          <w:spacing w:val="-3"/>
          <w:sz w:val="24"/>
          <w:szCs w:val="24"/>
        </w:rPr>
        <w:t xml:space="preserve">s home meets heating value requirements and that it is properly defined as natural gas.  </w:t>
      </w:r>
      <w:proofErr w:type="gramStart"/>
      <w:r w:rsidR="0046552B">
        <w:rPr>
          <w:spacing w:val="-3"/>
          <w:sz w:val="24"/>
          <w:szCs w:val="24"/>
        </w:rPr>
        <w:t>(Tr. 17)</w:t>
      </w:r>
      <w:r w:rsidR="004B41EB">
        <w:rPr>
          <w:spacing w:val="-3"/>
          <w:sz w:val="24"/>
          <w:szCs w:val="24"/>
        </w:rPr>
        <w:t>.</w:t>
      </w:r>
      <w:proofErr w:type="gramEnd"/>
      <w:r w:rsidR="0046552B">
        <w:rPr>
          <w:spacing w:val="-3"/>
          <w:sz w:val="24"/>
          <w:szCs w:val="24"/>
        </w:rPr>
        <w:t xml:space="preserve">  I agree.  There is nothing defined as “pure natural gas” as Complainant asserts.  </w:t>
      </w:r>
      <w:r w:rsidR="00D61F43">
        <w:rPr>
          <w:spacing w:val="-3"/>
          <w:sz w:val="24"/>
          <w:szCs w:val="24"/>
        </w:rPr>
        <w:t>Natural gas is a combustible mixture of hydrocarbon gases.  (Tr. 17-18).  Because it comes from within the earth, there are products in it that are removed to provide a higher quality product to consumers.  What UGI provides is very similar to what other natural gas companie</w:t>
      </w:r>
      <w:r w:rsidR="00796EF3">
        <w:rPr>
          <w:spacing w:val="-3"/>
          <w:sz w:val="24"/>
          <w:szCs w:val="24"/>
        </w:rPr>
        <w:t>s</w:t>
      </w:r>
      <w:r w:rsidR="00D61F43">
        <w:rPr>
          <w:spacing w:val="-3"/>
          <w:sz w:val="24"/>
          <w:szCs w:val="24"/>
        </w:rPr>
        <w:t xml:space="preserve"> provide.  </w:t>
      </w:r>
      <w:proofErr w:type="gramStart"/>
      <w:r w:rsidR="00D61F43">
        <w:rPr>
          <w:spacing w:val="-3"/>
          <w:sz w:val="24"/>
          <w:szCs w:val="24"/>
        </w:rPr>
        <w:t>(Tr.</w:t>
      </w:r>
      <w:r w:rsidR="00796EF3">
        <w:rPr>
          <w:spacing w:val="-3"/>
          <w:sz w:val="24"/>
          <w:szCs w:val="24"/>
        </w:rPr>
        <w:t> </w:t>
      </w:r>
      <w:r w:rsidR="00D61F43">
        <w:rPr>
          <w:spacing w:val="-3"/>
          <w:sz w:val="24"/>
          <w:szCs w:val="24"/>
        </w:rPr>
        <w:t>18).</w:t>
      </w:r>
      <w:proofErr w:type="gramEnd"/>
    </w:p>
    <w:p w:rsidR="00A52DCF" w:rsidRPr="000B72BC" w:rsidRDefault="00A52DCF" w:rsidP="00B0541E">
      <w:pPr>
        <w:spacing w:line="360" w:lineRule="auto"/>
        <w:ind w:firstLine="1440"/>
        <w:rPr>
          <w:spacing w:val="-3"/>
          <w:sz w:val="24"/>
          <w:szCs w:val="24"/>
        </w:rPr>
      </w:pPr>
    </w:p>
    <w:p w:rsidR="00382B1A" w:rsidRDefault="00B0541E" w:rsidP="00B0541E">
      <w:pPr>
        <w:spacing w:line="360" w:lineRule="auto"/>
        <w:rPr>
          <w:sz w:val="24"/>
          <w:szCs w:val="24"/>
        </w:rPr>
      </w:pPr>
      <w:r w:rsidRPr="000B72BC">
        <w:rPr>
          <w:sz w:val="24"/>
          <w:szCs w:val="24"/>
        </w:rPr>
        <w:tab/>
      </w:r>
      <w:r w:rsidRPr="000B72BC">
        <w:rPr>
          <w:sz w:val="24"/>
          <w:szCs w:val="24"/>
        </w:rPr>
        <w:tab/>
      </w:r>
      <w:r w:rsidR="00D61F43">
        <w:rPr>
          <w:sz w:val="24"/>
          <w:szCs w:val="24"/>
        </w:rPr>
        <w:t xml:space="preserve">At the conclusion of the Complainant’s presentation of his case and again at the conclusion of the hearing, the Respondent moved for dismissal </w:t>
      </w:r>
      <w:r w:rsidR="004032CB">
        <w:rPr>
          <w:sz w:val="24"/>
          <w:szCs w:val="24"/>
        </w:rPr>
        <w:t xml:space="preserve">of the complaint based upon the Complainant’s failure to meet </w:t>
      </w:r>
      <w:r w:rsidR="00D61F43">
        <w:rPr>
          <w:sz w:val="24"/>
          <w:szCs w:val="24"/>
        </w:rPr>
        <w:t>h</w:t>
      </w:r>
      <w:r w:rsidR="004032CB">
        <w:rPr>
          <w:sz w:val="24"/>
          <w:szCs w:val="24"/>
        </w:rPr>
        <w:t>is</w:t>
      </w:r>
      <w:r w:rsidR="00D61F43">
        <w:rPr>
          <w:sz w:val="24"/>
          <w:szCs w:val="24"/>
        </w:rPr>
        <w:t xml:space="preserve"> burden of proof</w:t>
      </w:r>
      <w:r w:rsidR="004032CB">
        <w:rPr>
          <w:sz w:val="24"/>
          <w:szCs w:val="24"/>
        </w:rPr>
        <w:t xml:space="preserve">.  That motion is granted.  The Complainant proved </w:t>
      </w:r>
      <w:r w:rsidR="00D61F43">
        <w:rPr>
          <w:sz w:val="24"/>
          <w:szCs w:val="24"/>
        </w:rPr>
        <w:t>no offense and no violation of the Public Utility Code.</w:t>
      </w:r>
    </w:p>
    <w:p w:rsidR="004058BC" w:rsidRPr="000B72BC" w:rsidRDefault="004058BC" w:rsidP="00B0541E">
      <w:pPr>
        <w:spacing w:line="360" w:lineRule="auto"/>
        <w:rPr>
          <w:sz w:val="24"/>
          <w:szCs w:val="24"/>
        </w:rPr>
      </w:pPr>
    </w:p>
    <w:p w:rsidR="00C419F9" w:rsidRDefault="00A52DCF" w:rsidP="004032CB">
      <w:pPr>
        <w:jc w:val="center"/>
        <w:rPr>
          <w:sz w:val="24"/>
          <w:szCs w:val="24"/>
          <w:u w:val="single"/>
        </w:rPr>
      </w:pPr>
      <w:r>
        <w:rPr>
          <w:sz w:val="24"/>
          <w:szCs w:val="24"/>
          <w:u w:val="single"/>
        </w:rPr>
        <w:br w:type="page"/>
      </w:r>
      <w:r w:rsidR="00FC4DD1">
        <w:rPr>
          <w:sz w:val="24"/>
          <w:szCs w:val="24"/>
          <w:u w:val="single"/>
        </w:rPr>
        <w:lastRenderedPageBreak/>
        <w:t>CONC</w:t>
      </w:r>
      <w:r w:rsidR="00C419F9">
        <w:rPr>
          <w:sz w:val="24"/>
          <w:szCs w:val="24"/>
          <w:u w:val="single"/>
        </w:rPr>
        <w:t>LUSIONS OF LAW</w:t>
      </w:r>
    </w:p>
    <w:p w:rsidR="00C419F9" w:rsidRDefault="00C419F9" w:rsidP="00DE2348">
      <w:pPr>
        <w:spacing w:line="360" w:lineRule="auto"/>
        <w:jc w:val="center"/>
        <w:rPr>
          <w:sz w:val="24"/>
          <w:szCs w:val="24"/>
          <w:u w:val="single"/>
        </w:rPr>
      </w:pPr>
    </w:p>
    <w:p w:rsidR="00A52DCF" w:rsidRDefault="00382B1A" w:rsidP="00A52DCF">
      <w:pPr>
        <w:pStyle w:val="ListParagraph"/>
        <w:numPr>
          <w:ilvl w:val="0"/>
          <w:numId w:val="19"/>
        </w:numPr>
        <w:tabs>
          <w:tab w:val="left" w:pos="2160"/>
        </w:tabs>
        <w:spacing w:line="360" w:lineRule="auto"/>
        <w:ind w:left="0" w:firstLine="1440"/>
        <w:rPr>
          <w:sz w:val="24"/>
          <w:szCs w:val="24"/>
        </w:rPr>
      </w:pPr>
      <w:r w:rsidRPr="00A52DCF">
        <w:rPr>
          <w:sz w:val="24"/>
          <w:szCs w:val="24"/>
        </w:rPr>
        <w:t>The Commission has jurisdiction over the subject matter and parties to this Complaint.  66 Pa. C.S. § 701.</w:t>
      </w:r>
    </w:p>
    <w:p w:rsidR="00A52DCF" w:rsidRPr="00A52DCF" w:rsidRDefault="00A52DCF" w:rsidP="00A52DCF">
      <w:pPr>
        <w:pStyle w:val="ListParagraph"/>
        <w:tabs>
          <w:tab w:val="left" w:pos="2160"/>
        </w:tabs>
        <w:spacing w:line="360" w:lineRule="auto"/>
        <w:ind w:left="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5B35C7">
        <w:rPr>
          <w:sz w:val="24"/>
          <w:szCs w:val="24"/>
        </w:rPr>
        <w:t xml:space="preserve">the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782A08" w:rsidRPr="005B35C7" w:rsidRDefault="005B35C7" w:rsidP="00A52DCF">
      <w:pPr>
        <w:pStyle w:val="ListParagraph"/>
        <w:numPr>
          <w:ilvl w:val="0"/>
          <w:numId w:val="18"/>
        </w:numPr>
        <w:tabs>
          <w:tab w:val="left" w:pos="2160"/>
        </w:tabs>
        <w:spacing w:line="360" w:lineRule="auto"/>
        <w:ind w:hanging="720"/>
        <w:rPr>
          <w:spacing w:val="-3"/>
          <w:sz w:val="24"/>
          <w:szCs w:val="24"/>
        </w:rPr>
      </w:pPr>
      <w:r w:rsidRPr="005B35C7">
        <w:rPr>
          <w:spacing w:val="-3"/>
          <w:sz w:val="24"/>
          <w:szCs w:val="24"/>
        </w:rPr>
        <w:t>The Complainant failed to meet his burden of proof.</w:t>
      </w:r>
    </w:p>
    <w:p w:rsidR="005B35C7" w:rsidRPr="005B35C7" w:rsidRDefault="005B35C7" w:rsidP="005B35C7">
      <w:pPr>
        <w:pStyle w:val="ListParagraph"/>
        <w:tabs>
          <w:tab w:val="left" w:pos="2160"/>
        </w:tabs>
        <w:spacing w:line="360" w:lineRule="auto"/>
        <w:ind w:left="216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5B35C7" w:rsidP="002D554B">
      <w:pPr>
        <w:numPr>
          <w:ilvl w:val="0"/>
          <w:numId w:val="15"/>
        </w:numPr>
        <w:tabs>
          <w:tab w:val="clear" w:pos="2160"/>
        </w:tabs>
        <w:spacing w:line="360" w:lineRule="auto"/>
        <w:ind w:left="0" w:firstLine="1440"/>
        <w:rPr>
          <w:sz w:val="24"/>
          <w:szCs w:val="24"/>
        </w:rPr>
      </w:pPr>
      <w:r>
        <w:rPr>
          <w:sz w:val="24"/>
          <w:szCs w:val="24"/>
        </w:rPr>
        <w:t>That the Respondent’s motion for dismissal for failure to carry the burden of proof is granted.</w:t>
      </w:r>
    </w:p>
    <w:p w:rsidR="005B35C7" w:rsidRDefault="005B35C7" w:rsidP="005B35C7">
      <w:pPr>
        <w:spacing w:line="360" w:lineRule="auto"/>
        <w:ind w:left="1440"/>
        <w:rPr>
          <w:sz w:val="24"/>
          <w:szCs w:val="24"/>
        </w:rPr>
      </w:pPr>
      <w:r>
        <w:rPr>
          <w:sz w:val="24"/>
          <w:szCs w:val="24"/>
        </w:rPr>
        <w:t xml:space="preserve"> </w:t>
      </w:r>
    </w:p>
    <w:p w:rsidR="005B35C7" w:rsidRDefault="005B35C7" w:rsidP="002D554B">
      <w:pPr>
        <w:numPr>
          <w:ilvl w:val="0"/>
          <w:numId w:val="15"/>
        </w:numPr>
        <w:tabs>
          <w:tab w:val="clear" w:pos="2160"/>
        </w:tabs>
        <w:spacing w:line="360" w:lineRule="auto"/>
        <w:ind w:left="0" w:firstLine="1440"/>
        <w:rPr>
          <w:sz w:val="24"/>
          <w:szCs w:val="24"/>
        </w:rPr>
      </w:pPr>
      <w:r>
        <w:rPr>
          <w:sz w:val="24"/>
          <w:szCs w:val="24"/>
        </w:rPr>
        <w:t>That the Formal Complaint at Docket No. C-2010-2164257 filed by Daniel K. Weber is dismissed.</w:t>
      </w:r>
    </w:p>
    <w:p w:rsidR="005B35C7" w:rsidRDefault="005B35C7" w:rsidP="005B35C7">
      <w:pPr>
        <w:pStyle w:val="ListParagraph"/>
        <w:rPr>
          <w:sz w:val="24"/>
          <w:szCs w:val="24"/>
        </w:rPr>
      </w:pPr>
    </w:p>
    <w:p w:rsidR="005B35C7" w:rsidRDefault="005B35C7" w:rsidP="002D554B">
      <w:pPr>
        <w:numPr>
          <w:ilvl w:val="0"/>
          <w:numId w:val="15"/>
        </w:numPr>
        <w:tabs>
          <w:tab w:val="clear" w:pos="2160"/>
        </w:tabs>
        <w:spacing w:line="360" w:lineRule="auto"/>
        <w:ind w:left="0" w:firstLine="1440"/>
        <w:rPr>
          <w:sz w:val="24"/>
          <w:szCs w:val="24"/>
        </w:rPr>
      </w:pPr>
      <w:r>
        <w:rPr>
          <w:sz w:val="24"/>
          <w:szCs w:val="24"/>
        </w:rPr>
        <w:t>That the Secretary’s Bureau mark Docket No. C-2010-2164257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463D69" w:rsidRDefault="00463D69"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00E63300">
        <w:rPr>
          <w:sz w:val="24"/>
          <w:szCs w:val="24"/>
        </w:rPr>
        <w:t xml:space="preserve">  </w:t>
      </w:r>
      <w:r w:rsidR="005B35C7">
        <w:rPr>
          <w:sz w:val="24"/>
          <w:szCs w:val="24"/>
          <w:u w:val="single"/>
        </w:rPr>
        <w:t>February 7, 2011</w:t>
      </w:r>
      <w:r w:rsidR="001F7F73">
        <w:rPr>
          <w:sz w:val="24"/>
          <w:szCs w:val="24"/>
        </w:rPr>
        <w:tab/>
      </w:r>
      <w:r w:rsidR="001F7F73">
        <w:rPr>
          <w:sz w:val="24"/>
          <w:szCs w:val="24"/>
        </w:rPr>
        <w:tab/>
      </w:r>
      <w:r w:rsidR="001F7F73">
        <w:rPr>
          <w:sz w:val="24"/>
          <w:szCs w:val="24"/>
        </w:rPr>
        <w:tab/>
      </w:r>
      <w:r w:rsidR="001F7F73">
        <w:rPr>
          <w:sz w:val="24"/>
          <w:szCs w:val="24"/>
        </w:rPr>
        <w:tab/>
      </w:r>
      <w:r w:rsidR="00463D69">
        <w:rPr>
          <w:sz w:val="24"/>
          <w:szCs w:val="24"/>
        </w:rPr>
        <w:tab/>
      </w:r>
      <w:r w:rsidR="00463D69">
        <w:rPr>
          <w:sz w:val="24"/>
          <w:szCs w:val="24"/>
        </w:rPr>
        <w:tab/>
      </w:r>
      <w:r w:rsidR="001F7F73">
        <w:rPr>
          <w:sz w:val="24"/>
          <w:szCs w:val="24"/>
        </w:rPr>
        <w:t>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463D69">
        <w:rPr>
          <w:sz w:val="24"/>
          <w:szCs w:val="24"/>
        </w:rPr>
        <w:tab/>
      </w:r>
      <w:r w:rsidR="00463D69">
        <w:rPr>
          <w:sz w:val="24"/>
          <w:szCs w:val="24"/>
        </w:rPr>
        <w:tab/>
      </w:r>
      <w:r>
        <w:rPr>
          <w:sz w:val="24"/>
          <w:szCs w:val="24"/>
        </w:rPr>
        <w:t>Ember S. Jandebeur</w:t>
      </w:r>
    </w:p>
    <w:p w:rsidR="002B19D4" w:rsidRPr="001027AA" w:rsidRDefault="00DE562E" w:rsidP="00BD34A6">
      <w:pPr>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463D69">
        <w:rPr>
          <w:sz w:val="24"/>
          <w:szCs w:val="24"/>
        </w:rPr>
        <w:tab/>
      </w:r>
      <w:r w:rsidR="00463D69">
        <w:rPr>
          <w:sz w:val="24"/>
          <w:szCs w:val="24"/>
        </w:rPr>
        <w:tab/>
      </w:r>
      <w:r w:rsidRPr="00DE562E">
        <w:rPr>
          <w:sz w:val="24"/>
          <w:szCs w:val="24"/>
        </w:rPr>
        <w:t>Administrative Law Judge</w:t>
      </w:r>
    </w:p>
    <w:sectPr w:rsidR="002B19D4" w:rsidRPr="001027AA" w:rsidSect="005F452A">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2C7" w:rsidRDefault="00D302C7">
      <w:r>
        <w:separator/>
      </w:r>
    </w:p>
  </w:endnote>
  <w:endnote w:type="continuationSeparator" w:id="0">
    <w:p w:rsidR="00D302C7" w:rsidRDefault="00D30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93555E"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9E0D23" w:rsidRDefault="0093555E" w:rsidP="0028114B">
    <w:pPr>
      <w:pStyle w:val="Footer"/>
      <w:framePr w:wrap="around" w:vAnchor="text" w:hAnchor="margin" w:xAlign="center" w:y="1"/>
      <w:rPr>
        <w:rStyle w:val="PageNumber"/>
        <w:sz w:val="24"/>
        <w:szCs w:val="24"/>
      </w:rPr>
    </w:pPr>
    <w:r w:rsidRPr="009E0D23">
      <w:rPr>
        <w:rStyle w:val="PageNumber"/>
        <w:sz w:val="24"/>
        <w:szCs w:val="24"/>
      </w:rPr>
      <w:fldChar w:fldCharType="begin"/>
    </w:r>
    <w:r w:rsidR="00223E7E" w:rsidRPr="009E0D23">
      <w:rPr>
        <w:rStyle w:val="PageNumber"/>
        <w:sz w:val="24"/>
        <w:szCs w:val="24"/>
      </w:rPr>
      <w:instrText xml:space="preserve">PAGE  </w:instrText>
    </w:r>
    <w:r w:rsidRPr="009E0D23">
      <w:rPr>
        <w:rStyle w:val="PageNumber"/>
        <w:sz w:val="24"/>
        <w:szCs w:val="24"/>
      </w:rPr>
      <w:fldChar w:fldCharType="separate"/>
    </w:r>
    <w:r w:rsidR="00E728EE">
      <w:rPr>
        <w:rStyle w:val="PageNumber"/>
        <w:noProof/>
        <w:sz w:val="24"/>
        <w:szCs w:val="24"/>
      </w:rPr>
      <w:t>4</w:t>
    </w:r>
    <w:r w:rsidRPr="009E0D23">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2C7" w:rsidRDefault="00D302C7">
      <w:r>
        <w:separator/>
      </w:r>
    </w:p>
  </w:footnote>
  <w:footnote w:type="continuationSeparator" w:id="0">
    <w:p w:rsidR="00D302C7" w:rsidRDefault="00D30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BF2E7B"/>
    <w:multiLevelType w:val="hybridMultilevel"/>
    <w:tmpl w:val="A2B20662"/>
    <w:lvl w:ilvl="0" w:tplc="CF1ACF7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13"/>
  </w:num>
  <w:num w:numId="4">
    <w:abstractNumId w:val="2"/>
  </w:num>
  <w:num w:numId="5">
    <w:abstractNumId w:val="10"/>
  </w:num>
  <w:num w:numId="6">
    <w:abstractNumId w:val="7"/>
  </w:num>
  <w:num w:numId="7">
    <w:abstractNumId w:val="4"/>
  </w:num>
  <w:num w:numId="8">
    <w:abstractNumId w:val="0"/>
  </w:num>
  <w:num w:numId="9">
    <w:abstractNumId w:val="11"/>
  </w:num>
  <w:num w:numId="10">
    <w:abstractNumId w:val="14"/>
  </w:num>
  <w:num w:numId="11">
    <w:abstractNumId w:val="12"/>
  </w:num>
  <w:num w:numId="12">
    <w:abstractNumId w:val="18"/>
  </w:num>
  <w:num w:numId="13">
    <w:abstractNumId w:val="1"/>
  </w:num>
  <w:num w:numId="14">
    <w:abstractNumId w:val="5"/>
  </w:num>
  <w:num w:numId="15">
    <w:abstractNumId w:val="16"/>
  </w:num>
  <w:num w:numId="16">
    <w:abstractNumId w:val="17"/>
  </w:num>
  <w:num w:numId="17">
    <w:abstractNumId w:val="8"/>
  </w:num>
  <w:num w:numId="18">
    <w:abstractNumId w:val="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85142"/>
    <w:rsid w:val="00091672"/>
    <w:rsid w:val="00091CE2"/>
    <w:rsid w:val="000967DB"/>
    <w:rsid w:val="000A001F"/>
    <w:rsid w:val="000A1CB9"/>
    <w:rsid w:val="000A20A3"/>
    <w:rsid w:val="000C6F32"/>
    <w:rsid w:val="000E0BD8"/>
    <w:rsid w:val="000E277A"/>
    <w:rsid w:val="000E2934"/>
    <w:rsid w:val="000E6B17"/>
    <w:rsid w:val="000F0833"/>
    <w:rsid w:val="000F1894"/>
    <w:rsid w:val="000F1F62"/>
    <w:rsid w:val="000F2F0A"/>
    <w:rsid w:val="001027AA"/>
    <w:rsid w:val="00104927"/>
    <w:rsid w:val="00110C23"/>
    <w:rsid w:val="001122A9"/>
    <w:rsid w:val="001155B6"/>
    <w:rsid w:val="00116136"/>
    <w:rsid w:val="00125871"/>
    <w:rsid w:val="00126207"/>
    <w:rsid w:val="001312A6"/>
    <w:rsid w:val="00134E8D"/>
    <w:rsid w:val="00141DF5"/>
    <w:rsid w:val="00143C49"/>
    <w:rsid w:val="00147DEE"/>
    <w:rsid w:val="00152C6B"/>
    <w:rsid w:val="0015646C"/>
    <w:rsid w:val="001620CA"/>
    <w:rsid w:val="00176F82"/>
    <w:rsid w:val="0018160C"/>
    <w:rsid w:val="00187B87"/>
    <w:rsid w:val="00192E33"/>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227D"/>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578C"/>
    <w:rsid w:val="002D13C5"/>
    <w:rsid w:val="002D554B"/>
    <w:rsid w:val="002E32A7"/>
    <w:rsid w:val="002F66F9"/>
    <w:rsid w:val="002F6BC1"/>
    <w:rsid w:val="003006EA"/>
    <w:rsid w:val="00300A0A"/>
    <w:rsid w:val="00300CB7"/>
    <w:rsid w:val="00300F91"/>
    <w:rsid w:val="0030207C"/>
    <w:rsid w:val="003129F7"/>
    <w:rsid w:val="00317B5C"/>
    <w:rsid w:val="00323AAE"/>
    <w:rsid w:val="00324F3E"/>
    <w:rsid w:val="0033043C"/>
    <w:rsid w:val="0033647C"/>
    <w:rsid w:val="00337C53"/>
    <w:rsid w:val="00340135"/>
    <w:rsid w:val="00340AB8"/>
    <w:rsid w:val="0034312D"/>
    <w:rsid w:val="00346E30"/>
    <w:rsid w:val="00352588"/>
    <w:rsid w:val="003539D2"/>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D139F"/>
    <w:rsid w:val="003D15FA"/>
    <w:rsid w:val="003D7EC6"/>
    <w:rsid w:val="003E292B"/>
    <w:rsid w:val="003E594B"/>
    <w:rsid w:val="003F5796"/>
    <w:rsid w:val="003F69BF"/>
    <w:rsid w:val="00402359"/>
    <w:rsid w:val="004032CB"/>
    <w:rsid w:val="004058BC"/>
    <w:rsid w:val="004064A8"/>
    <w:rsid w:val="0042160A"/>
    <w:rsid w:val="00422E29"/>
    <w:rsid w:val="00424A76"/>
    <w:rsid w:val="00427E73"/>
    <w:rsid w:val="004312BE"/>
    <w:rsid w:val="00442854"/>
    <w:rsid w:val="004436F1"/>
    <w:rsid w:val="00457B32"/>
    <w:rsid w:val="0046339D"/>
    <w:rsid w:val="00463D69"/>
    <w:rsid w:val="0046552B"/>
    <w:rsid w:val="00476C8A"/>
    <w:rsid w:val="00486535"/>
    <w:rsid w:val="00490174"/>
    <w:rsid w:val="004917C1"/>
    <w:rsid w:val="00491C99"/>
    <w:rsid w:val="00495450"/>
    <w:rsid w:val="004A1805"/>
    <w:rsid w:val="004A5AD6"/>
    <w:rsid w:val="004B41EB"/>
    <w:rsid w:val="004C2F0B"/>
    <w:rsid w:val="004C3EFA"/>
    <w:rsid w:val="004D1B54"/>
    <w:rsid w:val="004D3108"/>
    <w:rsid w:val="004D46FD"/>
    <w:rsid w:val="004E20CB"/>
    <w:rsid w:val="004E2912"/>
    <w:rsid w:val="004E533F"/>
    <w:rsid w:val="004E55FF"/>
    <w:rsid w:val="004F2D3D"/>
    <w:rsid w:val="005002FD"/>
    <w:rsid w:val="005032B5"/>
    <w:rsid w:val="00515937"/>
    <w:rsid w:val="00517AD1"/>
    <w:rsid w:val="00523780"/>
    <w:rsid w:val="00530D1B"/>
    <w:rsid w:val="00531226"/>
    <w:rsid w:val="00531409"/>
    <w:rsid w:val="00531CD0"/>
    <w:rsid w:val="00535DF7"/>
    <w:rsid w:val="005361AA"/>
    <w:rsid w:val="00542107"/>
    <w:rsid w:val="00553EEB"/>
    <w:rsid w:val="00564C41"/>
    <w:rsid w:val="00582896"/>
    <w:rsid w:val="00584798"/>
    <w:rsid w:val="0059070D"/>
    <w:rsid w:val="00592C86"/>
    <w:rsid w:val="005A33D0"/>
    <w:rsid w:val="005B250B"/>
    <w:rsid w:val="005B35C7"/>
    <w:rsid w:val="005B65A4"/>
    <w:rsid w:val="005B6749"/>
    <w:rsid w:val="005B7834"/>
    <w:rsid w:val="005C28EC"/>
    <w:rsid w:val="005C7197"/>
    <w:rsid w:val="005D19C4"/>
    <w:rsid w:val="005D2DEE"/>
    <w:rsid w:val="005E2068"/>
    <w:rsid w:val="005E3007"/>
    <w:rsid w:val="005E6321"/>
    <w:rsid w:val="005E6C27"/>
    <w:rsid w:val="005F17F5"/>
    <w:rsid w:val="005F38EC"/>
    <w:rsid w:val="005F3B50"/>
    <w:rsid w:val="005F452A"/>
    <w:rsid w:val="006034D3"/>
    <w:rsid w:val="0062087D"/>
    <w:rsid w:val="006215E0"/>
    <w:rsid w:val="00622014"/>
    <w:rsid w:val="006306EB"/>
    <w:rsid w:val="00634A5C"/>
    <w:rsid w:val="006352B9"/>
    <w:rsid w:val="00641596"/>
    <w:rsid w:val="0064329B"/>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1798"/>
    <w:rsid w:val="006F44F9"/>
    <w:rsid w:val="007114E7"/>
    <w:rsid w:val="0071588F"/>
    <w:rsid w:val="0073239A"/>
    <w:rsid w:val="00732A3F"/>
    <w:rsid w:val="0073727C"/>
    <w:rsid w:val="00744AF3"/>
    <w:rsid w:val="00747E56"/>
    <w:rsid w:val="00751672"/>
    <w:rsid w:val="0075510C"/>
    <w:rsid w:val="00762906"/>
    <w:rsid w:val="00775593"/>
    <w:rsid w:val="00782A08"/>
    <w:rsid w:val="0078345B"/>
    <w:rsid w:val="00784A5E"/>
    <w:rsid w:val="00786153"/>
    <w:rsid w:val="00792C70"/>
    <w:rsid w:val="007965B0"/>
    <w:rsid w:val="00796EF3"/>
    <w:rsid w:val="007A49B5"/>
    <w:rsid w:val="007B1672"/>
    <w:rsid w:val="007B1D2D"/>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5A53"/>
    <w:rsid w:val="008F013A"/>
    <w:rsid w:val="008F22F9"/>
    <w:rsid w:val="008F554F"/>
    <w:rsid w:val="008F6AC3"/>
    <w:rsid w:val="009077E3"/>
    <w:rsid w:val="00910EF2"/>
    <w:rsid w:val="00913B17"/>
    <w:rsid w:val="009166DD"/>
    <w:rsid w:val="0091672D"/>
    <w:rsid w:val="009342E4"/>
    <w:rsid w:val="0093555E"/>
    <w:rsid w:val="009445E9"/>
    <w:rsid w:val="00946CE3"/>
    <w:rsid w:val="009634B4"/>
    <w:rsid w:val="009643E3"/>
    <w:rsid w:val="009649FC"/>
    <w:rsid w:val="00965F82"/>
    <w:rsid w:val="0098237A"/>
    <w:rsid w:val="00982B8E"/>
    <w:rsid w:val="009830C8"/>
    <w:rsid w:val="00983B9A"/>
    <w:rsid w:val="009877CF"/>
    <w:rsid w:val="00987B98"/>
    <w:rsid w:val="00995E0A"/>
    <w:rsid w:val="009A0F6C"/>
    <w:rsid w:val="009B1C06"/>
    <w:rsid w:val="009C22D0"/>
    <w:rsid w:val="009D5A08"/>
    <w:rsid w:val="009E0D23"/>
    <w:rsid w:val="009E69A1"/>
    <w:rsid w:val="009F24FB"/>
    <w:rsid w:val="009F4939"/>
    <w:rsid w:val="009F7BD8"/>
    <w:rsid w:val="00A022C7"/>
    <w:rsid w:val="00A02D20"/>
    <w:rsid w:val="00A0627A"/>
    <w:rsid w:val="00A22653"/>
    <w:rsid w:val="00A23BC5"/>
    <w:rsid w:val="00A24F45"/>
    <w:rsid w:val="00A271B4"/>
    <w:rsid w:val="00A345AE"/>
    <w:rsid w:val="00A409B8"/>
    <w:rsid w:val="00A4383B"/>
    <w:rsid w:val="00A475EE"/>
    <w:rsid w:val="00A523A9"/>
    <w:rsid w:val="00A52DCF"/>
    <w:rsid w:val="00A52E9C"/>
    <w:rsid w:val="00A67786"/>
    <w:rsid w:val="00A67C1E"/>
    <w:rsid w:val="00A761ED"/>
    <w:rsid w:val="00A76B1D"/>
    <w:rsid w:val="00A84C7E"/>
    <w:rsid w:val="00A86505"/>
    <w:rsid w:val="00A923F1"/>
    <w:rsid w:val="00AA00A9"/>
    <w:rsid w:val="00AA0438"/>
    <w:rsid w:val="00AA1DE2"/>
    <w:rsid w:val="00AA6434"/>
    <w:rsid w:val="00AA7B5D"/>
    <w:rsid w:val="00AB3A78"/>
    <w:rsid w:val="00AC4DB7"/>
    <w:rsid w:val="00AC4DCC"/>
    <w:rsid w:val="00AC5EA3"/>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34"/>
    <w:rsid w:val="00B34848"/>
    <w:rsid w:val="00B40E21"/>
    <w:rsid w:val="00B45676"/>
    <w:rsid w:val="00B45F71"/>
    <w:rsid w:val="00B5018B"/>
    <w:rsid w:val="00B625D9"/>
    <w:rsid w:val="00B64B31"/>
    <w:rsid w:val="00B665D7"/>
    <w:rsid w:val="00B70860"/>
    <w:rsid w:val="00B71D02"/>
    <w:rsid w:val="00B922CF"/>
    <w:rsid w:val="00BA47D2"/>
    <w:rsid w:val="00BA61F7"/>
    <w:rsid w:val="00BB3104"/>
    <w:rsid w:val="00BB352A"/>
    <w:rsid w:val="00BC2D8F"/>
    <w:rsid w:val="00BC2DE6"/>
    <w:rsid w:val="00BC7240"/>
    <w:rsid w:val="00BD32BC"/>
    <w:rsid w:val="00BD34A6"/>
    <w:rsid w:val="00BD42F1"/>
    <w:rsid w:val="00BE1D82"/>
    <w:rsid w:val="00BE6352"/>
    <w:rsid w:val="00BF5F04"/>
    <w:rsid w:val="00C052E4"/>
    <w:rsid w:val="00C1140C"/>
    <w:rsid w:val="00C1195C"/>
    <w:rsid w:val="00C136F0"/>
    <w:rsid w:val="00C150A5"/>
    <w:rsid w:val="00C21F78"/>
    <w:rsid w:val="00C224B0"/>
    <w:rsid w:val="00C25978"/>
    <w:rsid w:val="00C25C02"/>
    <w:rsid w:val="00C27A38"/>
    <w:rsid w:val="00C322C5"/>
    <w:rsid w:val="00C34D87"/>
    <w:rsid w:val="00C37F96"/>
    <w:rsid w:val="00C419F9"/>
    <w:rsid w:val="00C426F5"/>
    <w:rsid w:val="00C45D4C"/>
    <w:rsid w:val="00C546D2"/>
    <w:rsid w:val="00C572FF"/>
    <w:rsid w:val="00C576BA"/>
    <w:rsid w:val="00C61510"/>
    <w:rsid w:val="00C61561"/>
    <w:rsid w:val="00C6634A"/>
    <w:rsid w:val="00C7068E"/>
    <w:rsid w:val="00C769EE"/>
    <w:rsid w:val="00C86201"/>
    <w:rsid w:val="00C908AD"/>
    <w:rsid w:val="00C920E5"/>
    <w:rsid w:val="00C94BB9"/>
    <w:rsid w:val="00CA1E0E"/>
    <w:rsid w:val="00CA5BA3"/>
    <w:rsid w:val="00CB0D2B"/>
    <w:rsid w:val="00CB13E8"/>
    <w:rsid w:val="00CB4F5E"/>
    <w:rsid w:val="00CC49DA"/>
    <w:rsid w:val="00CC5E96"/>
    <w:rsid w:val="00CD15B8"/>
    <w:rsid w:val="00CD4A78"/>
    <w:rsid w:val="00CD6B6A"/>
    <w:rsid w:val="00CE3E51"/>
    <w:rsid w:val="00CE43B4"/>
    <w:rsid w:val="00CE68C6"/>
    <w:rsid w:val="00CF3BB0"/>
    <w:rsid w:val="00CF7138"/>
    <w:rsid w:val="00D02084"/>
    <w:rsid w:val="00D050DE"/>
    <w:rsid w:val="00D0572B"/>
    <w:rsid w:val="00D077EC"/>
    <w:rsid w:val="00D13B06"/>
    <w:rsid w:val="00D1728D"/>
    <w:rsid w:val="00D21BFC"/>
    <w:rsid w:val="00D21D55"/>
    <w:rsid w:val="00D21EF9"/>
    <w:rsid w:val="00D22F4A"/>
    <w:rsid w:val="00D23330"/>
    <w:rsid w:val="00D302C7"/>
    <w:rsid w:val="00D32326"/>
    <w:rsid w:val="00D34B76"/>
    <w:rsid w:val="00D35F74"/>
    <w:rsid w:val="00D4029A"/>
    <w:rsid w:val="00D416A5"/>
    <w:rsid w:val="00D50C56"/>
    <w:rsid w:val="00D5488B"/>
    <w:rsid w:val="00D55074"/>
    <w:rsid w:val="00D55AA4"/>
    <w:rsid w:val="00D61F43"/>
    <w:rsid w:val="00D6261D"/>
    <w:rsid w:val="00D6598A"/>
    <w:rsid w:val="00D65F4B"/>
    <w:rsid w:val="00D71653"/>
    <w:rsid w:val="00D72436"/>
    <w:rsid w:val="00D8063C"/>
    <w:rsid w:val="00D926F9"/>
    <w:rsid w:val="00D93182"/>
    <w:rsid w:val="00D961B5"/>
    <w:rsid w:val="00DA7FD6"/>
    <w:rsid w:val="00DB1328"/>
    <w:rsid w:val="00DB7EE0"/>
    <w:rsid w:val="00DC510B"/>
    <w:rsid w:val="00DD3E7F"/>
    <w:rsid w:val="00DE0ECC"/>
    <w:rsid w:val="00DE2348"/>
    <w:rsid w:val="00DE3943"/>
    <w:rsid w:val="00DE562E"/>
    <w:rsid w:val="00DE77F8"/>
    <w:rsid w:val="00DF0138"/>
    <w:rsid w:val="00DF294A"/>
    <w:rsid w:val="00DF66FC"/>
    <w:rsid w:val="00E00EAF"/>
    <w:rsid w:val="00E0236A"/>
    <w:rsid w:val="00E11739"/>
    <w:rsid w:val="00E12F72"/>
    <w:rsid w:val="00E15A2D"/>
    <w:rsid w:val="00E15B2B"/>
    <w:rsid w:val="00E267A5"/>
    <w:rsid w:val="00E35AC9"/>
    <w:rsid w:val="00E413A9"/>
    <w:rsid w:val="00E5003A"/>
    <w:rsid w:val="00E514FA"/>
    <w:rsid w:val="00E56529"/>
    <w:rsid w:val="00E6135C"/>
    <w:rsid w:val="00E63300"/>
    <w:rsid w:val="00E67591"/>
    <w:rsid w:val="00E67A2A"/>
    <w:rsid w:val="00E728B0"/>
    <w:rsid w:val="00E728EE"/>
    <w:rsid w:val="00E75758"/>
    <w:rsid w:val="00E75BC0"/>
    <w:rsid w:val="00E85ECC"/>
    <w:rsid w:val="00E9292D"/>
    <w:rsid w:val="00EA2B0E"/>
    <w:rsid w:val="00EA56F6"/>
    <w:rsid w:val="00EA7180"/>
    <w:rsid w:val="00EA77CE"/>
    <w:rsid w:val="00EB1DAB"/>
    <w:rsid w:val="00EB1EEE"/>
    <w:rsid w:val="00EC0425"/>
    <w:rsid w:val="00EC15BD"/>
    <w:rsid w:val="00EC38D5"/>
    <w:rsid w:val="00EC477B"/>
    <w:rsid w:val="00ED0F47"/>
    <w:rsid w:val="00ED3D40"/>
    <w:rsid w:val="00EE34BE"/>
    <w:rsid w:val="00EF6913"/>
    <w:rsid w:val="00EF6C7F"/>
    <w:rsid w:val="00F12550"/>
    <w:rsid w:val="00F2180F"/>
    <w:rsid w:val="00F31732"/>
    <w:rsid w:val="00F31F04"/>
    <w:rsid w:val="00F327E2"/>
    <w:rsid w:val="00F34A38"/>
    <w:rsid w:val="00F375FF"/>
    <w:rsid w:val="00F50C2B"/>
    <w:rsid w:val="00F566E6"/>
    <w:rsid w:val="00F702DD"/>
    <w:rsid w:val="00F71F11"/>
    <w:rsid w:val="00F721A2"/>
    <w:rsid w:val="00F72B51"/>
    <w:rsid w:val="00F734B6"/>
    <w:rsid w:val="00F76C50"/>
    <w:rsid w:val="00F84427"/>
    <w:rsid w:val="00F85050"/>
    <w:rsid w:val="00F86303"/>
    <w:rsid w:val="00F90C01"/>
    <w:rsid w:val="00F95BD7"/>
    <w:rsid w:val="00FA1741"/>
    <w:rsid w:val="00FA5859"/>
    <w:rsid w:val="00FA6242"/>
    <w:rsid w:val="00FA643C"/>
    <w:rsid w:val="00FA7894"/>
    <w:rsid w:val="00FC4DCA"/>
    <w:rsid w:val="00FC4DD1"/>
    <w:rsid w:val="00FD1DCC"/>
    <w:rsid w:val="00FD2E3D"/>
    <w:rsid w:val="00FD628C"/>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DF66FC"/>
    <w:pPr>
      <w:ind w:left="720"/>
      <w:contextualSpacing/>
    </w:p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2</cp:revision>
  <cp:lastPrinted>2011-05-26T17:44:00Z</cp:lastPrinted>
  <dcterms:created xsi:type="dcterms:W3CDTF">2011-05-26T17:45:00Z</dcterms:created>
  <dcterms:modified xsi:type="dcterms:W3CDTF">2011-05-26T17:45:00Z</dcterms:modified>
</cp:coreProperties>
</file>