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6BF" w:rsidRDefault="001D66BF" w:rsidP="004D614F">
      <w:pPr>
        <w:jc w:val="center"/>
        <w:outlineLvl w:val="0"/>
        <w:rPr>
          <w:b/>
        </w:rPr>
      </w:pPr>
      <w:r>
        <w:rPr>
          <w:b/>
        </w:rPr>
        <w:t>BEFORE THE</w:t>
      </w:r>
    </w:p>
    <w:p w:rsidR="001D66BF" w:rsidRDefault="001D66BF" w:rsidP="004D614F">
      <w:pPr>
        <w:jc w:val="center"/>
        <w:outlineLvl w:val="0"/>
      </w:pPr>
      <w:smartTag w:uri="urn:schemas-microsoft-com:office:smarttags" w:element="place">
        <w:smartTag w:uri="urn:schemas-microsoft-com:office:smarttags" w:element="State">
          <w:r>
            <w:rPr>
              <w:b/>
            </w:rPr>
            <w:t>PENNSYLVANIA</w:t>
          </w:r>
        </w:smartTag>
      </w:smartTag>
      <w:r>
        <w:rPr>
          <w:b/>
        </w:rPr>
        <w:t xml:space="preserve"> PUBLIC UTILITY COMMISSION</w:t>
      </w:r>
    </w:p>
    <w:p w:rsidR="001D66BF" w:rsidRDefault="001D66BF" w:rsidP="001D66BF">
      <w:pPr>
        <w:jc w:val="center"/>
      </w:pPr>
    </w:p>
    <w:p w:rsidR="001D66BF" w:rsidRDefault="001D66BF" w:rsidP="001D66BF"/>
    <w:p w:rsidR="001D66BF" w:rsidRDefault="001D66BF" w:rsidP="001D66BF"/>
    <w:p w:rsidR="001D66BF" w:rsidRDefault="007D299D" w:rsidP="001D66BF">
      <w:r>
        <w:t>Nancy L. Manson</w:t>
      </w:r>
      <w:r w:rsidR="001B1CB6">
        <w:tab/>
      </w:r>
      <w:r w:rsidR="001B1CB6">
        <w:tab/>
      </w:r>
      <w:r w:rsidR="001B1CB6">
        <w:tab/>
      </w:r>
      <w:r w:rsidR="001D66BF">
        <w:tab/>
      </w:r>
      <w:r w:rsidR="001D66BF">
        <w:tab/>
        <w:t>:</w:t>
      </w:r>
    </w:p>
    <w:p w:rsidR="001D66BF" w:rsidRDefault="001D66BF" w:rsidP="001D66BF">
      <w:r>
        <w:tab/>
      </w:r>
      <w:r>
        <w:tab/>
      </w:r>
      <w:r>
        <w:tab/>
      </w:r>
      <w:r>
        <w:tab/>
      </w:r>
      <w:r>
        <w:tab/>
      </w:r>
      <w:r>
        <w:tab/>
      </w:r>
      <w:r>
        <w:tab/>
        <w:t>:</w:t>
      </w:r>
    </w:p>
    <w:p w:rsidR="001D66BF" w:rsidRDefault="001D66BF" w:rsidP="001D66BF">
      <w:r>
        <w:tab/>
        <w:t>v.</w:t>
      </w:r>
      <w:r>
        <w:tab/>
      </w:r>
      <w:r>
        <w:tab/>
      </w:r>
      <w:r>
        <w:tab/>
      </w:r>
      <w:r>
        <w:tab/>
      </w:r>
      <w:r>
        <w:tab/>
      </w:r>
      <w:r>
        <w:tab/>
        <w:t>:</w:t>
      </w:r>
      <w:r>
        <w:tab/>
      </w:r>
      <w:r>
        <w:tab/>
      </w:r>
      <w:r w:rsidR="007D299D">
        <w:t>C</w:t>
      </w:r>
      <w:r w:rsidR="00695EDF">
        <w:t>-2010-</w:t>
      </w:r>
      <w:r w:rsidR="007D299D">
        <w:t>2170452</w:t>
      </w:r>
    </w:p>
    <w:p w:rsidR="001D66BF" w:rsidRDefault="001D66BF" w:rsidP="001D66BF">
      <w:r>
        <w:tab/>
      </w:r>
      <w:r>
        <w:tab/>
      </w:r>
      <w:r>
        <w:tab/>
      </w:r>
      <w:r>
        <w:tab/>
      </w:r>
      <w:r>
        <w:tab/>
      </w:r>
      <w:r>
        <w:tab/>
      </w:r>
      <w:r>
        <w:tab/>
        <w:t>:</w:t>
      </w:r>
    </w:p>
    <w:p w:rsidR="001D66BF" w:rsidRDefault="001B1CB6" w:rsidP="001D66BF">
      <w:r>
        <w:t>PECO Energy Company</w:t>
      </w:r>
      <w:r>
        <w:tab/>
      </w:r>
      <w:r>
        <w:tab/>
      </w:r>
      <w:r w:rsidR="00E86D09">
        <w:tab/>
      </w:r>
      <w:r w:rsidR="00E86D09">
        <w:tab/>
        <w:t>:</w:t>
      </w:r>
    </w:p>
    <w:p w:rsidR="001D66BF" w:rsidRDefault="001D66BF" w:rsidP="001D66BF"/>
    <w:p w:rsidR="001D66BF" w:rsidRDefault="001D66BF" w:rsidP="001D66BF"/>
    <w:p w:rsidR="001D66BF" w:rsidRDefault="001D66BF" w:rsidP="001D66BF"/>
    <w:p w:rsidR="001D66BF" w:rsidRDefault="001D66BF" w:rsidP="004D614F">
      <w:pPr>
        <w:jc w:val="center"/>
        <w:outlineLvl w:val="0"/>
      </w:pPr>
      <w:r>
        <w:rPr>
          <w:b/>
          <w:u w:val="single"/>
        </w:rPr>
        <w:t>INITIAL DECISION</w:t>
      </w:r>
    </w:p>
    <w:p w:rsidR="001D66BF" w:rsidRDefault="001D66BF" w:rsidP="001D66BF">
      <w:pPr>
        <w:jc w:val="center"/>
      </w:pPr>
    </w:p>
    <w:p w:rsidR="001D66BF" w:rsidRDefault="001D66BF" w:rsidP="001D66BF">
      <w:pPr>
        <w:jc w:val="center"/>
      </w:pPr>
    </w:p>
    <w:p w:rsidR="001D66BF" w:rsidRDefault="001D66BF" w:rsidP="004D614F">
      <w:pPr>
        <w:jc w:val="center"/>
        <w:outlineLvl w:val="0"/>
      </w:pPr>
      <w:r>
        <w:t>Before</w:t>
      </w:r>
    </w:p>
    <w:p w:rsidR="001D66BF" w:rsidRDefault="001D66BF" w:rsidP="001D66BF">
      <w:pPr>
        <w:jc w:val="center"/>
      </w:pPr>
      <w:proofErr w:type="gramStart"/>
      <w:r>
        <w:t>Ky</w:t>
      </w:r>
      <w:proofErr w:type="gramEnd"/>
      <w:r>
        <w:t xml:space="preserve"> Van Nguyen</w:t>
      </w:r>
    </w:p>
    <w:p w:rsidR="001D66BF" w:rsidRDefault="001D66BF" w:rsidP="001D66BF">
      <w:pPr>
        <w:jc w:val="center"/>
      </w:pPr>
      <w:r>
        <w:t>Administrative Law Judge</w:t>
      </w:r>
    </w:p>
    <w:p w:rsidR="001D66BF" w:rsidRDefault="001D66BF" w:rsidP="001D66BF">
      <w:pPr>
        <w:jc w:val="center"/>
      </w:pPr>
    </w:p>
    <w:p w:rsidR="001D66BF" w:rsidRDefault="001D66BF" w:rsidP="001D66BF">
      <w:pPr>
        <w:jc w:val="center"/>
      </w:pPr>
    </w:p>
    <w:p w:rsidR="001D66BF" w:rsidRDefault="001D66BF" w:rsidP="004D614F">
      <w:pPr>
        <w:jc w:val="center"/>
        <w:outlineLvl w:val="0"/>
      </w:pPr>
      <w:r>
        <w:rPr>
          <w:u w:val="single"/>
        </w:rPr>
        <w:t>HISTORY OF THE PROCEEDINGS</w:t>
      </w:r>
    </w:p>
    <w:p w:rsidR="001D66BF" w:rsidRDefault="001D66BF" w:rsidP="001D66BF">
      <w:pPr>
        <w:jc w:val="center"/>
      </w:pPr>
    </w:p>
    <w:p w:rsidR="001D66BF" w:rsidRDefault="001D66BF" w:rsidP="001D66BF">
      <w:pPr>
        <w:jc w:val="center"/>
      </w:pPr>
    </w:p>
    <w:p w:rsidR="001D66BF" w:rsidRDefault="001D66BF" w:rsidP="001D66BF">
      <w:pPr>
        <w:spacing w:line="360" w:lineRule="auto"/>
      </w:pPr>
      <w:r>
        <w:tab/>
      </w:r>
      <w:r>
        <w:tab/>
        <w:t xml:space="preserve">On </w:t>
      </w:r>
      <w:r w:rsidR="007D299D">
        <w:t>April 12</w:t>
      </w:r>
      <w:r w:rsidR="00695EDF">
        <w:t>, 2010</w:t>
      </w:r>
      <w:r>
        <w:t xml:space="preserve">, </w:t>
      </w:r>
      <w:r w:rsidR="007D299D">
        <w:t>Nancy L. Manson</w:t>
      </w:r>
      <w:r>
        <w:t xml:space="preserve"> (Complainant) filed a complaint with the Pennsylvania Public Utility Commission (Commission) against </w:t>
      </w:r>
      <w:r w:rsidR="001B1CB6">
        <w:t>PECO Energy Company</w:t>
      </w:r>
      <w:r>
        <w:t xml:space="preserve"> (Respondent).  </w:t>
      </w:r>
      <w:r w:rsidR="007D299D">
        <w:t>In the complaint</w:t>
      </w:r>
      <w:r w:rsidR="00E86D09">
        <w:t>, the Complainant</w:t>
      </w:r>
      <w:r>
        <w:t xml:space="preserve"> </w:t>
      </w:r>
      <w:r w:rsidR="007D299D">
        <w:t xml:space="preserve">essentially alleged that her electric bills </w:t>
      </w:r>
      <w:r w:rsidR="00972178">
        <w:t>a</w:t>
      </w:r>
      <w:r w:rsidR="007D299D">
        <w:t xml:space="preserve">t her previous address at 5663 Pentridge Street, Philadelphia PA had never been resolved and that the transfer of the </w:t>
      </w:r>
      <w:r w:rsidR="00972178">
        <w:t>unpaid balance from this address</w:t>
      </w:r>
      <w:r w:rsidR="007D299D">
        <w:t xml:space="preserve"> to the current address at 208 Walnut Street, Darby PA was not right.  She asked for an affordable payment</w:t>
      </w:r>
      <w:r w:rsidR="008F32D6">
        <w:t>.</w:t>
      </w:r>
      <w:r w:rsidR="00695EDF">
        <w:t xml:space="preserve">   </w:t>
      </w:r>
      <w:r w:rsidR="00E86D09">
        <w:t xml:space="preserve">  </w:t>
      </w:r>
    </w:p>
    <w:p w:rsidR="001D66BF" w:rsidRDefault="001D66BF" w:rsidP="001D66BF">
      <w:pPr>
        <w:spacing w:line="360" w:lineRule="auto"/>
      </w:pPr>
    </w:p>
    <w:p w:rsidR="008F32D6" w:rsidRDefault="001D66BF" w:rsidP="001D66BF">
      <w:pPr>
        <w:spacing w:line="360" w:lineRule="auto"/>
      </w:pPr>
      <w:r>
        <w:tab/>
      </w:r>
      <w:r>
        <w:tab/>
      </w:r>
      <w:r w:rsidR="008F32D6">
        <w:t>On January 28, 2011, t</w:t>
      </w:r>
      <w:r>
        <w:t xml:space="preserve">he Respondent </w:t>
      </w:r>
      <w:r w:rsidR="008F32D6">
        <w:t xml:space="preserve">moved to dismiss the complaint on the grounds that the complaint was barred by the doctrine of res judicata and that the Complainant is ineligible for a Commission ordered payment agreement under 66 Pa. C.S. </w:t>
      </w:r>
      <w:r w:rsidR="008F32D6" w:rsidRPr="00C12C0F">
        <w:t>§</w:t>
      </w:r>
      <w:r w:rsidR="008F32D6">
        <w:t xml:space="preserve">1405(c).  </w:t>
      </w:r>
    </w:p>
    <w:p w:rsidR="008F32D6" w:rsidRDefault="008F32D6" w:rsidP="001D66BF">
      <w:pPr>
        <w:spacing w:line="360" w:lineRule="auto"/>
      </w:pPr>
    </w:p>
    <w:p w:rsidR="001D66BF" w:rsidRDefault="008F32D6" w:rsidP="001D66BF">
      <w:pPr>
        <w:spacing w:line="360" w:lineRule="auto"/>
      </w:pPr>
      <w:r>
        <w:tab/>
      </w:r>
      <w:r>
        <w:tab/>
        <w:t xml:space="preserve">A hearing on the complaint is scheduled for April 29, 2011.  </w:t>
      </w:r>
      <w:r w:rsidR="001B1CB6">
        <w:t xml:space="preserve">   </w:t>
      </w:r>
    </w:p>
    <w:p w:rsidR="00000C7B" w:rsidRDefault="00000C7B" w:rsidP="001D66BF">
      <w:pPr>
        <w:spacing w:line="360" w:lineRule="auto"/>
      </w:pPr>
    </w:p>
    <w:p w:rsidR="001D66BF" w:rsidRDefault="00A134EB" w:rsidP="004D614F">
      <w:pPr>
        <w:spacing w:line="360" w:lineRule="auto"/>
        <w:outlineLvl w:val="0"/>
      </w:pPr>
      <w:r>
        <w:tab/>
      </w:r>
      <w:r>
        <w:tab/>
        <w:t>To date, the Complainant has not filed an answer to the</w:t>
      </w:r>
      <w:r w:rsidR="00740C01">
        <w:t xml:space="preserve"> motion</w:t>
      </w:r>
      <w:r>
        <w:t>.</w:t>
      </w:r>
    </w:p>
    <w:p w:rsidR="008F32D6" w:rsidRDefault="008F32D6" w:rsidP="004D614F">
      <w:pPr>
        <w:spacing w:line="360" w:lineRule="auto"/>
        <w:outlineLvl w:val="0"/>
      </w:pPr>
    </w:p>
    <w:p w:rsidR="008F32D6" w:rsidRDefault="008F32D6" w:rsidP="008F32D6">
      <w:pPr>
        <w:spacing w:line="360" w:lineRule="auto"/>
        <w:jc w:val="center"/>
        <w:outlineLvl w:val="0"/>
      </w:pPr>
      <w:r>
        <w:rPr>
          <w:u w:val="single"/>
        </w:rPr>
        <w:lastRenderedPageBreak/>
        <w:t>FINDINGS OF FACT</w:t>
      </w:r>
    </w:p>
    <w:p w:rsidR="008F32D6" w:rsidRDefault="008F32D6" w:rsidP="008F32D6">
      <w:pPr>
        <w:spacing w:line="360" w:lineRule="auto"/>
        <w:jc w:val="center"/>
        <w:outlineLvl w:val="0"/>
      </w:pPr>
    </w:p>
    <w:p w:rsidR="008F32D6" w:rsidRDefault="008F32D6" w:rsidP="008F32D6">
      <w:pPr>
        <w:spacing w:line="360" w:lineRule="auto"/>
        <w:outlineLvl w:val="0"/>
      </w:pPr>
      <w:r>
        <w:tab/>
      </w:r>
      <w:r>
        <w:tab/>
        <w:t>1.</w:t>
      </w:r>
      <w:r>
        <w:tab/>
        <w:t>The Complainant is a residential customer of the Respondent’s and takes service at 208 Walnut Street, Darby PA (Formal Complaint Form).</w:t>
      </w:r>
    </w:p>
    <w:p w:rsidR="008F32D6" w:rsidRDefault="008F32D6" w:rsidP="008F32D6">
      <w:pPr>
        <w:spacing w:line="360" w:lineRule="auto"/>
        <w:outlineLvl w:val="0"/>
      </w:pPr>
    </w:p>
    <w:p w:rsidR="008F32D6" w:rsidRDefault="008F32D6" w:rsidP="008F32D6">
      <w:pPr>
        <w:spacing w:line="360" w:lineRule="auto"/>
        <w:outlineLvl w:val="0"/>
      </w:pPr>
      <w:r>
        <w:tab/>
      </w:r>
      <w:r>
        <w:tab/>
        <w:t>2.</w:t>
      </w:r>
      <w:r>
        <w:tab/>
        <w:t xml:space="preserve">The Complainant was a party to the complaint at Docket No. C-2008-2028733, alleging that the bills attributed to her previous address at 5663 Pentridge Street, Philadelphia PA </w:t>
      </w:r>
      <w:proofErr w:type="gramStart"/>
      <w:r>
        <w:t>were</w:t>
      </w:r>
      <w:proofErr w:type="gramEnd"/>
      <w:r>
        <w:t xml:space="preserve"> too high (Formal Complaint Form; PECO Exhibit 4).</w:t>
      </w:r>
    </w:p>
    <w:p w:rsidR="008F32D6" w:rsidRDefault="008F32D6" w:rsidP="008F32D6">
      <w:pPr>
        <w:spacing w:line="360" w:lineRule="auto"/>
        <w:outlineLvl w:val="0"/>
      </w:pPr>
    </w:p>
    <w:p w:rsidR="008F32D6" w:rsidRDefault="008F32D6" w:rsidP="008F32D6">
      <w:pPr>
        <w:spacing w:line="360" w:lineRule="auto"/>
        <w:outlineLvl w:val="0"/>
      </w:pPr>
      <w:r>
        <w:tab/>
      </w:r>
      <w:r>
        <w:tab/>
        <w:t>3.</w:t>
      </w:r>
      <w:r>
        <w:tab/>
      </w:r>
      <w:r w:rsidR="004A5C20">
        <w:t xml:space="preserve">The Complainant did not file exceptions to the Initial Decision issued on April 22, 2009 by Administrative Law Judge (ALJ) Charles E. Rainey, Jr. at Docket No. </w:t>
      </w:r>
      <w:proofErr w:type="gramStart"/>
      <w:r w:rsidR="004A5C20">
        <w:t>C-2008-2028733, which became final on July 9, 2009 without further Commission action (PECO Exhibit 4).</w:t>
      </w:r>
      <w:proofErr w:type="gramEnd"/>
    </w:p>
    <w:p w:rsidR="004A5C20" w:rsidRDefault="004A5C20" w:rsidP="008F32D6">
      <w:pPr>
        <w:spacing w:line="360" w:lineRule="auto"/>
        <w:outlineLvl w:val="0"/>
      </w:pPr>
    </w:p>
    <w:p w:rsidR="004A5C20" w:rsidRDefault="00164078" w:rsidP="008F32D6">
      <w:pPr>
        <w:spacing w:line="360" w:lineRule="auto"/>
        <w:outlineLvl w:val="0"/>
      </w:pPr>
      <w:r>
        <w:tab/>
      </w:r>
      <w:r>
        <w:tab/>
        <w:t>4.</w:t>
      </w:r>
      <w:r>
        <w:tab/>
        <w:t>At the time ALJ Rainey issued his Initial Decision at Docket No. C-2008-2028733, the Complainant accrued an outstanding bill of $15,749.22 at the Pentridge Street address, which was transferred to the Complainant’s account at 208 Walnut Street, Darby PA (PECO Exhibit 4).</w:t>
      </w:r>
    </w:p>
    <w:p w:rsidR="00164078" w:rsidRDefault="00164078" w:rsidP="008F32D6">
      <w:pPr>
        <w:spacing w:line="360" w:lineRule="auto"/>
        <w:outlineLvl w:val="0"/>
      </w:pPr>
    </w:p>
    <w:p w:rsidR="00164078" w:rsidRDefault="00164078" w:rsidP="008F32D6">
      <w:pPr>
        <w:spacing w:line="360" w:lineRule="auto"/>
        <w:outlineLvl w:val="0"/>
      </w:pPr>
      <w:r>
        <w:tab/>
      </w:r>
      <w:r>
        <w:tab/>
        <w:t>5.</w:t>
      </w:r>
      <w:r>
        <w:tab/>
        <w:t>The Complainant was enrolled as a CAP (Customer Assistance Program) Rate D customer from December 7, 1998 to April 19, 2006.  A CAP Rate D customer receives a 50% discount on the first 500 kWh of usage each month (PECO Exhibit 4).</w:t>
      </w:r>
    </w:p>
    <w:p w:rsidR="00164078" w:rsidRDefault="00164078" w:rsidP="008F32D6">
      <w:pPr>
        <w:spacing w:line="360" w:lineRule="auto"/>
        <w:outlineLvl w:val="0"/>
      </w:pPr>
    </w:p>
    <w:p w:rsidR="00164078" w:rsidRDefault="00164078" w:rsidP="008F32D6">
      <w:pPr>
        <w:spacing w:line="360" w:lineRule="auto"/>
        <w:outlineLvl w:val="0"/>
      </w:pPr>
      <w:r>
        <w:tab/>
      </w:r>
      <w:r>
        <w:tab/>
        <w:t>6.</w:t>
      </w:r>
      <w:r>
        <w:tab/>
        <w:t>The Complainant was also enrolled in the Respondent’s CAP program at the current address at 208 Walnut Street, Darby PA on March 15, 2006, but was removed from it after failing to re-certify (Motion for Judgment on the Pleadings).</w:t>
      </w:r>
    </w:p>
    <w:p w:rsidR="008F32D6" w:rsidRPr="008F32D6" w:rsidRDefault="008F32D6" w:rsidP="008F32D6">
      <w:pPr>
        <w:spacing w:line="360" w:lineRule="auto"/>
        <w:outlineLvl w:val="0"/>
      </w:pPr>
    </w:p>
    <w:p w:rsidR="001D66BF" w:rsidRDefault="004C608C" w:rsidP="004D614F">
      <w:pPr>
        <w:spacing w:line="360" w:lineRule="auto"/>
        <w:jc w:val="center"/>
        <w:outlineLvl w:val="0"/>
      </w:pPr>
      <w:r>
        <w:rPr>
          <w:u w:val="single"/>
        </w:rPr>
        <w:br w:type="page"/>
      </w:r>
      <w:r w:rsidR="001D66BF">
        <w:rPr>
          <w:u w:val="single"/>
        </w:rPr>
        <w:lastRenderedPageBreak/>
        <w:t>DISCUSSION</w:t>
      </w:r>
    </w:p>
    <w:p w:rsidR="001D66BF" w:rsidRDefault="001D66BF" w:rsidP="001D66BF">
      <w:pPr>
        <w:spacing w:line="360" w:lineRule="auto"/>
        <w:jc w:val="center"/>
      </w:pPr>
    </w:p>
    <w:p w:rsidR="001D66BF" w:rsidRDefault="001D66BF" w:rsidP="001D66BF">
      <w:pPr>
        <w:spacing w:line="360" w:lineRule="auto"/>
      </w:pPr>
      <w:r>
        <w:tab/>
      </w:r>
      <w:r>
        <w:tab/>
      </w:r>
      <w:r w:rsidR="00740C01">
        <w:t xml:space="preserve">Motion for </w:t>
      </w:r>
      <w:r w:rsidR="00FC61DE">
        <w:t xml:space="preserve">summary </w:t>
      </w:r>
      <w:r w:rsidR="00740C01">
        <w:t xml:space="preserve">judgment </w:t>
      </w:r>
      <w:r w:rsidR="00972178">
        <w:t>or</w:t>
      </w:r>
      <w:r w:rsidR="00FC61DE">
        <w:t xml:space="preserve"> judgment </w:t>
      </w:r>
      <w:r w:rsidR="00740C01">
        <w:t>on the pleadings is authorized by Section 5.102(a) and (</w:t>
      </w:r>
      <w:r w:rsidR="001B02D9">
        <w:t>d</w:t>
      </w:r>
      <w:r w:rsidR="00740C01">
        <w:t xml:space="preserve">) of the Commission’s regulations, 52 Pa. Code </w:t>
      </w:r>
      <w:r w:rsidR="00740C01" w:rsidRPr="00EC2D06">
        <w:t>§</w:t>
      </w:r>
      <w:r w:rsidR="00740C01">
        <w:t>5.102(a) and (</w:t>
      </w:r>
      <w:r w:rsidR="001B02D9">
        <w:t>d</w:t>
      </w:r>
      <w:r w:rsidR="00740C01">
        <w:t>).  In part, Section 5.102(a) and (</w:t>
      </w:r>
      <w:r w:rsidR="001B02D9">
        <w:t>d</w:t>
      </w:r>
      <w:r w:rsidR="00740C01">
        <w:t>) provides</w:t>
      </w:r>
      <w:r w:rsidR="002E444A">
        <w:t xml:space="preserve">:   </w:t>
      </w:r>
      <w:r>
        <w:t xml:space="preserve"> </w:t>
      </w:r>
    </w:p>
    <w:p w:rsidR="002E444A" w:rsidRDefault="002E444A" w:rsidP="001D66BF">
      <w:pPr>
        <w:spacing w:line="360" w:lineRule="auto"/>
      </w:pPr>
    </w:p>
    <w:p w:rsidR="001D66BF" w:rsidRDefault="001D66BF" w:rsidP="00740C01">
      <w:pPr>
        <w:ind w:left="1440" w:right="1440"/>
      </w:pPr>
      <w:r>
        <w:t xml:space="preserve">   (a)  </w:t>
      </w:r>
      <w:r w:rsidR="001B02D9">
        <w:rPr>
          <w:u w:val="single"/>
        </w:rPr>
        <w:t>Generally</w:t>
      </w:r>
      <w:r>
        <w:t xml:space="preserve">.  </w:t>
      </w:r>
      <w:proofErr w:type="gramStart"/>
      <w:r w:rsidR="00740C01">
        <w:t>After the pleadings are closed, but within a time so that the hearing is not delayed, a part</w:t>
      </w:r>
      <w:r w:rsidR="001B02D9">
        <w:t>y</w:t>
      </w:r>
      <w:r w:rsidR="00740C01">
        <w:t xml:space="preserve"> may move for judgment on the pleadings</w:t>
      </w:r>
      <w:r w:rsidR="001B02D9">
        <w:t xml:space="preserve"> or summary judgment.</w:t>
      </w:r>
      <w:proofErr w:type="gramEnd"/>
      <w:r w:rsidR="001B02D9">
        <w:t xml:space="preserve">  A motion must contain a notice which states that an answer or other responsive pleading </w:t>
      </w:r>
      <w:r w:rsidR="00740C01">
        <w:t>may be filed within 20 days of the date of service of the motion.</w:t>
      </w:r>
      <w:r w:rsidR="001B02D9">
        <w:rPr>
          <w:rStyle w:val="FootnoteReference"/>
        </w:rPr>
        <w:footnoteReference w:id="1"/>
      </w:r>
      <w:r w:rsidR="00740C01">
        <w:t xml:space="preserve">   </w:t>
      </w:r>
    </w:p>
    <w:p w:rsidR="003D2A5D" w:rsidRDefault="003D2A5D" w:rsidP="00740C01">
      <w:pPr>
        <w:ind w:left="1440" w:right="1440"/>
      </w:pPr>
    </w:p>
    <w:p w:rsidR="003D2A5D" w:rsidRDefault="003D2A5D" w:rsidP="00740C01">
      <w:pPr>
        <w:ind w:left="1440" w:right="1440"/>
      </w:pPr>
      <w:r>
        <w:t>.  .  .</w:t>
      </w:r>
    </w:p>
    <w:p w:rsidR="001D66BF" w:rsidRDefault="001D66BF" w:rsidP="001D66BF">
      <w:pPr>
        <w:ind w:left="1440" w:right="1440"/>
      </w:pPr>
    </w:p>
    <w:p w:rsidR="001B02D9" w:rsidRDefault="001D66BF" w:rsidP="00106A7E">
      <w:pPr>
        <w:ind w:left="1440" w:right="1440"/>
      </w:pPr>
      <w:r>
        <w:t xml:space="preserve">   (</w:t>
      </w:r>
      <w:r w:rsidR="001B02D9">
        <w:t>d</w:t>
      </w:r>
      <w:r>
        <w:t xml:space="preserve">)  </w:t>
      </w:r>
      <w:r w:rsidR="003D2A5D">
        <w:rPr>
          <w:u w:val="single"/>
        </w:rPr>
        <w:t>Decisions on motions</w:t>
      </w:r>
      <w:r w:rsidR="003D2A5D">
        <w:t xml:space="preserve">.  </w:t>
      </w:r>
    </w:p>
    <w:p w:rsidR="001B02D9" w:rsidRDefault="001B02D9" w:rsidP="00106A7E">
      <w:pPr>
        <w:ind w:left="1440" w:right="1440"/>
      </w:pPr>
    </w:p>
    <w:p w:rsidR="001D66BF" w:rsidRPr="009B1893" w:rsidRDefault="001B02D9" w:rsidP="001B02D9">
      <w:pPr>
        <w:ind w:left="2160" w:right="1440"/>
      </w:pPr>
      <w:r>
        <w:t xml:space="preserve">1.  </w:t>
      </w:r>
      <w:r>
        <w:rPr>
          <w:u w:val="single"/>
        </w:rPr>
        <w:t>Standard for grant or denial on all counts</w:t>
      </w:r>
      <w:r>
        <w:t xml:space="preserve">.  </w:t>
      </w:r>
      <w:r w:rsidR="003D2A5D">
        <w:t>The presiding officer will grant or deny a motion for judgment on the pleadings or a motion for summary judgment, as approp</w:t>
      </w:r>
      <w:r w:rsidR="00972178">
        <w:t>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1D66BF" w:rsidRDefault="001D66BF" w:rsidP="001D66BF">
      <w:pPr>
        <w:ind w:left="2160" w:right="1440"/>
      </w:pPr>
    </w:p>
    <w:p w:rsidR="001D66BF" w:rsidRDefault="001D66BF" w:rsidP="001D66BF">
      <w:pPr>
        <w:ind w:left="2160" w:right="1440"/>
      </w:pPr>
    </w:p>
    <w:p w:rsidR="001D66BF" w:rsidRDefault="001D66BF" w:rsidP="001D66BF">
      <w:pPr>
        <w:spacing w:line="360" w:lineRule="auto"/>
      </w:pPr>
      <w:r>
        <w:tab/>
      </w:r>
      <w:r>
        <w:tab/>
      </w:r>
      <w:r w:rsidR="002A4AA5">
        <w:t xml:space="preserve">Under these provisions, a party may file a </w:t>
      </w:r>
      <w:r w:rsidR="00972178">
        <w:t>m</w:t>
      </w:r>
      <w:r w:rsidR="003D2A5D">
        <w:t>otion for</w:t>
      </w:r>
      <w:r w:rsidR="00FC61DE">
        <w:t xml:space="preserve"> summary judgment </w:t>
      </w:r>
      <w:r w:rsidR="00972178">
        <w:t>or</w:t>
      </w:r>
      <w:r w:rsidR="003D2A5D">
        <w:t xml:space="preserve"> judgment on the pleadings </w:t>
      </w:r>
      <w:r w:rsidR="002A4AA5">
        <w:t>to dismiss a complaint because the Commission</w:t>
      </w:r>
      <w:r w:rsidR="00FC61DE">
        <w:t xml:space="preserve"> has already decided, </w:t>
      </w:r>
      <w:proofErr w:type="gramStart"/>
      <w:r w:rsidR="00FC61DE">
        <w:t xml:space="preserve">or </w:t>
      </w:r>
      <w:r w:rsidR="002A4AA5">
        <w:t xml:space="preserve"> lacks</w:t>
      </w:r>
      <w:proofErr w:type="gramEnd"/>
      <w:r w:rsidR="002A4AA5">
        <w:t xml:space="preserve"> </w:t>
      </w:r>
      <w:r w:rsidR="003D2A5D">
        <w:t>authority</w:t>
      </w:r>
      <w:r w:rsidR="002A4AA5">
        <w:t xml:space="preserve"> to adjudicate</w:t>
      </w:r>
      <w:r w:rsidR="00FC61DE">
        <w:t>,</w:t>
      </w:r>
      <w:r w:rsidR="002A4AA5">
        <w:t xml:space="preserve"> the subject matter, which </w:t>
      </w:r>
      <w:r w:rsidR="003D2A5D">
        <w:t>motion</w:t>
      </w:r>
      <w:r w:rsidR="002A4AA5">
        <w:t xml:space="preserve"> must contain a notice to plead stating that an answer to the </w:t>
      </w:r>
      <w:r w:rsidR="003D2A5D">
        <w:t>motion</w:t>
      </w:r>
      <w:r w:rsidR="002A4AA5">
        <w:t xml:space="preserve"> shall be filed within </w:t>
      </w:r>
      <w:r w:rsidR="003D2A5D">
        <w:t>2</w:t>
      </w:r>
      <w:r w:rsidR="002A4AA5">
        <w:t xml:space="preserve">0 days of the service of the </w:t>
      </w:r>
      <w:r w:rsidR="003D2A5D">
        <w:t>mo</w:t>
      </w:r>
      <w:r w:rsidR="002A4AA5">
        <w:t xml:space="preserve">tion.  </w:t>
      </w:r>
    </w:p>
    <w:p w:rsidR="00332934" w:rsidRDefault="00332934" w:rsidP="001D66BF">
      <w:pPr>
        <w:spacing w:line="360" w:lineRule="auto"/>
      </w:pPr>
    </w:p>
    <w:p w:rsidR="00B36D27" w:rsidRDefault="001D66BF" w:rsidP="001D66BF">
      <w:pPr>
        <w:spacing w:line="360" w:lineRule="auto"/>
      </w:pPr>
      <w:r>
        <w:tab/>
      </w:r>
      <w:r>
        <w:tab/>
      </w:r>
      <w:r w:rsidR="003D2A5D">
        <w:t xml:space="preserve">This practice is found at Rule 1034 of the Pennsylvania Rules of Civil Procedure.  Therefore, the court interpretation of the Rule will be used as guidelines in determining whether </w:t>
      </w:r>
      <w:r w:rsidR="00972178">
        <w:t>a</w:t>
      </w:r>
      <w:r w:rsidR="003D2A5D">
        <w:t xml:space="preserve"> motion should be</w:t>
      </w:r>
      <w:r w:rsidR="00B36D27">
        <w:t xml:space="preserve"> </w:t>
      </w:r>
      <w:r w:rsidR="003D2A5D">
        <w:t xml:space="preserve">granted or denied.  </w:t>
      </w:r>
      <w:proofErr w:type="gramStart"/>
      <w:smartTag w:uri="urn:schemas-microsoft-com:office:smarttags" w:element="State">
        <w:r w:rsidR="00B36D27">
          <w:rPr>
            <w:u w:val="single"/>
          </w:rPr>
          <w:t>Pennsylvania</w:t>
        </w:r>
      </w:smartTag>
      <w:r w:rsidR="00B36D27">
        <w:rPr>
          <w:u w:val="single"/>
        </w:rPr>
        <w:t xml:space="preserve"> Public Utility Commission v. Williams</w:t>
      </w:r>
      <w:r w:rsidR="00B36D27">
        <w:t xml:space="preserve">, 53 </w:t>
      </w:r>
      <w:smartTag w:uri="urn:schemas-microsoft-com:office:smarttags" w:element="place">
        <w:smartTag w:uri="urn:schemas-microsoft-com:office:smarttags" w:element="State">
          <w:r w:rsidR="00B36D27">
            <w:t>Pa.</w:t>
          </w:r>
        </w:smartTag>
      </w:smartTag>
      <w:r w:rsidR="00B36D27">
        <w:t xml:space="preserve"> PUC 552 (1979).</w:t>
      </w:r>
      <w:proofErr w:type="gramEnd"/>
      <w:r w:rsidR="00B36D27">
        <w:t xml:space="preserve">  </w:t>
      </w:r>
    </w:p>
    <w:p w:rsidR="00B36D27" w:rsidRDefault="00B36D27" w:rsidP="001D66BF">
      <w:pPr>
        <w:spacing w:line="360" w:lineRule="auto"/>
      </w:pPr>
    </w:p>
    <w:p w:rsidR="001D66BF" w:rsidRDefault="00B36D27" w:rsidP="001D66BF">
      <w:pPr>
        <w:spacing w:line="360" w:lineRule="auto"/>
      </w:pPr>
      <w:r>
        <w:tab/>
      </w:r>
      <w:r>
        <w:tab/>
        <w:t xml:space="preserve">For a court to grant a motion for </w:t>
      </w:r>
      <w:r w:rsidR="00FC61DE">
        <w:t xml:space="preserve">summary judgment </w:t>
      </w:r>
      <w:r w:rsidR="00972178">
        <w:t>or</w:t>
      </w:r>
      <w:r w:rsidR="00FC61DE">
        <w:t xml:space="preserve"> </w:t>
      </w:r>
      <w:r>
        <w:t xml:space="preserve">judgment on the pleadings, the record must show that no facts are at issue and that the law is so clear that a trial would be a fruitless exercise.  All of the opposing party’s well-pleaded allegations are viewed as true but only those facts admitted by him may be considered against him.  </w:t>
      </w:r>
      <w:proofErr w:type="gramStart"/>
      <w:r w:rsidR="005C3105">
        <w:rPr>
          <w:u w:val="single"/>
        </w:rPr>
        <w:t xml:space="preserve">Beardell v. </w:t>
      </w:r>
      <w:smartTag w:uri="urn:schemas-microsoft-com:office:smarttags" w:element="place">
        <w:smartTag w:uri="urn:schemas-microsoft-com:office:smarttags" w:element="PlaceName">
          <w:r w:rsidR="005C3105">
            <w:rPr>
              <w:u w:val="single"/>
            </w:rPr>
            <w:t>Western</w:t>
          </w:r>
        </w:smartTag>
        <w:r w:rsidR="005C3105">
          <w:rPr>
            <w:u w:val="single"/>
          </w:rPr>
          <w:t xml:space="preserve"> </w:t>
        </w:r>
        <w:smartTag w:uri="urn:schemas-microsoft-com:office:smarttags" w:element="PlaceName">
          <w:smartTag w:uri="urn:schemas-microsoft-com:office:smarttags" w:element="City">
            <w:r w:rsidR="005C3105">
              <w:rPr>
                <w:u w:val="single"/>
              </w:rPr>
              <w:t>Wayne</w:t>
            </w:r>
          </w:smartTag>
        </w:smartTag>
        <w:r w:rsidR="005C3105">
          <w:rPr>
            <w:u w:val="single"/>
          </w:rPr>
          <w:t xml:space="preserve"> </w:t>
        </w:r>
        <w:smartTag w:uri="urn:schemas-microsoft-com:office:smarttags" w:element="City">
          <w:smartTag w:uri="urn:schemas-microsoft-com:office:smarttags" w:element="PlaceName">
            <w:r w:rsidR="005C3105">
              <w:rPr>
                <w:u w:val="single"/>
              </w:rPr>
              <w:t>School District</w:t>
            </w:r>
          </w:smartTag>
        </w:smartTag>
      </w:smartTag>
      <w:r w:rsidR="005C3105">
        <w:t>,</w:t>
      </w:r>
      <w:r w:rsidR="005C3105">
        <w:t xml:space="preserve"> </w:t>
      </w:r>
      <w:smartTag w:uri="urn:schemas-microsoft-com:office:smarttags" w:element="Street">
        <w:smartTag w:uri="urn:schemas-microsoft-com:office:smarttags" w:element="address">
          <w:smartTag w:uri="urn:schemas-microsoft-com:office:smarttags" w:element="PostalCode">
            <w:r w:rsidR="005C3105">
              <w:t>91</w:t>
            </w:r>
          </w:smartTag>
          <w:r w:rsidR="005C3105">
            <w:t xml:space="preserve"> </w:t>
          </w:r>
          <w:smartTag w:uri="urn:schemas-microsoft-com:office:smarttags" w:element="State">
            <w:r w:rsidR="005C3105">
              <w:t>Pa.</w:t>
            </w:r>
          </w:smartTag>
          <w:r w:rsidR="005C3105">
            <w:t xml:space="preserve"> Commonwealth Ct.</w:t>
          </w:r>
        </w:smartTag>
      </w:smartTag>
      <w:r w:rsidR="005C3105">
        <w:t xml:space="preserve"> 348, 496 A.2d 1373 (1985).</w:t>
      </w:r>
      <w:proofErr w:type="gramEnd"/>
    </w:p>
    <w:p w:rsidR="0065601C" w:rsidRDefault="0065601C" w:rsidP="001D66BF">
      <w:pPr>
        <w:spacing w:line="360" w:lineRule="auto"/>
      </w:pPr>
    </w:p>
    <w:p w:rsidR="0065601C" w:rsidRDefault="0065601C" w:rsidP="001D66BF">
      <w:pPr>
        <w:spacing w:line="360" w:lineRule="auto"/>
      </w:pPr>
      <w:r>
        <w:rPr>
          <w:u w:val="single"/>
        </w:rPr>
        <w:t>The Doctrine of Res Judicata</w:t>
      </w:r>
    </w:p>
    <w:p w:rsidR="0065601C" w:rsidRDefault="0065601C" w:rsidP="001D66BF">
      <w:pPr>
        <w:spacing w:line="360" w:lineRule="auto"/>
      </w:pPr>
    </w:p>
    <w:p w:rsidR="0065601C" w:rsidRDefault="0065601C" w:rsidP="001D66BF">
      <w:pPr>
        <w:spacing w:line="360" w:lineRule="auto"/>
      </w:pPr>
      <w:r>
        <w:tab/>
      </w:r>
      <w:r>
        <w:tab/>
        <w:t xml:space="preserve">The Respondent moves to dismiss the present complaint on the principle of res judicata.  Res judicata prevents the Complainant from suing on a claim that has already been decided.  The claim referred to by the Respondent was the complaint filed at Docket No. </w:t>
      </w:r>
      <w:proofErr w:type="gramStart"/>
      <w:r>
        <w:t>C</w:t>
      </w:r>
      <w:r>
        <w:noBreakHyphen/>
        <w:t>2008-2028733.</w:t>
      </w:r>
      <w:proofErr w:type="gramEnd"/>
      <w:r>
        <w:t xml:space="preserve">  The Respondent </w:t>
      </w:r>
      <w:r w:rsidR="001D048C">
        <w:t xml:space="preserve">argues that the subject matter, parties, and request for relief are identical in the prior complaint </w:t>
      </w:r>
      <w:r w:rsidR="00972178">
        <w:t>(</w:t>
      </w:r>
      <w:r w:rsidR="001D048C">
        <w:t xml:space="preserve">Docket No. </w:t>
      </w:r>
      <w:proofErr w:type="gramStart"/>
      <w:r w:rsidR="001D048C">
        <w:t>C-2008-2028733</w:t>
      </w:r>
      <w:r w:rsidR="00972178">
        <w:t>)</w:t>
      </w:r>
      <w:r w:rsidR="001D048C">
        <w:t xml:space="preserve"> and the present complaint at Docket No.</w:t>
      </w:r>
      <w:proofErr w:type="gramEnd"/>
      <w:r w:rsidR="001D048C">
        <w:t xml:space="preserve"> </w:t>
      </w:r>
      <w:proofErr w:type="gramStart"/>
      <w:r w:rsidR="001D048C">
        <w:t>C-2010-2170452, and that the Complainant did not file exceptions to the Initial Decision at Docket No.</w:t>
      </w:r>
      <w:proofErr w:type="gramEnd"/>
      <w:r w:rsidR="001D048C">
        <w:t xml:space="preserve"> </w:t>
      </w:r>
      <w:proofErr w:type="gramStart"/>
      <w:r w:rsidR="001D048C">
        <w:t>C-2008-2028733, which became final on July 9, 2009 without further Commission action.</w:t>
      </w:r>
      <w:proofErr w:type="gramEnd"/>
    </w:p>
    <w:p w:rsidR="001D048C" w:rsidRDefault="001D048C" w:rsidP="001D66BF">
      <w:pPr>
        <w:spacing w:line="360" w:lineRule="auto"/>
      </w:pPr>
    </w:p>
    <w:p w:rsidR="001D048C" w:rsidRDefault="001D048C" w:rsidP="001D66BF">
      <w:pPr>
        <w:spacing w:line="360" w:lineRule="auto"/>
      </w:pPr>
      <w:r>
        <w:tab/>
      </w:r>
      <w:r>
        <w:tab/>
        <w:t xml:space="preserve">For the principle of res judicata to apply, four conditions must exist:  (1) identity in the thing sued for; (2) identity of the cause of action; (3) identity of parties to the action; and (4) identity of the capacity of the parties suing or being sued.  </w:t>
      </w:r>
      <w:proofErr w:type="gramStart"/>
      <w:r>
        <w:rPr>
          <w:u w:val="single"/>
        </w:rPr>
        <w:t>Kurtz v. Workmen’s Compensation Appeal Board</w:t>
      </w:r>
      <w:r>
        <w:t>, 95 Pa. Commonwealth Ct. 110, 504 A.2d 428 (1986).</w:t>
      </w:r>
      <w:proofErr w:type="gramEnd"/>
    </w:p>
    <w:p w:rsidR="001D048C" w:rsidRDefault="001D048C" w:rsidP="001D66BF">
      <w:pPr>
        <w:spacing w:line="360" w:lineRule="auto"/>
      </w:pPr>
    </w:p>
    <w:p w:rsidR="001D048C" w:rsidRDefault="002D1DA3" w:rsidP="001D66BF">
      <w:pPr>
        <w:spacing w:line="360" w:lineRule="auto"/>
      </w:pPr>
      <w:r>
        <w:tab/>
      </w:r>
      <w:r>
        <w:tab/>
        <w:t xml:space="preserve">About the application of res judicata, in </w:t>
      </w:r>
      <w:r>
        <w:rPr>
          <w:u w:val="single"/>
        </w:rPr>
        <w:t>Stevenson v. Silverman</w:t>
      </w:r>
      <w:r>
        <w:t>, 417 Pa. 187, 208 A.2d 786 (1965), the Supreme Court of Pennsylvania has stated that the rule should not be defeated by minor differences of form, parties, or allegations when these are contrived to obscure the real purpose, and that the present parties actually had an opportunity to appear and assert their rights:</w:t>
      </w:r>
    </w:p>
    <w:p w:rsidR="002D1DA3" w:rsidRDefault="002D1DA3" w:rsidP="001D66BF">
      <w:pPr>
        <w:spacing w:line="360" w:lineRule="auto"/>
      </w:pPr>
    </w:p>
    <w:p w:rsidR="002D1DA3" w:rsidRDefault="004C608C" w:rsidP="00276975">
      <w:pPr>
        <w:ind w:left="1440" w:right="1440"/>
      </w:pPr>
      <w:r>
        <w:br w:type="page"/>
      </w:r>
      <w:r w:rsidR="00276975">
        <w:lastRenderedPageBreak/>
        <w:tab/>
        <w:t xml:space="preserve">The doctrine of res judicata is based on public policy and seeks to prevent an individual from being vexed twice for the same cause.  If any case calls for its application, this is it.  As pertinently stated in </w:t>
      </w:r>
      <w:r w:rsidR="00276975">
        <w:rPr>
          <w:u w:val="single"/>
        </w:rPr>
        <w:t>Hochman v. Mortgage Fin. Corp.</w:t>
      </w:r>
      <w:r w:rsidR="00276975">
        <w:t>, 289 Pa. 260, 263, 137 A.252, 253 (1927):  “The rule should not be defeated by minor differences of form, parties, or allegations, when these are contrived only to obscure</w:t>
      </w:r>
      <w:r w:rsidR="00C26B78">
        <w:t xml:space="preserve"> the real purpose – a second trial on the same cause between the parties.  The thing which the court will consider is whether the ultimate and controlling issues have been decided in a prior proceeding in which </w:t>
      </w:r>
      <w:r w:rsidR="00C26B78">
        <w:rPr>
          <w:i/>
        </w:rPr>
        <w:t>the present parties actually had an opportunity to appear and assert their rights</w:t>
      </w:r>
      <w:r w:rsidR="00C26B78">
        <w:t xml:space="preserve">.  If this is the fact, then the matter ought not to be litigated again, nor should the parties, by a shuffling of plaintiffs on the record, or by change in </w:t>
      </w:r>
      <w:r w:rsidR="00184C0B">
        <w:t>the character of the relief sought, by permitted to nullify the rule.”  (Emphasis supplied.)</w:t>
      </w:r>
    </w:p>
    <w:p w:rsidR="00184C0B" w:rsidRDefault="00184C0B" w:rsidP="00276975">
      <w:pPr>
        <w:ind w:left="1440" w:right="1440"/>
      </w:pPr>
    </w:p>
    <w:p w:rsidR="00184C0B" w:rsidRDefault="00184C0B" w:rsidP="00276975">
      <w:pPr>
        <w:ind w:left="1440" w:right="1440"/>
      </w:pPr>
    </w:p>
    <w:p w:rsidR="00B503DC" w:rsidRDefault="00CC5F2C" w:rsidP="00184C0B">
      <w:pPr>
        <w:spacing w:line="360" w:lineRule="auto"/>
      </w:pPr>
      <w:r>
        <w:tab/>
      </w:r>
      <w:r>
        <w:tab/>
        <w:t>Here,</w:t>
      </w:r>
      <w:r w:rsidR="004C608C">
        <w:t xml:space="preserve"> both</w:t>
      </w:r>
      <w:r>
        <w:t xml:space="preserve"> the thing sued for</w:t>
      </w:r>
      <w:r w:rsidR="004C608C">
        <w:t xml:space="preserve"> and the </w:t>
      </w:r>
      <w:proofErr w:type="gramStart"/>
      <w:r w:rsidR="004C608C">
        <w:t>cause of action are</w:t>
      </w:r>
      <w:proofErr w:type="gramEnd"/>
      <w:r>
        <w:t xml:space="preserve"> the same in the </w:t>
      </w:r>
      <w:r w:rsidR="004C608C">
        <w:t>previous and the present</w:t>
      </w:r>
      <w:r>
        <w:t xml:space="preserve"> complaint</w:t>
      </w:r>
      <w:r w:rsidR="004C608C">
        <w:t xml:space="preserve">: </w:t>
      </w:r>
      <w:r>
        <w:t xml:space="preserve"> the Complainant</w:t>
      </w:r>
      <w:r w:rsidR="004C608C">
        <w:t>’s</w:t>
      </w:r>
      <w:r>
        <w:t xml:space="preserve"> alleg</w:t>
      </w:r>
      <w:r w:rsidR="004C608C">
        <w:t>ations of</w:t>
      </w:r>
      <w:r>
        <w:t xml:space="preserve"> the Respondent’s improper billing for service to her 5663 Pentridge address.  </w:t>
      </w:r>
      <w:r w:rsidR="004C608C">
        <w:t>So are</w:t>
      </w:r>
      <w:r w:rsidR="00B503DC">
        <w:t xml:space="preserve"> the parties and the capacity of the parties suing or being sued.</w:t>
      </w:r>
      <w:r w:rsidR="004C608C">
        <w:t xml:space="preserve">  </w:t>
      </w:r>
      <w:r w:rsidR="00B503DC">
        <w:t>Therefore, I conclude that the ultimate and controlling issues have been decided in the prior proceeding in which the present parties actually had an opportunity to appear and assert their rights, and that the matter ought not to be litigated again.</w:t>
      </w:r>
    </w:p>
    <w:p w:rsidR="00B503DC" w:rsidRDefault="00B503DC" w:rsidP="00184C0B">
      <w:pPr>
        <w:spacing w:line="360" w:lineRule="auto"/>
      </w:pPr>
    </w:p>
    <w:p w:rsidR="00B503DC" w:rsidRDefault="00137153" w:rsidP="00184C0B">
      <w:pPr>
        <w:spacing w:line="360" w:lineRule="auto"/>
      </w:pPr>
      <w:r>
        <w:rPr>
          <w:u w:val="single"/>
        </w:rPr>
        <w:t>The Complainant is ineligible for the Commission’s negotiated or approved payment agreement</w:t>
      </w:r>
    </w:p>
    <w:p w:rsidR="00137153" w:rsidRDefault="00137153" w:rsidP="00184C0B">
      <w:pPr>
        <w:spacing w:line="360" w:lineRule="auto"/>
      </w:pPr>
    </w:p>
    <w:p w:rsidR="006E70AC" w:rsidRDefault="006E70AC" w:rsidP="001D66BF">
      <w:pPr>
        <w:spacing w:line="360" w:lineRule="auto"/>
      </w:pPr>
      <w:r>
        <w:tab/>
      </w:r>
      <w:r>
        <w:tab/>
        <w:t xml:space="preserve">In part, Section 1405 relating to Payment agreements, 66 Pa. C.S. </w:t>
      </w:r>
      <w:r w:rsidRPr="00EC2D06">
        <w:t>§</w:t>
      </w:r>
      <w:r>
        <w:t>1405, provides as follows:</w:t>
      </w:r>
    </w:p>
    <w:p w:rsidR="006E70AC" w:rsidRDefault="006E70AC" w:rsidP="001D66BF">
      <w:pPr>
        <w:spacing w:line="360" w:lineRule="auto"/>
      </w:pPr>
    </w:p>
    <w:p w:rsidR="006E70AC" w:rsidRDefault="006E70AC" w:rsidP="006E70AC">
      <w:pPr>
        <w:ind w:left="1440" w:right="1440"/>
      </w:pPr>
      <w:r>
        <w:t xml:space="preserve">    (c)  </w:t>
      </w:r>
      <w:r>
        <w:rPr>
          <w:b/>
        </w:rPr>
        <w:t>Customer assistance programs.</w:t>
      </w:r>
      <w:r>
        <w:t xml:space="preserve"> – Customer assistance program rates shall be timely paid and shall not be the subject of payment agreements negotiated or approved by the commission.</w:t>
      </w:r>
    </w:p>
    <w:p w:rsidR="006E70AC" w:rsidRDefault="006E70AC" w:rsidP="006E70AC">
      <w:pPr>
        <w:ind w:left="1440" w:right="1440"/>
      </w:pPr>
    </w:p>
    <w:p w:rsidR="006E70AC" w:rsidRDefault="006E70AC" w:rsidP="006E70AC">
      <w:pPr>
        <w:ind w:left="1440" w:right="1440"/>
      </w:pPr>
    </w:p>
    <w:p w:rsidR="006E70AC" w:rsidRPr="006E70AC" w:rsidRDefault="00211D63" w:rsidP="006E70AC">
      <w:pPr>
        <w:spacing w:line="360" w:lineRule="auto"/>
      </w:pPr>
      <w:r>
        <w:tab/>
      </w:r>
      <w:r>
        <w:tab/>
        <w:t xml:space="preserve">Under these provisions, a customer participating in a customer assistance program must pay the customer’s CAP rates and the Commission does not have </w:t>
      </w:r>
      <w:r w:rsidR="00727B25">
        <w:t>authority</w:t>
      </w:r>
      <w:r>
        <w:t xml:space="preserve"> to ne</w:t>
      </w:r>
      <w:r w:rsidR="00727B25">
        <w:t>gotiate or approve an agreement even though it has jurisdiction over the parties and the subject matter.</w:t>
      </w:r>
    </w:p>
    <w:p w:rsidR="006E70AC" w:rsidRDefault="006E70AC" w:rsidP="001D66BF">
      <w:pPr>
        <w:spacing w:line="360" w:lineRule="auto"/>
      </w:pPr>
    </w:p>
    <w:p w:rsidR="00137153" w:rsidRDefault="008F0BC9" w:rsidP="001D66BF">
      <w:pPr>
        <w:spacing w:line="360" w:lineRule="auto"/>
      </w:pPr>
      <w:r>
        <w:lastRenderedPageBreak/>
        <w:tab/>
      </w:r>
      <w:r>
        <w:tab/>
        <w:t xml:space="preserve">Here, the </w:t>
      </w:r>
      <w:r w:rsidR="00211D63">
        <w:t xml:space="preserve">Complainant </w:t>
      </w:r>
      <w:r w:rsidR="00137153">
        <w:t>was</w:t>
      </w:r>
      <w:r w:rsidR="00211D63">
        <w:t xml:space="preserve"> a member of the Respondent’s CAP program </w:t>
      </w:r>
      <w:r w:rsidR="00137153">
        <w:t>between December 7, 1998 and April 19, 2006</w:t>
      </w:r>
      <w:r w:rsidR="00211D63">
        <w:t xml:space="preserve">, and therefore, </w:t>
      </w:r>
      <w:r w:rsidR="00137153">
        <w:t>s</w:t>
      </w:r>
      <w:r w:rsidR="00211D63">
        <w:t xml:space="preserve">he has to pay the CAP </w:t>
      </w:r>
      <w:r w:rsidR="00946A0F">
        <w:t>arrearage</w:t>
      </w:r>
      <w:r w:rsidR="00211D63">
        <w:t xml:space="preserve"> and is not entitled to an agreement negotiated or approved by the Commission</w:t>
      </w:r>
      <w:r w:rsidR="00946A0F">
        <w:t xml:space="preserve"> on the CAP arrearage</w:t>
      </w:r>
      <w:r w:rsidR="00211D63">
        <w:t xml:space="preserve">. </w:t>
      </w:r>
    </w:p>
    <w:p w:rsidR="00137153" w:rsidRDefault="00137153" w:rsidP="001D66BF">
      <w:pPr>
        <w:spacing w:line="360" w:lineRule="auto"/>
      </w:pPr>
    </w:p>
    <w:p w:rsidR="008F0BC9" w:rsidRDefault="00137153" w:rsidP="001D66BF">
      <w:pPr>
        <w:spacing w:line="360" w:lineRule="auto"/>
      </w:pPr>
      <w:r>
        <w:tab/>
      </w:r>
      <w:r>
        <w:tab/>
        <w:t>Further, a utility may transfer an unpaid balance to a new residential service account of the same ratepayer.</w:t>
      </w:r>
      <w:r w:rsidR="00A32294">
        <w:rPr>
          <w:rStyle w:val="FootnoteReference"/>
        </w:rPr>
        <w:footnoteReference w:id="2"/>
      </w:r>
      <w:r w:rsidR="00211D63">
        <w:t xml:space="preserve"> </w:t>
      </w:r>
      <w:r w:rsidR="00C020FB">
        <w:t xml:space="preserve">  </w:t>
      </w:r>
    </w:p>
    <w:p w:rsidR="007E381F" w:rsidRDefault="007E381F" w:rsidP="001D66BF">
      <w:pPr>
        <w:spacing w:line="360" w:lineRule="auto"/>
      </w:pPr>
    </w:p>
    <w:p w:rsidR="007E381F" w:rsidRPr="008F0BC9" w:rsidRDefault="007E381F" w:rsidP="001D66BF">
      <w:pPr>
        <w:spacing w:line="360" w:lineRule="auto"/>
      </w:pPr>
      <w:r>
        <w:tab/>
      </w:r>
      <w:r>
        <w:tab/>
        <w:t>Because the facts are not in dispute and because the law on the subject of negotiating or approving an agreement is clear, a hearing on this complaint would be a futile exercise of the Commission’s quasi-judicial function.</w:t>
      </w:r>
    </w:p>
    <w:p w:rsidR="001D66BF" w:rsidRDefault="001D66BF" w:rsidP="001D66BF">
      <w:pPr>
        <w:spacing w:line="360" w:lineRule="auto"/>
      </w:pPr>
    </w:p>
    <w:p w:rsidR="001D66BF" w:rsidRDefault="001D66BF" w:rsidP="004D614F">
      <w:pPr>
        <w:spacing w:line="360" w:lineRule="auto"/>
        <w:jc w:val="center"/>
        <w:outlineLvl w:val="0"/>
      </w:pPr>
      <w:r>
        <w:rPr>
          <w:u w:val="single"/>
        </w:rPr>
        <w:t>CONCLUSIONS OF LAW</w:t>
      </w:r>
    </w:p>
    <w:p w:rsidR="001D66BF" w:rsidRDefault="001D66BF" w:rsidP="001D66BF">
      <w:pPr>
        <w:spacing w:line="360" w:lineRule="auto"/>
        <w:jc w:val="center"/>
      </w:pPr>
    </w:p>
    <w:p w:rsidR="005C3105" w:rsidRDefault="001D66BF" w:rsidP="001D66BF">
      <w:pPr>
        <w:spacing w:line="360" w:lineRule="auto"/>
      </w:pPr>
      <w:r>
        <w:tab/>
      </w:r>
      <w:r>
        <w:tab/>
        <w:t>1.</w:t>
      </w:r>
      <w:r>
        <w:tab/>
      </w:r>
      <w:r w:rsidR="005C3105">
        <w:t>The Commission has jurisdiction over the parties and the subject matter of the complaint.</w:t>
      </w:r>
    </w:p>
    <w:p w:rsidR="00A32294" w:rsidRDefault="00A32294" w:rsidP="001D66BF">
      <w:pPr>
        <w:spacing w:line="360" w:lineRule="auto"/>
      </w:pPr>
    </w:p>
    <w:p w:rsidR="00A32294" w:rsidRPr="00265AA2" w:rsidRDefault="00A32294" w:rsidP="001D66BF">
      <w:pPr>
        <w:spacing w:line="360" w:lineRule="auto"/>
      </w:pPr>
      <w:r>
        <w:tab/>
      </w:r>
      <w:r>
        <w:tab/>
        <w:t>2.</w:t>
      </w:r>
      <w:r>
        <w:tab/>
        <w:t>The Complainant is barred by the doctrine of Res Judicata from suing on a claim that has already been decided.</w:t>
      </w:r>
    </w:p>
    <w:p w:rsidR="001D66BF" w:rsidRDefault="001D66BF" w:rsidP="001D66BF">
      <w:pPr>
        <w:spacing w:line="360" w:lineRule="auto"/>
      </w:pPr>
    </w:p>
    <w:p w:rsidR="001D66BF" w:rsidRDefault="001D66BF" w:rsidP="001D66BF">
      <w:pPr>
        <w:spacing w:line="360" w:lineRule="auto"/>
      </w:pPr>
      <w:r>
        <w:tab/>
      </w:r>
      <w:r>
        <w:tab/>
      </w:r>
      <w:r w:rsidR="00A32294">
        <w:t>3</w:t>
      </w:r>
      <w:r>
        <w:t>.</w:t>
      </w:r>
      <w:r>
        <w:tab/>
        <w:t xml:space="preserve">The </w:t>
      </w:r>
      <w:r w:rsidR="00265AA2">
        <w:t xml:space="preserve">Commission does not have </w:t>
      </w:r>
      <w:r w:rsidR="007E381F">
        <w:t>authority</w:t>
      </w:r>
      <w:r w:rsidR="00265AA2">
        <w:t xml:space="preserve"> to </w:t>
      </w:r>
      <w:r w:rsidR="00211D63">
        <w:t xml:space="preserve">negotiate or approve an agreement when a complainant is participating in a utility’s Customer Assistance Program.  </w:t>
      </w:r>
      <w:proofErr w:type="gramStart"/>
      <w:r w:rsidR="00211D63">
        <w:t xml:space="preserve">66 </w:t>
      </w:r>
      <w:smartTag w:uri="urn:schemas-microsoft-com:office:smarttags" w:element="place">
        <w:smartTag w:uri="urn:schemas-microsoft-com:office:smarttags" w:element="State">
          <w:r w:rsidR="00211D63">
            <w:t>Pa.</w:t>
          </w:r>
        </w:smartTag>
      </w:smartTag>
      <w:r w:rsidR="00211D63">
        <w:t xml:space="preserve"> C.S. </w:t>
      </w:r>
      <w:r w:rsidR="00211D63" w:rsidRPr="00EC2D06">
        <w:t>§</w:t>
      </w:r>
      <w:r w:rsidR="00211D63">
        <w:t>1405(c).</w:t>
      </w:r>
      <w:proofErr w:type="gramEnd"/>
    </w:p>
    <w:p w:rsidR="001D66BF" w:rsidRDefault="001D66BF" w:rsidP="001D66BF">
      <w:pPr>
        <w:spacing w:line="360" w:lineRule="auto"/>
      </w:pPr>
    </w:p>
    <w:p w:rsidR="001D66BF" w:rsidRDefault="004C608C" w:rsidP="004D614F">
      <w:pPr>
        <w:spacing w:line="360" w:lineRule="auto"/>
        <w:jc w:val="center"/>
        <w:outlineLvl w:val="0"/>
      </w:pPr>
      <w:r>
        <w:rPr>
          <w:u w:val="single"/>
        </w:rPr>
        <w:br w:type="page"/>
      </w:r>
      <w:r w:rsidR="001D66BF">
        <w:rPr>
          <w:u w:val="single"/>
        </w:rPr>
        <w:lastRenderedPageBreak/>
        <w:t>ORDER</w:t>
      </w:r>
    </w:p>
    <w:p w:rsidR="001D66BF" w:rsidRDefault="001D66BF" w:rsidP="001D66BF">
      <w:pPr>
        <w:spacing w:line="360" w:lineRule="auto"/>
        <w:jc w:val="center"/>
      </w:pPr>
    </w:p>
    <w:p w:rsidR="001D66BF" w:rsidRDefault="001D66BF" w:rsidP="001D66BF">
      <w:pPr>
        <w:spacing w:line="360" w:lineRule="auto"/>
      </w:pPr>
      <w:r>
        <w:tab/>
      </w:r>
      <w:r>
        <w:tab/>
        <w:t>THEREFORE,</w:t>
      </w:r>
    </w:p>
    <w:p w:rsidR="001D66BF" w:rsidRDefault="001D66BF" w:rsidP="001D66BF">
      <w:pPr>
        <w:spacing w:line="360" w:lineRule="auto"/>
      </w:pPr>
    </w:p>
    <w:p w:rsidR="001D66BF" w:rsidRDefault="001D66BF" w:rsidP="004D614F">
      <w:pPr>
        <w:spacing w:line="360" w:lineRule="auto"/>
        <w:outlineLvl w:val="0"/>
      </w:pPr>
      <w:r>
        <w:tab/>
      </w:r>
      <w:r>
        <w:tab/>
        <w:t>IT IS ORDERED:</w:t>
      </w:r>
    </w:p>
    <w:p w:rsidR="00A32294" w:rsidRDefault="00A32294" w:rsidP="004D614F">
      <w:pPr>
        <w:spacing w:line="360" w:lineRule="auto"/>
        <w:outlineLvl w:val="0"/>
      </w:pPr>
    </w:p>
    <w:p w:rsidR="00A32294" w:rsidRDefault="00A32294" w:rsidP="004D614F">
      <w:pPr>
        <w:spacing w:line="360" w:lineRule="auto"/>
        <w:outlineLvl w:val="0"/>
      </w:pPr>
      <w:r>
        <w:tab/>
      </w:r>
      <w:r>
        <w:tab/>
        <w:t>1.</w:t>
      </w:r>
      <w:r>
        <w:tab/>
        <w:t>That the Motion for Judgment on the Pleadings filed by PECO Energy Company at Docket No. C-2010-2170452 is granted.</w:t>
      </w:r>
    </w:p>
    <w:p w:rsidR="00A32294" w:rsidRDefault="00A32294" w:rsidP="004D614F">
      <w:pPr>
        <w:spacing w:line="360" w:lineRule="auto"/>
        <w:outlineLvl w:val="0"/>
      </w:pPr>
    </w:p>
    <w:p w:rsidR="00A32294" w:rsidRDefault="00A32294" w:rsidP="004D614F">
      <w:pPr>
        <w:spacing w:line="360" w:lineRule="auto"/>
        <w:outlineLvl w:val="0"/>
      </w:pPr>
      <w:r>
        <w:tab/>
      </w:r>
      <w:r>
        <w:tab/>
        <w:t>2.</w:t>
      </w:r>
      <w:r>
        <w:tab/>
        <w:t>That the complaint of Nancy L. Manson against PECO Energy Company at Docket No. C-2010-2170452 is barred by the doctrine of Res Judicata.</w:t>
      </w:r>
    </w:p>
    <w:p w:rsidR="001D66BF" w:rsidRDefault="001D66BF" w:rsidP="001D66BF">
      <w:pPr>
        <w:spacing w:line="360" w:lineRule="auto"/>
      </w:pPr>
    </w:p>
    <w:p w:rsidR="001D66BF" w:rsidRDefault="00A32294" w:rsidP="001D66BF">
      <w:pPr>
        <w:spacing w:line="360" w:lineRule="auto"/>
      </w:pPr>
      <w:r>
        <w:tab/>
      </w:r>
      <w:r>
        <w:tab/>
        <w:t>3</w:t>
      </w:r>
      <w:r w:rsidR="001D66BF">
        <w:t>.</w:t>
      </w:r>
      <w:r w:rsidR="001D66BF">
        <w:tab/>
        <w:t xml:space="preserve">That the </w:t>
      </w:r>
      <w:r w:rsidR="00265AA2">
        <w:t xml:space="preserve">complaint of </w:t>
      </w:r>
      <w:r>
        <w:t>Nancy L. Manson</w:t>
      </w:r>
      <w:r w:rsidR="00265AA2">
        <w:t xml:space="preserve"> against </w:t>
      </w:r>
      <w:r w:rsidR="00211D63">
        <w:t>PECO Energy Company</w:t>
      </w:r>
      <w:r w:rsidR="00265AA2">
        <w:t xml:space="preserve"> at Docket No. </w:t>
      </w:r>
      <w:r>
        <w:t>C-2010-2170452</w:t>
      </w:r>
      <w:r w:rsidR="004920C5">
        <w:t xml:space="preserve"> is dismissed for lack of</w:t>
      </w:r>
      <w:r w:rsidR="007E381F">
        <w:t xml:space="preserve"> authority</w:t>
      </w:r>
      <w:r w:rsidR="005C3105">
        <w:t xml:space="preserve"> to negotiate or approve an agreement </w:t>
      </w:r>
      <w:r w:rsidR="00946A0F">
        <w:t xml:space="preserve">on the unpaid </w:t>
      </w:r>
      <w:r w:rsidR="005C3105">
        <w:t>Customer Assistance Program</w:t>
      </w:r>
      <w:r w:rsidR="00946A0F">
        <w:t xml:space="preserve"> balance</w:t>
      </w:r>
      <w:r w:rsidR="005C3105">
        <w:t>.</w:t>
      </w:r>
    </w:p>
    <w:p w:rsidR="00946A0F" w:rsidRDefault="00946A0F" w:rsidP="001D66BF">
      <w:pPr>
        <w:spacing w:line="360" w:lineRule="auto"/>
      </w:pPr>
    </w:p>
    <w:p w:rsidR="00946A0F" w:rsidRDefault="00946A0F" w:rsidP="001D66BF">
      <w:pPr>
        <w:spacing w:line="360" w:lineRule="auto"/>
      </w:pPr>
      <w:r>
        <w:tab/>
      </w:r>
      <w:r>
        <w:tab/>
        <w:t>4.</w:t>
      </w:r>
      <w:r>
        <w:tab/>
        <w:t xml:space="preserve">That the complaint is dismissed because of lack of Commission authority to establish or order a subsequent payment agreement when the Complainant has defaulted on previous </w:t>
      </w:r>
      <w:r w:rsidR="002F144F">
        <w:t>payments, including a previous Commission-established payment agreement.</w:t>
      </w:r>
    </w:p>
    <w:p w:rsidR="00D31AC5" w:rsidRDefault="00D31AC5" w:rsidP="001D66BF">
      <w:pPr>
        <w:spacing w:line="360" w:lineRule="auto"/>
      </w:pPr>
    </w:p>
    <w:p w:rsidR="00D31AC5" w:rsidRDefault="00D31AC5" w:rsidP="001D66BF">
      <w:pPr>
        <w:spacing w:line="360" w:lineRule="auto"/>
      </w:pPr>
      <w:r>
        <w:tab/>
      </w:r>
      <w:r>
        <w:tab/>
      </w:r>
      <w:r w:rsidR="00946A0F">
        <w:t>5</w:t>
      </w:r>
      <w:r>
        <w:t>.</w:t>
      </w:r>
      <w:r>
        <w:tab/>
        <w:t xml:space="preserve">That the hearing scheduled for this complaint on </w:t>
      </w:r>
      <w:r w:rsidR="00725ED6">
        <w:t>April 29</w:t>
      </w:r>
      <w:r>
        <w:t>, 2011 be cancelled.</w:t>
      </w:r>
    </w:p>
    <w:p w:rsidR="001D66BF" w:rsidRDefault="001D66BF" w:rsidP="001D66BF">
      <w:pPr>
        <w:spacing w:line="360" w:lineRule="auto"/>
      </w:pPr>
    </w:p>
    <w:p w:rsidR="001D66BF" w:rsidRDefault="001D66BF" w:rsidP="001D66BF">
      <w:pPr>
        <w:spacing w:line="360" w:lineRule="auto"/>
      </w:pPr>
    </w:p>
    <w:p w:rsidR="0006144D" w:rsidRDefault="0006144D" w:rsidP="001D66BF">
      <w:pPr>
        <w:spacing w:line="360" w:lineRule="auto"/>
      </w:pPr>
    </w:p>
    <w:p w:rsidR="001D66BF" w:rsidRDefault="001D66BF" w:rsidP="001D66BF">
      <w:r>
        <w:t>Date:</w:t>
      </w:r>
      <w:r>
        <w:tab/>
      </w:r>
      <w:r w:rsidR="00211D63">
        <w:rPr>
          <w:u w:val="single"/>
        </w:rPr>
        <w:t>        </w:t>
      </w:r>
      <w:r w:rsidR="00D31AC5">
        <w:rPr>
          <w:u w:val="single"/>
        </w:rPr>
        <w:t xml:space="preserve"> </w:t>
      </w:r>
      <w:r w:rsidR="00725ED6">
        <w:rPr>
          <w:u w:val="single"/>
        </w:rPr>
        <w:t>April 8</w:t>
      </w:r>
      <w:r w:rsidR="0053617B">
        <w:rPr>
          <w:u w:val="single"/>
        </w:rPr>
        <w:t>, 2011</w:t>
      </w:r>
      <w:r w:rsidR="00211D63">
        <w:rPr>
          <w:u w:val="single"/>
        </w:rPr>
        <w:t>              </w:t>
      </w:r>
      <w:r>
        <w:tab/>
      </w:r>
      <w:r w:rsidR="00725ED6">
        <w:tab/>
      </w:r>
      <w:r>
        <w:tab/>
        <w:t>____________________________________</w:t>
      </w:r>
    </w:p>
    <w:p w:rsidR="001D66BF" w:rsidRDefault="001D66BF" w:rsidP="001D66BF">
      <w:r>
        <w:tab/>
      </w:r>
      <w:r>
        <w:tab/>
      </w:r>
      <w:r>
        <w:tab/>
      </w:r>
      <w:r>
        <w:tab/>
      </w:r>
      <w:r>
        <w:tab/>
      </w:r>
      <w:r>
        <w:tab/>
      </w:r>
      <w:r>
        <w:tab/>
      </w:r>
      <w:proofErr w:type="gramStart"/>
      <w:r>
        <w:t>Ky</w:t>
      </w:r>
      <w:proofErr w:type="gramEnd"/>
      <w:r>
        <w:t xml:space="preserve"> Van Nguyen</w:t>
      </w:r>
    </w:p>
    <w:p w:rsidR="001D66BF" w:rsidRDefault="001D66BF" w:rsidP="008A6D98">
      <w:r>
        <w:tab/>
      </w:r>
      <w:r>
        <w:tab/>
      </w:r>
      <w:r>
        <w:tab/>
      </w:r>
      <w:r>
        <w:tab/>
      </w:r>
      <w:r>
        <w:tab/>
      </w:r>
      <w:r>
        <w:tab/>
      </w:r>
      <w:r>
        <w:tab/>
        <w:t xml:space="preserve">Administrative Law Judge  </w:t>
      </w:r>
    </w:p>
    <w:p w:rsidR="00D31AC5" w:rsidRDefault="00D31AC5" w:rsidP="008A6D98"/>
    <w:p w:rsidR="00D31AC5" w:rsidRDefault="00D31AC5" w:rsidP="008A6D98">
      <w:pPr>
        <w:rPr>
          <w:b/>
        </w:rPr>
        <w:sectPr w:rsidR="00D31AC5" w:rsidSect="004C608C">
          <w:footerReference w:type="even" r:id="rId8"/>
          <w:footerReference w:type="default" r:id="rId9"/>
          <w:pgSz w:w="12240" w:h="15840"/>
          <w:pgMar w:top="1584" w:right="1440" w:bottom="1440" w:left="1440" w:header="720" w:footer="720" w:gutter="0"/>
          <w:cols w:space="720"/>
          <w:titlePg/>
          <w:docGrid w:linePitch="360"/>
        </w:sectPr>
      </w:pPr>
    </w:p>
    <w:p w:rsidR="00D31AC5" w:rsidRPr="003907AB" w:rsidRDefault="00D31AC5" w:rsidP="00D31AC5">
      <w:pPr>
        <w:tabs>
          <w:tab w:val="center" w:pos="4752"/>
        </w:tabs>
        <w:suppressAutoHyphens/>
        <w:jc w:val="center"/>
        <w:rPr>
          <w:b/>
          <w:kern w:val="1"/>
        </w:rPr>
      </w:pPr>
      <w:r w:rsidRPr="003907AB">
        <w:rPr>
          <w:b/>
          <w:kern w:val="1"/>
        </w:rPr>
        <w:lastRenderedPageBreak/>
        <w:t>PENNSYLVANIA PUBLIC UTILITY COMMISSION</w:t>
      </w:r>
    </w:p>
    <w:p w:rsidR="00D31AC5" w:rsidRPr="003907AB" w:rsidRDefault="00D31AC5" w:rsidP="00D31AC5">
      <w:pPr>
        <w:tabs>
          <w:tab w:val="center" w:pos="4752"/>
        </w:tabs>
        <w:suppressAutoHyphens/>
        <w:rPr>
          <w:kern w:val="1"/>
        </w:rPr>
      </w:pPr>
      <w:r w:rsidRPr="003907AB">
        <w:rPr>
          <w:b/>
          <w:kern w:val="1"/>
        </w:rPr>
        <w:tab/>
        <w:t>Uniform Cover and Calendar Sheet</w:t>
      </w:r>
    </w:p>
    <w:tbl>
      <w:tblPr>
        <w:tblW w:w="0" w:type="auto"/>
        <w:jc w:val="center"/>
        <w:tblLayout w:type="fixed"/>
        <w:tblCellMar>
          <w:left w:w="120" w:type="dxa"/>
          <w:right w:w="120" w:type="dxa"/>
        </w:tblCellMar>
        <w:tblLook w:val="0000"/>
      </w:tblPr>
      <w:tblGrid>
        <w:gridCol w:w="5110"/>
        <w:gridCol w:w="4394"/>
      </w:tblGrid>
      <w:tr w:rsidR="00D31AC5" w:rsidRPr="003907AB" w:rsidTr="00E40B34">
        <w:trPr>
          <w:jc w:val="center"/>
        </w:trPr>
        <w:tc>
          <w:tcPr>
            <w:tcW w:w="5110" w:type="dxa"/>
            <w:tcBorders>
              <w:top w:val="double" w:sz="6" w:space="0" w:color="auto"/>
              <w:right w:val="dashSmallGap" w:sz="4" w:space="0" w:color="auto"/>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rPr>
                <w:kern w:val="1"/>
              </w:rPr>
            </w:pPr>
            <w:r w:rsidRPr="003907AB">
              <w:rPr>
                <w:kern w:val="1"/>
              </w:rPr>
              <w:fldChar w:fldCharType="begin"/>
            </w:r>
            <w:r w:rsidRPr="003907AB">
              <w:rPr>
                <w:kern w:val="1"/>
              </w:rPr>
              <w:instrText xml:space="preserve">PRIVATE </w:instrText>
            </w:r>
            <w:r w:rsidRPr="003907AB">
              <w:rPr>
                <w:kern w:val="1"/>
              </w:rPr>
              <w:fldChar w:fldCharType="end"/>
            </w:r>
            <w:r w:rsidRPr="003907AB">
              <w:rPr>
                <w:b/>
                <w:kern w:val="1"/>
              </w:rPr>
              <w:t>1.</w:t>
            </w:r>
            <w:r w:rsidRPr="003907AB">
              <w:rPr>
                <w:b/>
                <w:kern w:val="1"/>
              </w:rPr>
              <w:tab/>
            </w:r>
            <w:r w:rsidRPr="003907AB">
              <w:rPr>
                <w:b/>
                <w:kern w:val="1"/>
                <w:u w:val="single"/>
              </w:rPr>
              <w:t>REPORT DATE</w:t>
            </w:r>
            <w:r w:rsidRPr="003907AB">
              <w:rPr>
                <w:b/>
                <w:kern w:val="1"/>
              </w:rPr>
              <w:t>:</w:t>
            </w:r>
          </w:p>
          <w:p w:rsidR="00D31AC5" w:rsidRPr="003907AB" w:rsidRDefault="00725ED6" w:rsidP="00725ED6">
            <w:pPr>
              <w:tabs>
                <w:tab w:val="left" w:pos="-1440"/>
                <w:tab w:val="left" w:pos="-720"/>
                <w:tab w:val="left" w:pos="0"/>
                <w:tab w:val="left" w:pos="432"/>
                <w:tab w:val="left" w:pos="576"/>
                <w:tab w:val="left" w:pos="1440"/>
                <w:tab w:val="left" w:pos="2086"/>
                <w:tab w:val="left" w:pos="2880"/>
              </w:tabs>
              <w:suppressAutoHyphens/>
              <w:spacing w:before="90"/>
              <w:ind w:firstLine="420"/>
              <w:rPr>
                <w:kern w:val="1"/>
              </w:rPr>
            </w:pPr>
            <w:r>
              <w:rPr>
                <w:kern w:val="1"/>
              </w:rPr>
              <w:t>April 8</w:t>
            </w:r>
            <w:r w:rsidR="00D31AC5">
              <w:rPr>
                <w:kern w:val="1"/>
              </w:rPr>
              <w:t>, 2011</w:t>
            </w:r>
          </w:p>
        </w:tc>
        <w:tc>
          <w:tcPr>
            <w:tcW w:w="4394" w:type="dxa"/>
            <w:tcBorders>
              <w:top w:val="double" w:sz="6" w:space="0" w:color="auto"/>
              <w:left w:val="nil"/>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rPr>
                <w:kern w:val="1"/>
                <w:u w:val="single"/>
              </w:rPr>
            </w:pPr>
            <w:r w:rsidRPr="003907AB">
              <w:rPr>
                <w:b/>
                <w:kern w:val="1"/>
              </w:rPr>
              <w:t>2.</w:t>
            </w:r>
            <w:r w:rsidRPr="003907AB">
              <w:rPr>
                <w:b/>
                <w:kern w:val="1"/>
              </w:rPr>
              <w:tab/>
            </w:r>
            <w:r w:rsidRPr="003907AB">
              <w:rPr>
                <w:b/>
                <w:kern w:val="1"/>
                <w:u w:val="single"/>
              </w:rPr>
              <w:t>BUREAU AGENDA NO.</w:t>
            </w:r>
            <w:r w:rsidRPr="003907AB">
              <w:rPr>
                <w:kern w:val="1"/>
                <w:u w:val="single"/>
              </w:rPr>
              <w:t>:</w:t>
            </w:r>
          </w:p>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ind w:firstLine="440"/>
              <w:rPr>
                <w:kern w:val="1"/>
              </w:rPr>
            </w:pPr>
          </w:p>
        </w:tc>
      </w:tr>
      <w:tr w:rsidR="00D31AC5" w:rsidRPr="003907AB" w:rsidTr="00E40B34">
        <w:trPr>
          <w:trHeight w:val="444"/>
          <w:jc w:val="center"/>
        </w:trPr>
        <w:tc>
          <w:tcPr>
            <w:tcW w:w="5110" w:type="dxa"/>
            <w:tcBorders>
              <w:top w:val="single" w:sz="6" w:space="0" w:color="auto"/>
              <w:right w:val="dashSmallGap" w:sz="4" w:space="0" w:color="auto"/>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line="276" w:lineRule="auto"/>
              <w:rPr>
                <w:kern w:val="1"/>
              </w:rPr>
            </w:pPr>
            <w:r w:rsidRPr="003907AB">
              <w:rPr>
                <w:b/>
                <w:kern w:val="1"/>
              </w:rPr>
              <w:t>3.</w:t>
            </w:r>
            <w:r w:rsidRPr="003907AB">
              <w:rPr>
                <w:b/>
                <w:kern w:val="1"/>
              </w:rPr>
              <w:tab/>
            </w:r>
            <w:r w:rsidRPr="003907AB">
              <w:rPr>
                <w:b/>
                <w:kern w:val="1"/>
                <w:u w:val="single"/>
              </w:rPr>
              <w:t>BUREAU</w:t>
            </w:r>
            <w:r w:rsidRPr="003907AB">
              <w:rPr>
                <w:b/>
                <w:kern w:val="1"/>
              </w:rPr>
              <w:t>:</w:t>
            </w:r>
          </w:p>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line="276" w:lineRule="auto"/>
              <w:ind w:firstLine="420"/>
              <w:rPr>
                <w:kern w:val="1"/>
              </w:rPr>
            </w:pPr>
            <w:r w:rsidRPr="003907AB">
              <w:rPr>
                <w:kern w:val="1"/>
              </w:rPr>
              <w:t>Office of Administrative Law Judge</w:t>
            </w:r>
          </w:p>
        </w:tc>
        <w:tc>
          <w:tcPr>
            <w:tcW w:w="4394" w:type="dxa"/>
            <w:tcBorders>
              <w:left w:val="nil"/>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D31AC5" w:rsidRPr="003907AB" w:rsidTr="00E40B34">
        <w:trPr>
          <w:jc w:val="center"/>
        </w:trPr>
        <w:tc>
          <w:tcPr>
            <w:tcW w:w="5110" w:type="dxa"/>
            <w:tcBorders>
              <w:top w:val="single" w:sz="6" w:space="0" w:color="auto"/>
              <w:right w:val="dashSmallGap" w:sz="4" w:space="0" w:color="auto"/>
            </w:tcBorders>
          </w:tcPr>
          <w:p w:rsidR="00D31AC5" w:rsidRPr="003907AB" w:rsidRDefault="00D31AC5" w:rsidP="00E40B34">
            <w:pPr>
              <w:tabs>
                <w:tab w:val="left" w:pos="-1440"/>
                <w:tab w:val="left" w:pos="-720"/>
                <w:tab w:val="left" w:pos="0"/>
                <w:tab w:val="left" w:pos="432"/>
                <w:tab w:val="left" w:pos="576"/>
                <w:tab w:val="left" w:pos="1440"/>
                <w:tab w:val="left" w:pos="2130"/>
                <w:tab w:val="left" w:pos="2880"/>
              </w:tabs>
              <w:suppressAutoHyphens/>
              <w:spacing w:after="54" w:line="276" w:lineRule="auto"/>
              <w:rPr>
                <w:b/>
                <w:kern w:val="1"/>
              </w:rPr>
            </w:pPr>
            <w:r w:rsidRPr="003907AB">
              <w:rPr>
                <w:b/>
                <w:kern w:val="1"/>
              </w:rPr>
              <w:t>4.</w:t>
            </w:r>
            <w:r w:rsidRPr="003907AB">
              <w:rPr>
                <w:b/>
                <w:kern w:val="1"/>
              </w:rPr>
              <w:tab/>
            </w:r>
            <w:r w:rsidRPr="003907AB">
              <w:rPr>
                <w:b/>
                <w:kern w:val="1"/>
                <w:u w:val="single"/>
              </w:rPr>
              <w:t>SECTION(S)</w:t>
            </w:r>
            <w:r w:rsidRPr="003907AB">
              <w:rPr>
                <w:b/>
                <w:kern w:val="1"/>
              </w:rPr>
              <w:t xml:space="preserve">: </w:t>
            </w:r>
          </w:p>
          <w:p w:rsidR="00D31AC5" w:rsidRPr="003907AB" w:rsidRDefault="00D31AC5" w:rsidP="00E40B34">
            <w:pPr>
              <w:tabs>
                <w:tab w:val="left" w:pos="-1440"/>
                <w:tab w:val="left" w:pos="-720"/>
                <w:tab w:val="left" w:pos="0"/>
                <w:tab w:val="left" w:pos="432"/>
                <w:tab w:val="left" w:pos="576"/>
                <w:tab w:val="left" w:pos="1440"/>
                <w:tab w:val="left" w:pos="2130"/>
                <w:tab w:val="left" w:pos="2880"/>
              </w:tabs>
              <w:suppressAutoHyphens/>
              <w:spacing w:after="54" w:line="276" w:lineRule="auto"/>
              <w:ind w:firstLine="420"/>
              <w:rPr>
                <w:kern w:val="1"/>
              </w:rPr>
            </w:pPr>
            <w:r w:rsidRPr="003907AB">
              <w:rPr>
                <w:b/>
                <w:kern w:val="1"/>
              </w:rPr>
              <w:t>N/A</w:t>
            </w:r>
          </w:p>
        </w:tc>
        <w:tc>
          <w:tcPr>
            <w:tcW w:w="4394" w:type="dxa"/>
            <w:tcBorders>
              <w:top w:val="single" w:sz="6" w:space="0" w:color="auto"/>
              <w:left w:val="nil"/>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rPr>
                <w:kern w:val="1"/>
              </w:rPr>
            </w:pPr>
            <w:r w:rsidRPr="003907AB">
              <w:rPr>
                <w:b/>
                <w:kern w:val="1"/>
              </w:rPr>
              <w:t>5.</w:t>
            </w:r>
            <w:r w:rsidRPr="003907AB">
              <w:rPr>
                <w:b/>
                <w:kern w:val="1"/>
              </w:rPr>
              <w:tab/>
            </w:r>
            <w:r w:rsidRPr="003907AB">
              <w:rPr>
                <w:b/>
                <w:kern w:val="1"/>
                <w:u w:val="single"/>
              </w:rPr>
              <w:t>PUBLIC MEETING DATE:</w:t>
            </w:r>
          </w:p>
        </w:tc>
      </w:tr>
      <w:tr w:rsidR="00D31AC5" w:rsidRPr="003907AB" w:rsidTr="00E40B34">
        <w:trPr>
          <w:jc w:val="center"/>
        </w:trPr>
        <w:tc>
          <w:tcPr>
            <w:tcW w:w="5110" w:type="dxa"/>
            <w:vMerge w:val="restart"/>
            <w:tcBorders>
              <w:top w:val="single" w:sz="6" w:space="0" w:color="auto"/>
              <w:right w:val="dashSmallGap" w:sz="4" w:space="0" w:color="auto"/>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after="54"/>
              <w:rPr>
                <w:kern w:val="1"/>
              </w:rPr>
            </w:pPr>
            <w:r w:rsidRPr="003907AB">
              <w:rPr>
                <w:b/>
                <w:kern w:val="1"/>
              </w:rPr>
              <w:t>6.</w:t>
            </w:r>
            <w:r w:rsidRPr="003907AB">
              <w:rPr>
                <w:b/>
                <w:kern w:val="1"/>
              </w:rPr>
              <w:tab/>
            </w:r>
            <w:r w:rsidRPr="003907AB">
              <w:rPr>
                <w:b/>
                <w:kern w:val="1"/>
                <w:u w:val="single"/>
              </w:rPr>
              <w:t>APPROVED BY</w:t>
            </w:r>
            <w:r w:rsidRPr="003907AB">
              <w:rPr>
                <w:b/>
                <w:kern w:val="1"/>
              </w:rPr>
              <w:t>:</w:t>
            </w:r>
          </w:p>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after="54"/>
              <w:ind w:firstLine="420"/>
              <w:rPr>
                <w:kern w:val="1"/>
              </w:rPr>
            </w:pPr>
            <w:r w:rsidRPr="003907AB">
              <w:rPr>
                <w:kern w:val="1"/>
              </w:rPr>
              <w:t>Chief Administrative Law Judge</w:t>
            </w:r>
          </w:p>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after="54"/>
              <w:ind w:firstLine="420"/>
              <w:rPr>
                <w:b/>
                <w:kern w:val="1"/>
              </w:rPr>
            </w:pPr>
            <w:r>
              <w:rPr>
                <w:b/>
                <w:kern w:val="1"/>
              </w:rPr>
              <w:t>Charles E. Rainey, Jr.</w:t>
            </w:r>
          </w:p>
        </w:tc>
        <w:tc>
          <w:tcPr>
            <w:tcW w:w="4394" w:type="dxa"/>
            <w:tcBorders>
              <w:left w:val="nil"/>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after="54"/>
              <w:ind w:firstLine="440"/>
              <w:rPr>
                <w:kern w:val="1"/>
              </w:rPr>
            </w:pPr>
          </w:p>
        </w:tc>
      </w:tr>
      <w:tr w:rsidR="00D31AC5" w:rsidRPr="003907AB" w:rsidTr="00E40B34">
        <w:trPr>
          <w:jc w:val="center"/>
        </w:trPr>
        <w:tc>
          <w:tcPr>
            <w:tcW w:w="5110" w:type="dxa"/>
            <w:vMerge/>
            <w:tcBorders>
              <w:bottom w:val="single" w:sz="6" w:space="0" w:color="auto"/>
              <w:right w:val="dashSmallGap" w:sz="4" w:space="0" w:color="auto"/>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after="54"/>
              <w:rPr>
                <w:b/>
                <w:kern w:val="1"/>
              </w:rPr>
            </w:pPr>
          </w:p>
        </w:tc>
        <w:tc>
          <w:tcPr>
            <w:tcW w:w="4394" w:type="dxa"/>
            <w:tcBorders>
              <w:left w:val="nil"/>
              <w:bottom w:val="single" w:sz="4" w:space="0" w:color="auto"/>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D31AC5" w:rsidRPr="003907AB" w:rsidTr="00E40B34">
        <w:trPr>
          <w:jc w:val="center"/>
        </w:trPr>
        <w:tc>
          <w:tcPr>
            <w:tcW w:w="5110" w:type="dxa"/>
            <w:tcBorders>
              <w:top w:val="single" w:sz="6" w:space="0" w:color="auto"/>
              <w:bottom w:val="single" w:sz="6" w:space="0" w:color="auto"/>
              <w:right w:val="dotDash" w:sz="4" w:space="0" w:color="auto"/>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line="276" w:lineRule="auto"/>
              <w:rPr>
                <w:b/>
                <w:kern w:val="1"/>
              </w:rPr>
            </w:pPr>
            <w:r w:rsidRPr="003907AB">
              <w:rPr>
                <w:b/>
                <w:kern w:val="1"/>
              </w:rPr>
              <w:t>7.</w:t>
            </w:r>
            <w:r w:rsidRPr="003907AB">
              <w:rPr>
                <w:b/>
                <w:kern w:val="1"/>
              </w:rPr>
              <w:tab/>
            </w:r>
            <w:r w:rsidRPr="003907AB">
              <w:rPr>
                <w:b/>
                <w:kern w:val="1"/>
                <w:u w:val="single"/>
              </w:rPr>
              <w:t>ALJ / SA</w:t>
            </w:r>
            <w:r w:rsidRPr="003907AB">
              <w:rPr>
                <w:b/>
                <w:kern w:val="1"/>
              </w:rPr>
              <w:t>:</w:t>
            </w:r>
          </w:p>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line="276" w:lineRule="auto"/>
              <w:ind w:firstLine="420"/>
              <w:rPr>
                <w:b/>
                <w:kern w:val="1"/>
              </w:rPr>
            </w:pPr>
            <w:r w:rsidRPr="003907AB">
              <w:rPr>
                <w:b/>
                <w:kern w:val="1"/>
              </w:rPr>
              <w:t>Ky Van Nguyen</w:t>
            </w:r>
          </w:p>
        </w:tc>
        <w:tc>
          <w:tcPr>
            <w:tcW w:w="4394" w:type="dxa"/>
            <w:tcBorders>
              <w:top w:val="single" w:sz="4" w:space="0" w:color="auto"/>
              <w:left w:val="dotDash" w:sz="4" w:space="0" w:color="auto"/>
            </w:tcBorders>
          </w:tcPr>
          <w:p w:rsidR="00D31AC5" w:rsidRPr="003907AB" w:rsidRDefault="00D31AC5" w:rsidP="00E40B34">
            <w:pPr>
              <w:tabs>
                <w:tab w:val="left" w:pos="440"/>
                <w:tab w:val="left" w:pos="560"/>
              </w:tabs>
              <w:spacing w:line="276" w:lineRule="auto"/>
              <w:rPr>
                <w:b/>
              </w:rPr>
            </w:pPr>
            <w:r w:rsidRPr="003907AB">
              <w:rPr>
                <w:b/>
              </w:rPr>
              <w:t xml:space="preserve">9.    </w:t>
            </w:r>
            <w:r w:rsidRPr="003907AB">
              <w:rPr>
                <w:b/>
                <w:u w:val="single"/>
              </w:rPr>
              <w:t>EFFECTIVE DATE OF FILING:</w:t>
            </w:r>
          </w:p>
          <w:p w:rsidR="00D31AC5" w:rsidRPr="003907AB" w:rsidRDefault="00D31AC5" w:rsidP="00E40B34">
            <w:pPr>
              <w:tabs>
                <w:tab w:val="left" w:pos="440"/>
                <w:tab w:val="left" w:pos="560"/>
              </w:tabs>
              <w:spacing w:line="276" w:lineRule="auto"/>
              <w:ind w:firstLine="440"/>
            </w:pPr>
          </w:p>
        </w:tc>
      </w:tr>
      <w:tr w:rsidR="00D31AC5" w:rsidRPr="003907AB" w:rsidTr="00E40B34">
        <w:trPr>
          <w:jc w:val="center"/>
        </w:trPr>
        <w:tc>
          <w:tcPr>
            <w:tcW w:w="5110" w:type="dxa"/>
            <w:tcBorders>
              <w:top w:val="single" w:sz="6" w:space="0" w:color="auto"/>
              <w:bottom w:val="single" w:sz="6" w:space="0" w:color="auto"/>
              <w:right w:val="dashSmallGap" w:sz="4" w:space="0" w:color="auto"/>
            </w:tcBorders>
          </w:tcPr>
          <w:p w:rsidR="00D31AC5" w:rsidRPr="003907AB" w:rsidRDefault="00D31AC5" w:rsidP="00E40B34">
            <w:pPr>
              <w:pStyle w:val="EndnoteText"/>
              <w:tabs>
                <w:tab w:val="left" w:pos="-1440"/>
                <w:tab w:val="left" w:pos="-720"/>
                <w:tab w:val="left" w:pos="0"/>
                <w:tab w:val="left" w:pos="432"/>
                <w:tab w:val="left" w:pos="576"/>
                <w:tab w:val="left" w:pos="1440"/>
                <w:tab w:val="left" w:pos="2086"/>
                <w:tab w:val="left" w:pos="2880"/>
              </w:tabs>
              <w:suppressAutoHyphens/>
              <w:spacing w:after="54"/>
              <w:rPr>
                <w:rFonts w:ascii="Times New Roman" w:hAnsi="Times New Roman"/>
                <w:kern w:val="1"/>
                <w:szCs w:val="24"/>
              </w:rPr>
            </w:pPr>
            <w:r w:rsidRPr="003907AB">
              <w:rPr>
                <w:rFonts w:ascii="Times New Roman" w:hAnsi="Times New Roman"/>
                <w:b/>
                <w:kern w:val="1"/>
                <w:szCs w:val="24"/>
              </w:rPr>
              <w:t>8.</w:t>
            </w:r>
            <w:r w:rsidRPr="003907AB">
              <w:rPr>
                <w:rFonts w:ascii="Times New Roman" w:hAnsi="Times New Roman"/>
                <w:b/>
                <w:kern w:val="1"/>
                <w:szCs w:val="24"/>
              </w:rPr>
              <w:tab/>
            </w:r>
            <w:r w:rsidRPr="003907AB">
              <w:rPr>
                <w:rFonts w:ascii="Times New Roman" w:hAnsi="Times New Roman"/>
                <w:b/>
                <w:kern w:val="1"/>
                <w:szCs w:val="24"/>
                <w:u w:val="single"/>
              </w:rPr>
              <w:t>DOCKET NO</w:t>
            </w:r>
            <w:r w:rsidRPr="003907AB">
              <w:rPr>
                <w:rFonts w:ascii="Times New Roman" w:hAnsi="Times New Roman"/>
                <w:b/>
                <w:kern w:val="1"/>
                <w:szCs w:val="24"/>
              </w:rPr>
              <w:t xml:space="preserve">.:    </w:t>
            </w:r>
          </w:p>
          <w:p w:rsidR="00D31AC5" w:rsidRPr="003907AB" w:rsidRDefault="00725ED6" w:rsidP="00725ED6">
            <w:pPr>
              <w:pStyle w:val="EndnoteText"/>
              <w:tabs>
                <w:tab w:val="left" w:pos="-1440"/>
                <w:tab w:val="left" w:pos="-720"/>
                <w:tab w:val="left" w:pos="0"/>
                <w:tab w:val="left" w:pos="432"/>
                <w:tab w:val="left" w:pos="576"/>
                <w:tab w:val="left" w:pos="1440"/>
                <w:tab w:val="left" w:pos="2086"/>
                <w:tab w:val="left" w:pos="2880"/>
              </w:tabs>
              <w:suppressAutoHyphens/>
              <w:spacing w:after="54"/>
              <w:ind w:firstLine="420"/>
              <w:rPr>
                <w:rFonts w:ascii="Times New Roman" w:hAnsi="Times New Roman"/>
                <w:kern w:val="1"/>
                <w:szCs w:val="24"/>
              </w:rPr>
            </w:pPr>
            <w:r>
              <w:rPr>
                <w:rFonts w:ascii="Times New Roman" w:hAnsi="Times New Roman"/>
                <w:szCs w:val="24"/>
              </w:rPr>
              <w:t>C-2010-2170452</w:t>
            </w:r>
          </w:p>
        </w:tc>
        <w:tc>
          <w:tcPr>
            <w:tcW w:w="4394" w:type="dxa"/>
            <w:tcBorders>
              <w:left w:val="nil"/>
              <w:bottom w:val="single" w:sz="4" w:space="0" w:color="auto"/>
            </w:tcBorders>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D31AC5" w:rsidRPr="003907AB" w:rsidTr="00E40B34">
        <w:trPr>
          <w:jc w:val="center"/>
        </w:trPr>
        <w:tc>
          <w:tcPr>
            <w:tcW w:w="9504" w:type="dxa"/>
            <w:gridSpan w:val="2"/>
          </w:tcPr>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spacing w:before="90"/>
              <w:rPr>
                <w:kern w:val="1"/>
              </w:rPr>
            </w:pPr>
            <w:r w:rsidRPr="003907AB">
              <w:rPr>
                <w:b/>
                <w:kern w:val="1"/>
              </w:rPr>
              <w:t>10.</w:t>
            </w:r>
            <w:r w:rsidRPr="003907AB">
              <w:rPr>
                <w:b/>
                <w:kern w:val="1"/>
              </w:rPr>
              <w:tab/>
              <w:t>(a) CAPTION (abbreviate if more than 4 lines)</w:t>
            </w:r>
          </w:p>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rPr>
                <w:kern w:val="1"/>
              </w:rPr>
            </w:pPr>
            <w:r w:rsidRPr="003907AB">
              <w:rPr>
                <w:b/>
                <w:kern w:val="1"/>
              </w:rPr>
              <w:tab/>
              <w:t>(b) Short summary of history &amp; facts, documents &amp; briefs</w:t>
            </w:r>
          </w:p>
          <w:p w:rsidR="00D31AC5" w:rsidRPr="003907AB" w:rsidRDefault="00D31AC5" w:rsidP="00E40B34">
            <w:pPr>
              <w:tabs>
                <w:tab w:val="left" w:pos="-1440"/>
                <w:tab w:val="left" w:pos="-720"/>
                <w:tab w:val="left" w:pos="0"/>
                <w:tab w:val="left" w:pos="432"/>
                <w:tab w:val="left" w:pos="576"/>
                <w:tab w:val="left" w:pos="1440"/>
                <w:tab w:val="left" w:pos="2086"/>
                <w:tab w:val="left" w:pos="2880"/>
              </w:tabs>
              <w:suppressAutoHyphens/>
              <w:rPr>
                <w:kern w:val="1"/>
              </w:rPr>
            </w:pPr>
            <w:r w:rsidRPr="003907AB">
              <w:rPr>
                <w:b/>
                <w:kern w:val="1"/>
              </w:rPr>
              <w:tab/>
              <w:t>(c) Recommendation</w:t>
            </w:r>
          </w:p>
        </w:tc>
      </w:tr>
    </w:tbl>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rPr>
          <w:kern w:val="1"/>
        </w:rPr>
      </w:pPr>
    </w:p>
    <w:p w:rsidR="00D31AC5" w:rsidRPr="003907AB" w:rsidRDefault="00725ED6" w:rsidP="00D31AC5">
      <w:pPr>
        <w:pStyle w:val="ListParagraph"/>
        <w:numPr>
          <w:ilvl w:val="0"/>
          <w:numId w:val="1"/>
        </w:numPr>
        <w:suppressAutoHyphens/>
        <w:ind w:left="720" w:hanging="720"/>
        <w:rPr>
          <w:rFonts w:ascii="Times New Roman" w:hAnsi="Times New Roman"/>
          <w:kern w:val="1"/>
          <w:szCs w:val="24"/>
        </w:rPr>
      </w:pPr>
      <w:r>
        <w:rPr>
          <w:rFonts w:ascii="Times New Roman" w:hAnsi="Times New Roman"/>
          <w:kern w:val="1"/>
          <w:szCs w:val="24"/>
        </w:rPr>
        <w:t>Nancy L. Manson</w:t>
      </w:r>
      <w:r w:rsidR="00D31AC5">
        <w:rPr>
          <w:rFonts w:ascii="Times New Roman" w:hAnsi="Times New Roman"/>
          <w:kern w:val="1"/>
          <w:szCs w:val="24"/>
        </w:rPr>
        <w:t xml:space="preserve"> v. PECO Energy Company.</w:t>
      </w:r>
    </w:p>
    <w:p w:rsidR="00D31AC5" w:rsidRPr="003907AB" w:rsidRDefault="00D31AC5" w:rsidP="00D31AC5">
      <w:pPr>
        <w:pStyle w:val="ListParagraph"/>
        <w:suppressAutoHyphens/>
        <w:rPr>
          <w:rFonts w:ascii="Times New Roman" w:hAnsi="Times New Roman"/>
          <w:kern w:val="1"/>
          <w:szCs w:val="24"/>
        </w:rPr>
      </w:pPr>
    </w:p>
    <w:p w:rsidR="00D31AC5" w:rsidRPr="003907AB" w:rsidRDefault="00D31AC5" w:rsidP="00D31AC5">
      <w:pPr>
        <w:ind w:left="720" w:hanging="720"/>
      </w:pPr>
      <w:r w:rsidRPr="003907AB">
        <w:rPr>
          <w:kern w:val="1"/>
        </w:rPr>
        <w:t>(b)</w:t>
      </w:r>
      <w:r w:rsidRPr="003907AB">
        <w:rPr>
          <w:kern w:val="1"/>
        </w:rPr>
        <w:tab/>
      </w:r>
      <w:r>
        <w:rPr>
          <w:kern w:val="1"/>
        </w:rPr>
        <w:t xml:space="preserve">Complaint filed </w:t>
      </w:r>
      <w:r w:rsidR="00725ED6">
        <w:rPr>
          <w:kern w:val="1"/>
        </w:rPr>
        <w:t>April 12</w:t>
      </w:r>
      <w:r>
        <w:rPr>
          <w:kern w:val="1"/>
        </w:rPr>
        <w:t>, 2010</w:t>
      </w:r>
      <w:r w:rsidRPr="003907AB">
        <w:t xml:space="preserve"> alleging </w:t>
      </w:r>
      <w:r w:rsidR="00725ED6">
        <w:t xml:space="preserve">a previous complaint regarding her bills had never been resolved and </w:t>
      </w:r>
      <w:r>
        <w:t>requesting a payment agreement</w:t>
      </w:r>
      <w:r w:rsidRPr="003907AB">
        <w:t xml:space="preserve">.  </w:t>
      </w:r>
      <w:r w:rsidR="00725ED6">
        <w:t xml:space="preserve">Motion for Judgment on the Pleadings </w:t>
      </w:r>
      <w:r>
        <w:t xml:space="preserve">filed </w:t>
      </w:r>
      <w:r w:rsidR="00725ED6">
        <w:t>January 28</w:t>
      </w:r>
      <w:r>
        <w:t>, 201</w:t>
      </w:r>
      <w:r w:rsidR="00725ED6">
        <w:t>1</w:t>
      </w:r>
      <w:r w:rsidR="00933393">
        <w:t>.</w:t>
      </w:r>
      <w:r>
        <w:t xml:space="preserve">  Hearing </w:t>
      </w:r>
      <w:r w:rsidR="00933393">
        <w:t>sc</w:t>
      </w:r>
      <w:r>
        <w:t>he</w:t>
      </w:r>
      <w:r w:rsidR="00933393">
        <w:t>du</w:t>
      </w:r>
      <w:r>
        <w:t>l</w:t>
      </w:r>
      <w:r w:rsidR="00933393">
        <w:t>e</w:t>
      </w:r>
      <w:r>
        <w:t xml:space="preserve">d </w:t>
      </w:r>
      <w:r w:rsidR="00933393">
        <w:t xml:space="preserve">for </w:t>
      </w:r>
      <w:r w:rsidR="00725ED6">
        <w:t>April 29</w:t>
      </w:r>
      <w:r w:rsidR="00933393">
        <w:t>, 2011</w:t>
      </w:r>
      <w:r>
        <w:t xml:space="preserve">.  </w:t>
      </w:r>
    </w:p>
    <w:p w:rsidR="00D31AC5" w:rsidRPr="003907AB" w:rsidRDefault="00D31AC5" w:rsidP="00D31AC5"/>
    <w:p w:rsidR="00D31AC5" w:rsidRPr="003907AB" w:rsidRDefault="00D31AC5" w:rsidP="00D31AC5">
      <w:pPr>
        <w:pStyle w:val="ListParagraph"/>
        <w:suppressAutoHyphens/>
        <w:ind w:hanging="720"/>
        <w:rPr>
          <w:rFonts w:ascii="Times New Roman" w:hAnsi="Times New Roman"/>
          <w:kern w:val="1"/>
          <w:szCs w:val="24"/>
        </w:rPr>
      </w:pPr>
      <w:r w:rsidRPr="003907AB">
        <w:rPr>
          <w:rFonts w:ascii="Times New Roman" w:hAnsi="Times New Roman"/>
          <w:kern w:val="1"/>
          <w:szCs w:val="24"/>
        </w:rPr>
        <w:t>(c)</w:t>
      </w:r>
      <w:r w:rsidRPr="003907AB">
        <w:rPr>
          <w:rFonts w:ascii="Times New Roman" w:hAnsi="Times New Roman"/>
          <w:kern w:val="1"/>
          <w:szCs w:val="24"/>
        </w:rPr>
        <w:tab/>
        <w:t>ALJ Nguyen issued a</w:t>
      </w:r>
      <w:r>
        <w:rPr>
          <w:rFonts w:ascii="Times New Roman" w:hAnsi="Times New Roman"/>
          <w:kern w:val="1"/>
          <w:szCs w:val="24"/>
        </w:rPr>
        <w:t>n Initial</w:t>
      </w:r>
      <w:r w:rsidRPr="003907AB">
        <w:rPr>
          <w:rFonts w:ascii="Times New Roman" w:hAnsi="Times New Roman"/>
          <w:kern w:val="1"/>
          <w:szCs w:val="24"/>
        </w:rPr>
        <w:t xml:space="preserve"> Decision</w:t>
      </w:r>
      <w:r w:rsidR="00725ED6">
        <w:rPr>
          <w:rFonts w:ascii="Times New Roman" w:hAnsi="Times New Roman"/>
          <w:kern w:val="1"/>
          <w:szCs w:val="24"/>
        </w:rPr>
        <w:t xml:space="preserve"> granting the Motion for Judgment on the Pleadings, barring the Complaint by the doctrine of Res Judicata,</w:t>
      </w:r>
      <w:r w:rsidRPr="003907AB">
        <w:rPr>
          <w:rFonts w:ascii="Times New Roman" w:hAnsi="Times New Roman"/>
          <w:kern w:val="1"/>
          <w:szCs w:val="24"/>
        </w:rPr>
        <w:t xml:space="preserve"> </w:t>
      </w:r>
      <w:r w:rsidR="00933393">
        <w:rPr>
          <w:rFonts w:ascii="Times New Roman" w:hAnsi="Times New Roman"/>
          <w:kern w:val="1"/>
          <w:szCs w:val="24"/>
        </w:rPr>
        <w:t>dismissing t</w:t>
      </w:r>
      <w:r>
        <w:rPr>
          <w:rFonts w:ascii="Times New Roman" w:hAnsi="Times New Roman"/>
          <w:kern w:val="1"/>
          <w:szCs w:val="24"/>
        </w:rPr>
        <w:t xml:space="preserve">he Complaint </w:t>
      </w:r>
      <w:r w:rsidR="00933393">
        <w:rPr>
          <w:rFonts w:ascii="Times New Roman" w:hAnsi="Times New Roman"/>
          <w:kern w:val="1"/>
          <w:szCs w:val="24"/>
        </w:rPr>
        <w:t>and cancelling the hearing</w:t>
      </w:r>
      <w:r>
        <w:rPr>
          <w:rFonts w:ascii="Times New Roman" w:hAnsi="Times New Roman"/>
          <w:kern w:val="1"/>
          <w:szCs w:val="24"/>
        </w:rPr>
        <w:t xml:space="preserve">.   </w:t>
      </w: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3907AB" w:rsidRDefault="00D31AC5" w:rsidP="00D31AC5">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D31AC5" w:rsidRPr="00877CF0" w:rsidRDefault="00D31AC5" w:rsidP="00D31AC5">
      <w:pPr>
        <w:tabs>
          <w:tab w:val="left" w:pos="-1440"/>
          <w:tab w:val="left" w:pos="-720"/>
          <w:tab w:val="left" w:pos="0"/>
          <w:tab w:val="left" w:pos="432"/>
          <w:tab w:val="left" w:pos="1440"/>
          <w:tab w:val="left" w:pos="2086"/>
          <w:tab w:val="left" w:pos="2880"/>
        </w:tabs>
        <w:suppressAutoHyphens/>
        <w:jc w:val="both"/>
        <w:rPr>
          <w:kern w:val="1"/>
        </w:rPr>
      </w:pPr>
      <w:r>
        <w:rPr>
          <w:kern w:val="1"/>
        </w:rPr>
        <w:t xml:space="preserve">Initial </w:t>
      </w:r>
      <w:r w:rsidRPr="003907AB">
        <w:rPr>
          <w:kern w:val="1"/>
        </w:rPr>
        <w:t xml:space="preserve">Decision served: </w:t>
      </w:r>
    </w:p>
    <w:p w:rsidR="00D31AC5" w:rsidRDefault="00D31AC5" w:rsidP="008A6D98">
      <w:pPr>
        <w:rPr>
          <w:b/>
        </w:rPr>
      </w:pPr>
    </w:p>
    <w:sectPr w:rsidR="00D31AC5" w:rsidSect="00FC61DE">
      <w:footerReference w:type="first" r:id="rId10"/>
      <w:endnotePr>
        <w:numFmt w:val="decimal"/>
      </w:endnotePr>
      <w:pgSz w:w="12240" w:h="15840"/>
      <w:pgMar w:top="1440" w:right="1440" w:bottom="1440" w:left="1440"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98C" w:rsidRDefault="0019698C">
      <w:r>
        <w:separator/>
      </w:r>
    </w:p>
  </w:endnote>
  <w:endnote w:type="continuationSeparator" w:id="0">
    <w:p w:rsidR="0019698C" w:rsidRDefault="00196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3" w:rsidRDefault="00137153" w:rsidP="001F4C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7153" w:rsidRDefault="001371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3" w:rsidRDefault="00137153" w:rsidP="001F4C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E39">
      <w:rPr>
        <w:rStyle w:val="PageNumber"/>
        <w:noProof/>
      </w:rPr>
      <w:t>7</w:t>
    </w:r>
    <w:r>
      <w:rPr>
        <w:rStyle w:val="PageNumber"/>
      </w:rPr>
      <w:fldChar w:fldCharType="end"/>
    </w:r>
  </w:p>
  <w:p w:rsidR="00137153" w:rsidRDefault="001371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3" w:rsidRPr="008E0BF3" w:rsidRDefault="00137153" w:rsidP="00E40B34">
    <w:pPr>
      <w:pStyle w:val="Footer"/>
    </w:pPr>
    <w:r w:rsidRPr="008E0BF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98C" w:rsidRDefault="0019698C">
      <w:r>
        <w:separator/>
      </w:r>
    </w:p>
  </w:footnote>
  <w:footnote w:type="continuationSeparator" w:id="0">
    <w:p w:rsidR="0019698C" w:rsidRDefault="0019698C">
      <w:r>
        <w:continuationSeparator/>
      </w:r>
    </w:p>
  </w:footnote>
  <w:footnote w:id="1">
    <w:p w:rsidR="00137153" w:rsidRPr="005C3105" w:rsidRDefault="00137153" w:rsidP="001B02D9">
      <w:pPr>
        <w:pStyle w:val="FootnoteText"/>
        <w:ind w:left="720" w:hanging="720"/>
      </w:pPr>
      <w:r>
        <w:rPr>
          <w:rStyle w:val="FootnoteReference"/>
        </w:rPr>
        <w:footnoteRef/>
      </w:r>
      <w:r>
        <w:t xml:space="preserve"> </w:t>
      </w:r>
      <w:r>
        <w:tab/>
        <w:t xml:space="preserve">The record of a motion for judgment on the pleadings consists of the pleadings and documents properly attached as exhibits.  </w:t>
      </w:r>
      <w:proofErr w:type="gramStart"/>
      <w:r>
        <w:rPr>
          <w:u w:val="single"/>
        </w:rPr>
        <w:t>Emery v. Metzner</w:t>
      </w:r>
      <w:r>
        <w:t xml:space="preserve">, </w:t>
      </w:r>
      <w:smartTag w:uri="urn:schemas-microsoft-com:office:smarttags" w:element="Street">
        <w:smartTag w:uri="urn:schemas-microsoft-com:office:smarttags" w:element="address">
          <w:r>
            <w:t xml:space="preserve">191 </w:t>
          </w:r>
          <w:smartTag w:uri="urn:schemas-microsoft-com:office:smarttags" w:element="State">
            <w:smartTag w:uri="urn:schemas-microsoft-com:office:smarttags" w:element="place">
              <w:r>
                <w:t>Pa.</w:t>
              </w:r>
            </w:smartTag>
          </w:smartTag>
          <w:r>
            <w:t xml:space="preserve"> Superior Ct.</w:t>
          </w:r>
        </w:smartTag>
      </w:smartTag>
      <w:r>
        <w:t xml:space="preserve"> 440, 156 A.2d 627 (1959).</w:t>
      </w:r>
      <w:proofErr w:type="gramEnd"/>
    </w:p>
  </w:footnote>
  <w:footnote w:id="2">
    <w:p w:rsidR="00A32294" w:rsidRDefault="00A32294" w:rsidP="00A32294">
      <w:pPr>
        <w:pStyle w:val="FootnoteText"/>
        <w:ind w:left="720" w:hanging="720"/>
      </w:pPr>
      <w:r>
        <w:rPr>
          <w:rStyle w:val="FootnoteReference"/>
        </w:rPr>
        <w:footnoteRef/>
      </w:r>
      <w:r>
        <w:t xml:space="preserve"> </w:t>
      </w:r>
      <w:r>
        <w:tab/>
        <w:t xml:space="preserve">In part, Section 56.16 (relating to transfer of accounts) of the Commission’s regulations, 52 Pa. Code </w:t>
      </w:r>
      <w:r w:rsidRPr="00C12C0F">
        <w:t>§</w:t>
      </w:r>
      <w:r>
        <w:t>56.16, provides:</w:t>
      </w:r>
    </w:p>
    <w:p w:rsidR="00A32294" w:rsidRDefault="00A32294" w:rsidP="00A32294">
      <w:pPr>
        <w:pStyle w:val="FootnoteText"/>
        <w:ind w:left="720" w:hanging="720"/>
      </w:pPr>
    </w:p>
    <w:p w:rsidR="00A32294" w:rsidRDefault="00A32294" w:rsidP="00A32294">
      <w:pPr>
        <w:pStyle w:val="FootnoteText"/>
        <w:ind w:left="720" w:hanging="720"/>
        <w:jc w:val="center"/>
      </w:pPr>
      <w:r>
        <w:t>*</w:t>
      </w:r>
      <w:r>
        <w:tab/>
        <w:t>*</w:t>
      </w:r>
      <w:r>
        <w:tab/>
        <w:t>*</w:t>
      </w:r>
    </w:p>
    <w:p w:rsidR="00A32294" w:rsidRDefault="00A32294" w:rsidP="00A32294">
      <w:pPr>
        <w:pStyle w:val="FootnoteText"/>
        <w:ind w:left="720" w:hanging="720"/>
      </w:pPr>
    </w:p>
    <w:p w:rsidR="00A32294" w:rsidRDefault="00A32294" w:rsidP="00A32294">
      <w:pPr>
        <w:pStyle w:val="FootnoteText"/>
        <w:ind w:left="1440"/>
      </w:pPr>
      <w:r>
        <w:t xml:space="preserve">   (b)  In the event of discontinuance or termination of service at a residence or dwelling in accordance with this chapter, a utility may transfer an unpaid balance to a new residential service account of the same ratepayer.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66649"/>
    <w:rsid w:val="00000C7B"/>
    <w:rsid w:val="00023256"/>
    <w:rsid w:val="00024EC7"/>
    <w:rsid w:val="00053E56"/>
    <w:rsid w:val="0006144D"/>
    <w:rsid w:val="00063B19"/>
    <w:rsid w:val="00072E0A"/>
    <w:rsid w:val="000730D9"/>
    <w:rsid w:val="00082943"/>
    <w:rsid w:val="00085B81"/>
    <w:rsid w:val="0009511C"/>
    <w:rsid w:val="000A1F60"/>
    <w:rsid w:val="000E20CA"/>
    <w:rsid w:val="000F5051"/>
    <w:rsid w:val="00106A7E"/>
    <w:rsid w:val="00110F7A"/>
    <w:rsid w:val="00117AA9"/>
    <w:rsid w:val="00137153"/>
    <w:rsid w:val="001552EF"/>
    <w:rsid w:val="00164078"/>
    <w:rsid w:val="00184C0B"/>
    <w:rsid w:val="0019698C"/>
    <w:rsid w:val="001B02D9"/>
    <w:rsid w:val="001B1CB6"/>
    <w:rsid w:val="001D048C"/>
    <w:rsid w:val="001D66BF"/>
    <w:rsid w:val="001F4CE0"/>
    <w:rsid w:val="00200ED3"/>
    <w:rsid w:val="00204FC5"/>
    <w:rsid w:val="00211D63"/>
    <w:rsid w:val="002154E0"/>
    <w:rsid w:val="00217D93"/>
    <w:rsid w:val="00263EF2"/>
    <w:rsid w:val="00265AA2"/>
    <w:rsid w:val="00265CF3"/>
    <w:rsid w:val="00276975"/>
    <w:rsid w:val="002A4AA5"/>
    <w:rsid w:val="002A5E60"/>
    <w:rsid w:val="002B4B19"/>
    <w:rsid w:val="002D1DA3"/>
    <w:rsid w:val="002D46D8"/>
    <w:rsid w:val="002E444A"/>
    <w:rsid w:val="002F144F"/>
    <w:rsid w:val="002F2B92"/>
    <w:rsid w:val="00332934"/>
    <w:rsid w:val="003504D4"/>
    <w:rsid w:val="003761FD"/>
    <w:rsid w:val="00387C83"/>
    <w:rsid w:val="003C59FF"/>
    <w:rsid w:val="003D2A5D"/>
    <w:rsid w:val="003D61FB"/>
    <w:rsid w:val="003E26AD"/>
    <w:rsid w:val="003F1E89"/>
    <w:rsid w:val="00424758"/>
    <w:rsid w:val="00424B11"/>
    <w:rsid w:val="004462BC"/>
    <w:rsid w:val="0046034C"/>
    <w:rsid w:val="004817F2"/>
    <w:rsid w:val="0048598D"/>
    <w:rsid w:val="004920C5"/>
    <w:rsid w:val="004A2065"/>
    <w:rsid w:val="004A5C20"/>
    <w:rsid w:val="004C608C"/>
    <w:rsid w:val="004D1B7A"/>
    <w:rsid w:val="004D614F"/>
    <w:rsid w:val="004E1A35"/>
    <w:rsid w:val="00506B46"/>
    <w:rsid w:val="005145AF"/>
    <w:rsid w:val="0053617B"/>
    <w:rsid w:val="0055771D"/>
    <w:rsid w:val="00566649"/>
    <w:rsid w:val="0059440C"/>
    <w:rsid w:val="005C3105"/>
    <w:rsid w:val="005C53AB"/>
    <w:rsid w:val="005D6007"/>
    <w:rsid w:val="005E4500"/>
    <w:rsid w:val="005E53AB"/>
    <w:rsid w:val="0063755C"/>
    <w:rsid w:val="0064302F"/>
    <w:rsid w:val="00650A8B"/>
    <w:rsid w:val="0065601C"/>
    <w:rsid w:val="00695410"/>
    <w:rsid w:val="00695EDF"/>
    <w:rsid w:val="006E2E39"/>
    <w:rsid w:val="006E448E"/>
    <w:rsid w:val="006E70AC"/>
    <w:rsid w:val="00725ED6"/>
    <w:rsid w:val="00727B25"/>
    <w:rsid w:val="0073364E"/>
    <w:rsid w:val="00740C01"/>
    <w:rsid w:val="00743952"/>
    <w:rsid w:val="00765622"/>
    <w:rsid w:val="00774A6E"/>
    <w:rsid w:val="007D299D"/>
    <w:rsid w:val="007D7F5F"/>
    <w:rsid w:val="007E381F"/>
    <w:rsid w:val="007E3E0E"/>
    <w:rsid w:val="007F2D4C"/>
    <w:rsid w:val="00881CB1"/>
    <w:rsid w:val="008A6D98"/>
    <w:rsid w:val="008C276E"/>
    <w:rsid w:val="008F0BC9"/>
    <w:rsid w:val="008F32D6"/>
    <w:rsid w:val="00933393"/>
    <w:rsid w:val="00937D2A"/>
    <w:rsid w:val="00946A0F"/>
    <w:rsid w:val="00972178"/>
    <w:rsid w:val="009C4339"/>
    <w:rsid w:val="009E60BA"/>
    <w:rsid w:val="009E70A4"/>
    <w:rsid w:val="009F3F50"/>
    <w:rsid w:val="00A134EB"/>
    <w:rsid w:val="00A32294"/>
    <w:rsid w:val="00A34955"/>
    <w:rsid w:val="00A553AB"/>
    <w:rsid w:val="00A80614"/>
    <w:rsid w:val="00A95039"/>
    <w:rsid w:val="00AE57AA"/>
    <w:rsid w:val="00B35F56"/>
    <w:rsid w:val="00B36D27"/>
    <w:rsid w:val="00B503DC"/>
    <w:rsid w:val="00B543E2"/>
    <w:rsid w:val="00B57DF7"/>
    <w:rsid w:val="00B74D7E"/>
    <w:rsid w:val="00B97584"/>
    <w:rsid w:val="00BA1D11"/>
    <w:rsid w:val="00BA41C3"/>
    <w:rsid w:val="00BD3763"/>
    <w:rsid w:val="00C020FB"/>
    <w:rsid w:val="00C06146"/>
    <w:rsid w:val="00C06D66"/>
    <w:rsid w:val="00C224B8"/>
    <w:rsid w:val="00C26B78"/>
    <w:rsid w:val="00C62025"/>
    <w:rsid w:val="00C82110"/>
    <w:rsid w:val="00CA0B28"/>
    <w:rsid w:val="00CC5F2C"/>
    <w:rsid w:val="00D31AC5"/>
    <w:rsid w:val="00D3796F"/>
    <w:rsid w:val="00D8673B"/>
    <w:rsid w:val="00DD4CFE"/>
    <w:rsid w:val="00DF122C"/>
    <w:rsid w:val="00E40B34"/>
    <w:rsid w:val="00E42463"/>
    <w:rsid w:val="00E4395A"/>
    <w:rsid w:val="00E86D09"/>
    <w:rsid w:val="00F35D18"/>
    <w:rsid w:val="00F61250"/>
    <w:rsid w:val="00F653AF"/>
    <w:rsid w:val="00F81D02"/>
    <w:rsid w:val="00F869D7"/>
    <w:rsid w:val="00FB00E2"/>
    <w:rsid w:val="00FB2940"/>
    <w:rsid w:val="00FC5897"/>
    <w:rsid w:val="00FC61DE"/>
    <w:rsid w:val="00FD4FA0"/>
    <w:rsid w:val="00FE276D"/>
    <w:rsid w:val="00FE6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566649"/>
    <w:pPr>
      <w:tabs>
        <w:tab w:val="center" w:pos="4320"/>
        <w:tab w:val="right" w:pos="8640"/>
      </w:tabs>
    </w:pPr>
  </w:style>
  <w:style w:type="character" w:styleId="PageNumber">
    <w:name w:val="page number"/>
    <w:basedOn w:val="DefaultParagraphFont"/>
    <w:rsid w:val="00566649"/>
  </w:style>
  <w:style w:type="paragraph" w:styleId="FootnoteText">
    <w:name w:val="footnote text"/>
    <w:basedOn w:val="Normal"/>
    <w:semiHidden/>
    <w:rsid w:val="00765622"/>
    <w:rPr>
      <w:sz w:val="20"/>
      <w:szCs w:val="20"/>
    </w:rPr>
  </w:style>
  <w:style w:type="character" w:styleId="FootnoteReference">
    <w:name w:val="footnote reference"/>
    <w:basedOn w:val="DefaultParagraphFont"/>
    <w:semiHidden/>
    <w:rsid w:val="00765622"/>
    <w:rPr>
      <w:vertAlign w:val="superscript"/>
    </w:rPr>
  </w:style>
  <w:style w:type="paragraph" w:styleId="BalloonText">
    <w:name w:val="Balloon Text"/>
    <w:basedOn w:val="Normal"/>
    <w:semiHidden/>
    <w:rsid w:val="00C224B8"/>
    <w:rPr>
      <w:rFonts w:ascii="Tahoma" w:hAnsi="Tahoma" w:cs="Tahoma"/>
      <w:sz w:val="16"/>
      <w:szCs w:val="16"/>
    </w:rPr>
  </w:style>
  <w:style w:type="paragraph" w:styleId="DocumentMap">
    <w:name w:val="Document Map"/>
    <w:basedOn w:val="Normal"/>
    <w:semiHidden/>
    <w:rsid w:val="004D614F"/>
    <w:pPr>
      <w:shd w:val="clear" w:color="auto" w:fill="000080"/>
    </w:pPr>
    <w:rPr>
      <w:rFonts w:ascii="Tahoma" w:hAnsi="Tahoma" w:cs="Tahoma"/>
      <w:sz w:val="20"/>
      <w:szCs w:val="20"/>
    </w:rPr>
  </w:style>
  <w:style w:type="character" w:customStyle="1" w:styleId="FooterChar">
    <w:name w:val="Footer Char"/>
    <w:basedOn w:val="DefaultParagraphFont"/>
    <w:link w:val="Footer"/>
    <w:rsid w:val="00D31AC5"/>
    <w:rPr>
      <w:sz w:val="24"/>
      <w:szCs w:val="24"/>
    </w:rPr>
  </w:style>
  <w:style w:type="paragraph" w:styleId="EndnoteText">
    <w:name w:val="endnote text"/>
    <w:basedOn w:val="Normal"/>
    <w:link w:val="EndnoteTextChar"/>
    <w:rsid w:val="00D31AC5"/>
    <w:rPr>
      <w:rFonts w:ascii="Courier" w:hAnsi="Courier"/>
      <w:szCs w:val="20"/>
    </w:rPr>
  </w:style>
  <w:style w:type="character" w:customStyle="1" w:styleId="EndnoteTextChar">
    <w:name w:val="Endnote Text Char"/>
    <w:basedOn w:val="DefaultParagraphFont"/>
    <w:link w:val="EndnoteText"/>
    <w:rsid w:val="00D31AC5"/>
    <w:rPr>
      <w:rFonts w:ascii="Courier" w:hAnsi="Courier"/>
      <w:sz w:val="24"/>
    </w:rPr>
  </w:style>
  <w:style w:type="paragraph" w:styleId="ListParagraph">
    <w:name w:val="List Paragraph"/>
    <w:basedOn w:val="Normal"/>
    <w:uiPriority w:val="34"/>
    <w:qFormat/>
    <w:rsid w:val="00D31AC5"/>
    <w:pPr>
      <w:ind w:left="720"/>
      <w:contextualSpacing/>
    </w:pPr>
    <w:rPr>
      <w:rFonts w:ascii="Courier" w:hAnsi="Courie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3D5CC-C861-4558-B188-144465A8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2</cp:revision>
  <cp:lastPrinted>2011-05-26T17:43:00Z</cp:lastPrinted>
  <dcterms:created xsi:type="dcterms:W3CDTF">2011-05-26T17:43:00Z</dcterms:created>
  <dcterms:modified xsi:type="dcterms:W3CDTF">2011-05-26T17:43:00Z</dcterms:modified>
</cp:coreProperties>
</file>