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246DEC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 xml:space="preserve">PENNSYLVANIA </w:t>
      </w:r>
      <w:r w:rsidR="00D61477" w:rsidRPr="00246DEC">
        <w:rPr>
          <w:rFonts w:ascii="Times New Roman" w:hAnsi="Times New Roman"/>
          <w:spacing w:val="-3"/>
          <w:szCs w:val="24"/>
        </w:rPr>
        <w:fldChar w:fldCharType="begin"/>
      </w:r>
      <w:r w:rsidRPr="00246DEC">
        <w:rPr>
          <w:rFonts w:ascii="Times New Roman" w:hAnsi="Times New Roman"/>
          <w:spacing w:val="-3"/>
          <w:szCs w:val="24"/>
        </w:rPr>
        <w:instrText xml:space="preserve">PRIVATE </w:instrText>
      </w:r>
      <w:r w:rsidR="00D61477" w:rsidRPr="00246DEC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246DEC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246DE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246DEC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Pr="00246DEC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246DEC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E0A76" w:rsidRPr="00CE1E84" w:rsidRDefault="00AE0A76" w:rsidP="00AE0A76">
      <w:pPr>
        <w:rPr>
          <w:rFonts w:ascii="Times New Roman" w:hAnsi="Times New Roman"/>
          <w:szCs w:val="24"/>
        </w:rPr>
      </w:pPr>
      <w:r w:rsidRPr="00CE1E84">
        <w:rPr>
          <w:rFonts w:ascii="Times New Roman" w:hAnsi="Times New Roman"/>
          <w:szCs w:val="24"/>
        </w:rPr>
        <w:t>Michelle and Bobby Rhone</w:t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  <w:t>:</w:t>
      </w:r>
    </w:p>
    <w:p w:rsidR="00AE0A76" w:rsidRPr="00CE1E84" w:rsidRDefault="00AE0A76" w:rsidP="00AE0A76">
      <w:pPr>
        <w:rPr>
          <w:rFonts w:ascii="Times New Roman" w:hAnsi="Times New Roman"/>
          <w:szCs w:val="24"/>
        </w:rPr>
      </w:pP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  <w:t>:</w:t>
      </w:r>
    </w:p>
    <w:p w:rsidR="00AE0A76" w:rsidRPr="00CE1E84" w:rsidRDefault="00AE0A76" w:rsidP="00AE0A76">
      <w:pPr>
        <w:rPr>
          <w:rFonts w:ascii="Times New Roman" w:hAnsi="Times New Roman"/>
          <w:szCs w:val="24"/>
        </w:rPr>
      </w:pPr>
      <w:r w:rsidRPr="00CE1E84">
        <w:rPr>
          <w:rFonts w:ascii="Times New Roman" w:hAnsi="Times New Roman"/>
          <w:szCs w:val="24"/>
        </w:rPr>
        <w:tab/>
        <w:t>v.</w:t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  <w:t>:</w:t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  <w:t>F-2010-2164739</w:t>
      </w:r>
    </w:p>
    <w:p w:rsidR="00AE0A76" w:rsidRPr="00CE1E84" w:rsidRDefault="00AE0A76" w:rsidP="00AE0A76">
      <w:pPr>
        <w:rPr>
          <w:rFonts w:ascii="Times New Roman" w:hAnsi="Times New Roman"/>
          <w:szCs w:val="24"/>
        </w:rPr>
      </w:pP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  <w:t>:</w:t>
      </w:r>
    </w:p>
    <w:p w:rsidR="00AE0A76" w:rsidRPr="00CE1E84" w:rsidRDefault="00AE0A76" w:rsidP="00AE0A76">
      <w:pPr>
        <w:rPr>
          <w:rFonts w:ascii="Times New Roman" w:hAnsi="Times New Roman"/>
          <w:szCs w:val="24"/>
        </w:rPr>
      </w:pPr>
      <w:r w:rsidRPr="00CE1E84">
        <w:rPr>
          <w:rFonts w:ascii="Times New Roman" w:hAnsi="Times New Roman"/>
          <w:szCs w:val="24"/>
        </w:rPr>
        <w:t>PPL Electric Utilities Corporation</w:t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  <w:t>:</w:t>
      </w: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E2536" w:rsidRPr="00246DEC" w:rsidRDefault="005E253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246DEC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246DEC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="003F2CD6" w:rsidRPr="00246DEC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 w:rsidRPr="00246DEC">
        <w:rPr>
          <w:rFonts w:ascii="Times New Roman" w:hAnsi="Times New Roman"/>
          <w:spacing w:val="-3"/>
          <w:szCs w:val="24"/>
        </w:rPr>
        <w:t xml:space="preserve">Administrative Law Judge </w:t>
      </w:r>
      <w:r w:rsidR="00CE1E84">
        <w:rPr>
          <w:rFonts w:ascii="Times New Roman" w:hAnsi="Times New Roman"/>
          <w:spacing w:val="-3"/>
          <w:szCs w:val="24"/>
        </w:rPr>
        <w:t>Susan D. Colwell</w:t>
      </w:r>
      <w:r w:rsidR="000E12F5" w:rsidRPr="00246DEC">
        <w:rPr>
          <w:rFonts w:ascii="Times New Roman" w:hAnsi="Times New Roman"/>
          <w:spacing w:val="-3"/>
          <w:szCs w:val="24"/>
        </w:rPr>
        <w:t xml:space="preserve"> </w:t>
      </w:r>
      <w:r w:rsidR="009A547F" w:rsidRPr="00246DEC">
        <w:rPr>
          <w:rFonts w:ascii="Times New Roman" w:hAnsi="Times New Roman"/>
          <w:spacing w:val="-3"/>
          <w:szCs w:val="24"/>
        </w:rPr>
        <w:t>dated</w:t>
      </w:r>
      <w:r w:rsidR="004C514D" w:rsidRPr="00246DEC">
        <w:rPr>
          <w:rFonts w:ascii="Times New Roman" w:hAnsi="Times New Roman"/>
          <w:spacing w:val="-3"/>
          <w:szCs w:val="24"/>
        </w:rPr>
        <w:t xml:space="preserve"> </w:t>
      </w:r>
      <w:r w:rsidR="00CE1E84">
        <w:rPr>
          <w:rFonts w:ascii="Times New Roman" w:hAnsi="Times New Roman"/>
          <w:spacing w:val="-3"/>
          <w:szCs w:val="24"/>
        </w:rPr>
        <w:t>March 1</w:t>
      </w:r>
      <w:r w:rsidR="005E2536">
        <w:rPr>
          <w:rFonts w:ascii="Times New Roman" w:hAnsi="Times New Roman"/>
          <w:spacing w:val="-3"/>
          <w:szCs w:val="24"/>
        </w:rPr>
        <w:t>, 2011</w:t>
      </w:r>
      <w:r w:rsidRPr="00246DEC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246DEC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THEREFORE,</w:t>
      </w: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IT IS ORDERED:</w:t>
      </w:r>
    </w:p>
    <w:p w:rsidR="00246DEC" w:rsidRPr="00246DEC" w:rsidRDefault="00246DEC" w:rsidP="00246DEC">
      <w:pPr>
        <w:spacing w:line="360" w:lineRule="auto"/>
        <w:rPr>
          <w:rFonts w:ascii="Times New Roman" w:hAnsi="Times New Roman"/>
          <w:szCs w:val="24"/>
        </w:rPr>
      </w:pPr>
    </w:p>
    <w:p w:rsidR="00CE1E84" w:rsidRPr="00CE1E84" w:rsidRDefault="00246DEC" w:rsidP="00CE1E84">
      <w:pPr>
        <w:ind w:right="-180"/>
        <w:jc w:val="both"/>
        <w:rPr>
          <w:rFonts w:ascii="Times New Roman" w:hAnsi="Times New Roman"/>
          <w:szCs w:val="24"/>
        </w:rPr>
      </w:pPr>
      <w:r w:rsidRPr="00246DEC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</w:r>
      <w:r w:rsidR="00CE1E84" w:rsidRPr="00CE1E84">
        <w:rPr>
          <w:rFonts w:ascii="Times New Roman" w:hAnsi="Times New Roman"/>
          <w:szCs w:val="24"/>
        </w:rPr>
        <w:t>1.</w:t>
      </w:r>
      <w:r w:rsidR="00CE1E84" w:rsidRPr="00CE1E84">
        <w:rPr>
          <w:rFonts w:ascii="Times New Roman" w:hAnsi="Times New Roman"/>
          <w:szCs w:val="24"/>
        </w:rPr>
        <w:tab/>
        <w:t>That the case captioned Michelle &amp; Bobby Rhone v. PPL Electric Utilities Corporation, Docket No. F-2010-2164739 is dismissed for failure to comply with the February 15, 2011 Order.</w:t>
      </w:r>
    </w:p>
    <w:p w:rsidR="00CE1E84" w:rsidRPr="00CE1E84" w:rsidRDefault="00CE1E84" w:rsidP="00CE1E84">
      <w:pPr>
        <w:jc w:val="both"/>
        <w:rPr>
          <w:rFonts w:ascii="Times New Roman" w:hAnsi="Times New Roman"/>
          <w:szCs w:val="24"/>
        </w:rPr>
      </w:pPr>
    </w:p>
    <w:p w:rsidR="00CE1E84" w:rsidRPr="00CE1E84" w:rsidRDefault="00CE1E84" w:rsidP="00CE1E84">
      <w:pPr>
        <w:jc w:val="both"/>
        <w:rPr>
          <w:rFonts w:ascii="Times New Roman" w:hAnsi="Times New Roman"/>
          <w:szCs w:val="24"/>
        </w:rPr>
      </w:pPr>
      <w:r w:rsidRPr="00CE1E84">
        <w:rPr>
          <w:rFonts w:ascii="Times New Roman" w:hAnsi="Times New Roman"/>
          <w:szCs w:val="24"/>
        </w:rPr>
        <w:tab/>
      </w:r>
      <w:r w:rsidRPr="00CE1E84">
        <w:rPr>
          <w:rFonts w:ascii="Times New Roman" w:hAnsi="Times New Roman"/>
          <w:szCs w:val="24"/>
        </w:rPr>
        <w:tab/>
        <w:t>2.</w:t>
      </w:r>
      <w:r w:rsidRPr="00CE1E84">
        <w:rPr>
          <w:rFonts w:ascii="Times New Roman" w:hAnsi="Times New Roman"/>
          <w:szCs w:val="24"/>
        </w:rPr>
        <w:tab/>
        <w:t xml:space="preserve">That the Secretary </w:t>
      </w:r>
      <w:proofErr w:type="gramStart"/>
      <w:r w:rsidRPr="00CE1E84">
        <w:rPr>
          <w:rFonts w:ascii="Times New Roman" w:hAnsi="Times New Roman"/>
          <w:szCs w:val="24"/>
        </w:rPr>
        <w:t>mark</w:t>
      </w:r>
      <w:proofErr w:type="gramEnd"/>
      <w:r w:rsidRPr="00CE1E84">
        <w:rPr>
          <w:rFonts w:ascii="Times New Roman" w:hAnsi="Times New Roman"/>
          <w:szCs w:val="24"/>
        </w:rPr>
        <w:t xml:space="preserve"> this docket closed.</w:t>
      </w:r>
    </w:p>
    <w:p w:rsidR="009F2F5A" w:rsidRDefault="009F2F5A" w:rsidP="00CE1E84">
      <w:pPr>
        <w:jc w:val="both"/>
        <w:rPr>
          <w:rFonts w:ascii="Times New Roman" w:hAnsi="Times New Roman"/>
          <w:spacing w:val="-3"/>
          <w:szCs w:val="24"/>
        </w:rPr>
      </w:pPr>
    </w:p>
    <w:p w:rsidR="005E2536" w:rsidRPr="00246DEC" w:rsidRDefault="005E2536" w:rsidP="005E2536">
      <w:pPr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A1468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102235</wp:posOffset>
            </wp:positionV>
            <wp:extent cx="2201545" cy="833755"/>
            <wp:effectExtent l="19050" t="0" r="8255" b="0"/>
            <wp:wrapNone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141506" w:rsidRPr="00246DEC">
        <w:rPr>
          <w:rFonts w:ascii="Times New Roman" w:hAnsi="Times New Roman"/>
          <w:spacing w:val="-3"/>
          <w:szCs w:val="24"/>
        </w:rPr>
        <w:t>BY THE COMMISSION,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246DEC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="00700209" w:rsidRPr="00246DEC">
        <w:rPr>
          <w:rFonts w:ascii="Times New Roman" w:hAnsi="Times New Roman"/>
          <w:spacing w:val="-3"/>
          <w:szCs w:val="24"/>
        </w:rPr>
        <w:t>Rosemary Chiavetta</w:t>
      </w:r>
    </w:p>
    <w:p w:rsidR="006B0FB5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Pr="00246DEC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D2154" w:rsidRPr="00246DEC" w:rsidRDefault="001D21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05144" w:rsidRPr="00246DEC" w:rsidRDefault="009051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05144" w:rsidRPr="00246DEC" w:rsidRDefault="009051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(SEAL)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46DEC">
        <w:rPr>
          <w:rFonts w:ascii="Times New Roman" w:hAnsi="Times New Roman"/>
          <w:spacing w:val="-3"/>
          <w:szCs w:val="24"/>
        </w:rPr>
        <w:t>ORDER ENTERED:</w:t>
      </w:r>
      <w:r w:rsidR="000F2734" w:rsidRPr="00246DEC">
        <w:rPr>
          <w:rFonts w:ascii="Times New Roman" w:hAnsi="Times New Roman"/>
          <w:spacing w:val="-3"/>
          <w:szCs w:val="24"/>
        </w:rPr>
        <w:t xml:space="preserve"> </w:t>
      </w:r>
      <w:r w:rsidR="00A1468A">
        <w:rPr>
          <w:rFonts w:ascii="Times New Roman" w:hAnsi="Times New Roman"/>
          <w:spacing w:val="-3"/>
          <w:szCs w:val="24"/>
        </w:rPr>
        <w:t xml:space="preserve"> May 27, 2011</w:t>
      </w:r>
    </w:p>
    <w:sectPr w:rsidR="00141506" w:rsidRPr="00246DEC" w:rsidSect="00F2652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3CA" w:rsidRDefault="005B33CA">
      <w:pPr>
        <w:spacing w:line="20" w:lineRule="exact"/>
      </w:pPr>
    </w:p>
  </w:endnote>
  <w:endnote w:type="continuationSeparator" w:id="0">
    <w:p w:rsidR="005B33CA" w:rsidRDefault="005B33CA">
      <w:r>
        <w:t xml:space="preserve"> </w:t>
      </w:r>
    </w:p>
  </w:endnote>
  <w:endnote w:type="continuationNotice" w:id="1">
    <w:p w:rsidR="005B33CA" w:rsidRDefault="005B33C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3CA" w:rsidRDefault="005B33CA">
      <w:r>
        <w:separator/>
      </w:r>
    </w:p>
  </w:footnote>
  <w:footnote w:type="continuationSeparator" w:id="0">
    <w:p w:rsidR="005B33CA" w:rsidRDefault="005B33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A59"/>
    <w:rsid w:val="000C4EC4"/>
    <w:rsid w:val="000D55D7"/>
    <w:rsid w:val="000E0E9E"/>
    <w:rsid w:val="000E12F5"/>
    <w:rsid w:val="000F2734"/>
    <w:rsid w:val="00102A0C"/>
    <w:rsid w:val="001370B5"/>
    <w:rsid w:val="00141506"/>
    <w:rsid w:val="00182FEB"/>
    <w:rsid w:val="001C218D"/>
    <w:rsid w:val="001D058B"/>
    <w:rsid w:val="001D209B"/>
    <w:rsid w:val="001D2154"/>
    <w:rsid w:val="00201E96"/>
    <w:rsid w:val="0022470B"/>
    <w:rsid w:val="00246DEC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B33CA"/>
    <w:rsid w:val="005B6B78"/>
    <w:rsid w:val="005D29C7"/>
    <w:rsid w:val="005E2536"/>
    <w:rsid w:val="005E5B67"/>
    <w:rsid w:val="00603A23"/>
    <w:rsid w:val="006117E4"/>
    <w:rsid w:val="0063332D"/>
    <w:rsid w:val="0064446E"/>
    <w:rsid w:val="00651D3E"/>
    <w:rsid w:val="00670369"/>
    <w:rsid w:val="00692915"/>
    <w:rsid w:val="006B0FB5"/>
    <w:rsid w:val="006B100B"/>
    <w:rsid w:val="006B24DA"/>
    <w:rsid w:val="006B6959"/>
    <w:rsid w:val="006C0491"/>
    <w:rsid w:val="006E7BA1"/>
    <w:rsid w:val="00700209"/>
    <w:rsid w:val="00710ED8"/>
    <w:rsid w:val="00716C34"/>
    <w:rsid w:val="00762518"/>
    <w:rsid w:val="007A3CCA"/>
    <w:rsid w:val="007C0D22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5144"/>
    <w:rsid w:val="00906FC2"/>
    <w:rsid w:val="00912ED6"/>
    <w:rsid w:val="009743C0"/>
    <w:rsid w:val="00987969"/>
    <w:rsid w:val="009A547F"/>
    <w:rsid w:val="009B2408"/>
    <w:rsid w:val="009B6D12"/>
    <w:rsid w:val="009C7D16"/>
    <w:rsid w:val="009F2F5A"/>
    <w:rsid w:val="00A01A5E"/>
    <w:rsid w:val="00A1468A"/>
    <w:rsid w:val="00A16540"/>
    <w:rsid w:val="00A47CC7"/>
    <w:rsid w:val="00A52368"/>
    <w:rsid w:val="00A52668"/>
    <w:rsid w:val="00A54870"/>
    <w:rsid w:val="00A7062E"/>
    <w:rsid w:val="00A830B0"/>
    <w:rsid w:val="00AA556A"/>
    <w:rsid w:val="00AB341C"/>
    <w:rsid w:val="00AC3685"/>
    <w:rsid w:val="00AC624C"/>
    <w:rsid w:val="00AE0A76"/>
    <w:rsid w:val="00AE3625"/>
    <w:rsid w:val="00B326FD"/>
    <w:rsid w:val="00B43EEF"/>
    <w:rsid w:val="00B50644"/>
    <w:rsid w:val="00BA4D0C"/>
    <w:rsid w:val="00BB4E5C"/>
    <w:rsid w:val="00BF1FEC"/>
    <w:rsid w:val="00C34770"/>
    <w:rsid w:val="00C50508"/>
    <w:rsid w:val="00C67300"/>
    <w:rsid w:val="00C83E87"/>
    <w:rsid w:val="00C86908"/>
    <w:rsid w:val="00C94A2D"/>
    <w:rsid w:val="00CB2D7F"/>
    <w:rsid w:val="00CD1AC8"/>
    <w:rsid w:val="00CD248B"/>
    <w:rsid w:val="00CE1E84"/>
    <w:rsid w:val="00CF1137"/>
    <w:rsid w:val="00D17118"/>
    <w:rsid w:val="00D335DF"/>
    <w:rsid w:val="00D36A2D"/>
    <w:rsid w:val="00D36E23"/>
    <w:rsid w:val="00D61477"/>
    <w:rsid w:val="00D61EEA"/>
    <w:rsid w:val="00D634D0"/>
    <w:rsid w:val="00D65BB6"/>
    <w:rsid w:val="00DB393A"/>
    <w:rsid w:val="00DC7770"/>
    <w:rsid w:val="00DD4F68"/>
    <w:rsid w:val="00DD51DC"/>
    <w:rsid w:val="00E04E38"/>
    <w:rsid w:val="00E14244"/>
    <w:rsid w:val="00E2047C"/>
    <w:rsid w:val="00E84FE1"/>
    <w:rsid w:val="00E86376"/>
    <w:rsid w:val="00E90C7F"/>
    <w:rsid w:val="00E956B1"/>
    <w:rsid w:val="00EB7EE4"/>
    <w:rsid w:val="00EC0276"/>
    <w:rsid w:val="00EC405E"/>
    <w:rsid w:val="00EF58B1"/>
    <w:rsid w:val="00F118C2"/>
    <w:rsid w:val="00F26527"/>
    <w:rsid w:val="00F32550"/>
    <w:rsid w:val="00F47F3C"/>
    <w:rsid w:val="00F553E3"/>
    <w:rsid w:val="00F56FA3"/>
    <w:rsid w:val="00F63A82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A1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4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2011-05-27T15:42:00Z</cp:lastPrinted>
  <dcterms:created xsi:type="dcterms:W3CDTF">2011-05-27T13:17:00Z</dcterms:created>
  <dcterms:modified xsi:type="dcterms:W3CDTF">2011-05-27T15:42:00Z</dcterms:modified>
</cp:coreProperties>
</file>