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C8" w:rsidRPr="00FA6483" w:rsidRDefault="00ED3EC8" w:rsidP="00ED3EC8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Default="00ED3EC8" w:rsidP="00ED3EC8">
      <w:pPr>
        <w:jc w:val="center"/>
        <w:rPr>
          <w:b/>
        </w:rPr>
      </w:pPr>
    </w:p>
    <w:p w:rsidR="00ED3EC8" w:rsidRPr="00FA6483" w:rsidRDefault="007038D2" w:rsidP="00ED3EC8">
      <w:pPr>
        <w:rPr>
          <w:sz w:val="24"/>
          <w:szCs w:val="24"/>
        </w:rPr>
      </w:pPr>
      <w:r>
        <w:rPr>
          <w:sz w:val="24"/>
          <w:szCs w:val="24"/>
        </w:rPr>
        <w:t>Sherry Dixon</w:t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  <w:t>: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8E19D7" w:rsidP="00ED3EC8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ED3EC8">
        <w:rPr>
          <w:sz w:val="24"/>
          <w:szCs w:val="24"/>
        </w:rPr>
        <w:t>Docket No.</w:t>
      </w:r>
      <w:r>
        <w:rPr>
          <w:sz w:val="24"/>
          <w:szCs w:val="24"/>
        </w:rPr>
        <w:t xml:space="preserve"> C-2010-21</w:t>
      </w:r>
      <w:r w:rsidR="007038D2">
        <w:rPr>
          <w:sz w:val="24"/>
          <w:szCs w:val="24"/>
        </w:rPr>
        <w:t>92741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8E19D7" w:rsidP="00ED3EC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7038D2">
        <w:rPr>
          <w:sz w:val="24"/>
          <w:szCs w:val="24"/>
        </w:rPr>
        <w:t>ECO Energy Company</w:t>
      </w:r>
      <w:r w:rsidR="007038D2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 w:rsidRPr="00FA6483">
        <w:rPr>
          <w:sz w:val="24"/>
          <w:szCs w:val="24"/>
        </w:rPr>
        <w:t>:</w:t>
      </w:r>
    </w:p>
    <w:p w:rsidR="00ED3EC8" w:rsidRDefault="00ED3EC8" w:rsidP="00ED3EC8"/>
    <w:p w:rsidR="00ED3EC8" w:rsidRDefault="00ED3EC8" w:rsidP="00ED3EC8"/>
    <w:p w:rsidR="0043367D" w:rsidRDefault="0043367D" w:rsidP="00ED3EC8"/>
    <w:p w:rsidR="0043367D" w:rsidRPr="00E16C06" w:rsidRDefault="0043367D" w:rsidP="0043367D">
      <w:pPr>
        <w:jc w:val="center"/>
        <w:rPr>
          <w:b/>
          <w:sz w:val="24"/>
          <w:szCs w:val="24"/>
          <w:u w:val="single"/>
        </w:rPr>
      </w:pPr>
      <w:r w:rsidRPr="00E16C06">
        <w:rPr>
          <w:b/>
          <w:sz w:val="24"/>
          <w:szCs w:val="24"/>
          <w:u w:val="single"/>
        </w:rPr>
        <w:t>ORDER CONTINUING AND</w:t>
      </w:r>
    </w:p>
    <w:p w:rsidR="0043367D" w:rsidRPr="00E16C06" w:rsidRDefault="0043367D" w:rsidP="0043367D">
      <w:pPr>
        <w:jc w:val="center"/>
        <w:rPr>
          <w:b/>
          <w:sz w:val="24"/>
          <w:szCs w:val="24"/>
          <w:u w:val="single"/>
        </w:rPr>
      </w:pPr>
      <w:r w:rsidRPr="00E16C06">
        <w:rPr>
          <w:b/>
          <w:sz w:val="24"/>
          <w:szCs w:val="24"/>
          <w:u w:val="single"/>
        </w:rPr>
        <w:t>RESCHEDULING HEARING</w:t>
      </w:r>
    </w:p>
    <w:p w:rsidR="0043367D" w:rsidRPr="00E16C06" w:rsidRDefault="0043367D" w:rsidP="0043367D">
      <w:pPr>
        <w:rPr>
          <w:sz w:val="24"/>
          <w:szCs w:val="24"/>
        </w:rPr>
      </w:pPr>
    </w:p>
    <w:p w:rsidR="0043367D" w:rsidRPr="00E16C06" w:rsidRDefault="0043367D" w:rsidP="0043367D">
      <w:pPr>
        <w:rPr>
          <w:sz w:val="24"/>
          <w:szCs w:val="24"/>
        </w:rPr>
      </w:pPr>
    </w:p>
    <w:p w:rsidR="0043367D" w:rsidRDefault="0043367D" w:rsidP="0043367D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A</w:t>
      </w:r>
      <w:r>
        <w:rPr>
          <w:sz w:val="24"/>
          <w:szCs w:val="24"/>
        </w:rPr>
        <w:t xml:space="preserve">n initial telephonic </w:t>
      </w:r>
      <w:r w:rsidRPr="00E16C06">
        <w:rPr>
          <w:sz w:val="24"/>
          <w:szCs w:val="24"/>
        </w:rPr>
        <w:t xml:space="preserve">hearing in this matter </w:t>
      </w:r>
      <w:r>
        <w:rPr>
          <w:sz w:val="24"/>
          <w:szCs w:val="24"/>
        </w:rPr>
        <w:t xml:space="preserve">has been </w:t>
      </w:r>
      <w:r w:rsidRPr="00E16C06">
        <w:rPr>
          <w:sz w:val="24"/>
          <w:szCs w:val="24"/>
        </w:rPr>
        <w:t xml:space="preserve">scheduled for </w:t>
      </w:r>
      <w:r>
        <w:rPr>
          <w:sz w:val="24"/>
          <w:szCs w:val="24"/>
        </w:rPr>
        <w:t xml:space="preserve">May 23, </w:t>
      </w:r>
      <w:r w:rsidRPr="00E16C06">
        <w:rPr>
          <w:sz w:val="24"/>
          <w:szCs w:val="24"/>
        </w:rPr>
        <w:t>201</w:t>
      </w:r>
      <w:r>
        <w:rPr>
          <w:sz w:val="24"/>
          <w:szCs w:val="24"/>
        </w:rPr>
        <w:t>1</w:t>
      </w:r>
      <w:r w:rsidRPr="00E16C06">
        <w:rPr>
          <w:sz w:val="24"/>
          <w:szCs w:val="24"/>
        </w:rPr>
        <w:t xml:space="preserve">, at </w:t>
      </w:r>
      <w:r>
        <w:rPr>
          <w:sz w:val="24"/>
          <w:szCs w:val="24"/>
        </w:rPr>
        <w:t>10</w:t>
      </w:r>
      <w:r w:rsidRPr="00E16C06">
        <w:rPr>
          <w:sz w:val="24"/>
          <w:szCs w:val="24"/>
        </w:rPr>
        <w:t xml:space="preserve">:00 </w:t>
      </w:r>
      <w:r>
        <w:rPr>
          <w:sz w:val="24"/>
          <w:szCs w:val="24"/>
        </w:rPr>
        <w:t>a</w:t>
      </w:r>
      <w:r w:rsidRPr="00E16C06">
        <w:rPr>
          <w:sz w:val="24"/>
          <w:szCs w:val="24"/>
        </w:rPr>
        <w:t xml:space="preserve">.m.  </w:t>
      </w:r>
      <w:r>
        <w:rPr>
          <w:sz w:val="24"/>
          <w:szCs w:val="24"/>
        </w:rPr>
        <w:t xml:space="preserve">On May 17, 2011, I </w:t>
      </w:r>
      <w:r w:rsidRPr="00E16C06">
        <w:rPr>
          <w:sz w:val="24"/>
          <w:szCs w:val="24"/>
        </w:rPr>
        <w:t xml:space="preserve">received a </w:t>
      </w:r>
      <w:r>
        <w:rPr>
          <w:sz w:val="24"/>
          <w:szCs w:val="24"/>
        </w:rPr>
        <w:t>letter/</w:t>
      </w:r>
      <w:r w:rsidRPr="00E16C06">
        <w:rPr>
          <w:sz w:val="24"/>
          <w:szCs w:val="24"/>
        </w:rPr>
        <w:t xml:space="preserve">Motion for Continuance of Hearing (Motion) from </w:t>
      </w:r>
      <w:r>
        <w:rPr>
          <w:sz w:val="24"/>
          <w:szCs w:val="24"/>
        </w:rPr>
        <w:t xml:space="preserve">Sherry Dixon (Complainant).  Ms. Dixon </w:t>
      </w:r>
      <w:r w:rsidRPr="00E16C06">
        <w:rPr>
          <w:sz w:val="24"/>
          <w:szCs w:val="24"/>
        </w:rPr>
        <w:t>request</w:t>
      </w:r>
      <w:r w:rsidR="00A707DC">
        <w:rPr>
          <w:sz w:val="24"/>
          <w:szCs w:val="24"/>
        </w:rPr>
        <w:t>ed</w:t>
      </w:r>
      <w:r w:rsidRPr="00E16C06">
        <w:rPr>
          <w:sz w:val="24"/>
          <w:szCs w:val="24"/>
        </w:rPr>
        <w:t xml:space="preserve"> that the hearing </w:t>
      </w:r>
      <w:r>
        <w:rPr>
          <w:sz w:val="24"/>
          <w:szCs w:val="24"/>
        </w:rPr>
        <w:t xml:space="preserve">of May 23, 2011, </w:t>
      </w:r>
      <w:r w:rsidRPr="00E16C06">
        <w:rPr>
          <w:sz w:val="24"/>
          <w:szCs w:val="24"/>
        </w:rPr>
        <w:t>be continued and rescheduled</w:t>
      </w:r>
      <w:r>
        <w:rPr>
          <w:sz w:val="24"/>
          <w:szCs w:val="24"/>
        </w:rPr>
        <w:t xml:space="preserve"> to allow Ms. Dixon to deal with a family emergency. </w:t>
      </w:r>
    </w:p>
    <w:p w:rsidR="0043367D" w:rsidRDefault="0043367D" w:rsidP="0043367D">
      <w:pPr>
        <w:spacing w:line="360" w:lineRule="auto"/>
        <w:rPr>
          <w:sz w:val="24"/>
          <w:szCs w:val="24"/>
        </w:rPr>
      </w:pPr>
    </w:p>
    <w:p w:rsidR="0043367D" w:rsidRDefault="0043367D" w:rsidP="004336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Ms. Dixon stated that she would contact counsel for PECO to ascertain PECO’s position with respect to the Motion for Continuance, but thus far counsel for PECO has not received a copy of the letter/Motion.  However, upon being apprised of the request and the reason for the request by the undersigned, counsel graciously agreed not to oppose the requested continuance.</w:t>
      </w:r>
      <w:r>
        <w:rPr>
          <w:sz w:val="24"/>
          <w:szCs w:val="24"/>
        </w:rPr>
        <w:tab/>
      </w:r>
    </w:p>
    <w:p w:rsidR="0043367D" w:rsidRDefault="0043367D" w:rsidP="0043367D">
      <w:pPr>
        <w:spacing w:line="360" w:lineRule="auto"/>
        <w:rPr>
          <w:sz w:val="24"/>
          <w:szCs w:val="24"/>
        </w:rPr>
      </w:pPr>
    </w:p>
    <w:p w:rsidR="0043367D" w:rsidRDefault="0043367D" w:rsidP="0043367D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 Commission’s Rules of Administrative Practice and Procedure at 52 Pa. Code § 1.15(b) state that, “Only for good cause shown will requests for continuance be considered.”</w:t>
      </w:r>
      <w:r>
        <w:rPr>
          <w:sz w:val="24"/>
          <w:szCs w:val="24"/>
        </w:rPr>
        <w:t xml:space="preserve">   In this case, Ms. </w:t>
      </w:r>
      <w:r w:rsidR="00124E7D">
        <w:rPr>
          <w:sz w:val="24"/>
          <w:szCs w:val="24"/>
        </w:rPr>
        <w:t xml:space="preserve">Dixon is dealing with a family emergency </w:t>
      </w:r>
      <w:r>
        <w:rPr>
          <w:sz w:val="24"/>
          <w:szCs w:val="24"/>
        </w:rPr>
        <w:t>so her Motion will be granted.</w:t>
      </w:r>
    </w:p>
    <w:p w:rsidR="0043367D" w:rsidRDefault="0043367D" w:rsidP="0043367D">
      <w:pPr>
        <w:spacing w:line="360" w:lineRule="auto"/>
        <w:rPr>
          <w:sz w:val="24"/>
          <w:szCs w:val="24"/>
        </w:rPr>
      </w:pPr>
    </w:p>
    <w:p w:rsidR="0043367D" w:rsidRDefault="0043367D" w:rsidP="0043367D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 xml:space="preserve">I urge the parties to use this opportunity to try to resolve </w:t>
      </w:r>
      <w:r>
        <w:rPr>
          <w:sz w:val="24"/>
          <w:szCs w:val="24"/>
        </w:rPr>
        <w:t>all issues to</w:t>
      </w:r>
      <w:r w:rsidRPr="00E16C06">
        <w:rPr>
          <w:sz w:val="24"/>
          <w:szCs w:val="24"/>
        </w:rPr>
        <w:t xml:space="preserve"> avoid the necessity of the expenditure of further time and legal expense.  </w:t>
      </w:r>
    </w:p>
    <w:p w:rsidR="00A707DC" w:rsidRDefault="00A707DC" w:rsidP="0043367D">
      <w:pPr>
        <w:spacing w:line="360" w:lineRule="auto"/>
        <w:rPr>
          <w:sz w:val="24"/>
          <w:szCs w:val="24"/>
        </w:rPr>
      </w:pPr>
    </w:p>
    <w:p w:rsidR="00A707DC" w:rsidRDefault="00A707DC" w:rsidP="0043367D">
      <w:pPr>
        <w:spacing w:line="360" w:lineRule="auto"/>
        <w:rPr>
          <w:sz w:val="24"/>
          <w:szCs w:val="24"/>
        </w:rPr>
      </w:pPr>
    </w:p>
    <w:p w:rsidR="00A707DC" w:rsidRDefault="00A707DC" w:rsidP="0043367D">
      <w:pPr>
        <w:spacing w:line="360" w:lineRule="auto"/>
        <w:rPr>
          <w:sz w:val="24"/>
          <w:szCs w:val="24"/>
        </w:rPr>
      </w:pPr>
    </w:p>
    <w:p w:rsidR="0043367D" w:rsidRPr="00E16C06" w:rsidRDefault="0043367D" w:rsidP="0043367D">
      <w:pPr>
        <w:spacing w:line="360" w:lineRule="auto"/>
        <w:rPr>
          <w:sz w:val="24"/>
          <w:szCs w:val="24"/>
        </w:rPr>
      </w:pPr>
    </w:p>
    <w:p w:rsidR="0043367D" w:rsidRPr="00E16C06" w:rsidRDefault="0043367D" w:rsidP="0043367D">
      <w:pPr>
        <w:rPr>
          <w:sz w:val="24"/>
          <w:szCs w:val="24"/>
        </w:rPr>
      </w:pPr>
    </w:p>
    <w:p w:rsidR="0043367D" w:rsidRPr="00E16C06" w:rsidRDefault="0043367D" w:rsidP="0043367D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THEREFORE,</w:t>
      </w:r>
    </w:p>
    <w:p w:rsidR="0043367D" w:rsidRPr="00E16C06" w:rsidRDefault="0043367D" w:rsidP="0043367D">
      <w:pPr>
        <w:rPr>
          <w:sz w:val="24"/>
          <w:szCs w:val="24"/>
        </w:rPr>
      </w:pPr>
    </w:p>
    <w:p w:rsidR="0043367D" w:rsidRDefault="0043367D" w:rsidP="0043367D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A707DC" w:rsidRPr="00E16C06" w:rsidRDefault="00A707DC" w:rsidP="0043367D">
      <w:pPr>
        <w:rPr>
          <w:sz w:val="24"/>
          <w:szCs w:val="24"/>
        </w:rPr>
      </w:pPr>
    </w:p>
    <w:p w:rsidR="0043367D" w:rsidRPr="00E16C06" w:rsidRDefault="0043367D" w:rsidP="0043367D">
      <w:pPr>
        <w:rPr>
          <w:sz w:val="24"/>
          <w:szCs w:val="24"/>
        </w:rPr>
      </w:pPr>
    </w:p>
    <w:p w:rsidR="0043367D" w:rsidRDefault="0043367D" w:rsidP="00124E7D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Motion for Continuance of Hearing made by </w:t>
      </w:r>
      <w:r>
        <w:rPr>
          <w:sz w:val="24"/>
          <w:szCs w:val="24"/>
        </w:rPr>
        <w:t xml:space="preserve">Complainant </w:t>
      </w:r>
      <w:r w:rsidR="00124E7D">
        <w:rPr>
          <w:sz w:val="24"/>
          <w:szCs w:val="24"/>
        </w:rPr>
        <w:t>Sherry Dixon</w:t>
      </w:r>
      <w:r>
        <w:rPr>
          <w:sz w:val="24"/>
          <w:szCs w:val="24"/>
        </w:rPr>
        <w:t>, at</w:t>
      </w:r>
      <w:r w:rsidRPr="00E16C06">
        <w:rPr>
          <w:sz w:val="24"/>
          <w:szCs w:val="24"/>
        </w:rPr>
        <w:t xml:space="preserve"> Docket No. </w:t>
      </w:r>
      <w:r>
        <w:rPr>
          <w:sz w:val="24"/>
          <w:szCs w:val="24"/>
        </w:rPr>
        <w:t>C</w:t>
      </w:r>
      <w:r w:rsidRPr="00E16C06">
        <w:rPr>
          <w:sz w:val="24"/>
          <w:szCs w:val="24"/>
        </w:rPr>
        <w:t>-2010-</w:t>
      </w:r>
      <w:r w:rsidR="00124E7D">
        <w:rPr>
          <w:sz w:val="24"/>
          <w:szCs w:val="24"/>
        </w:rPr>
        <w:t>2192741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 xml:space="preserve">is granted; and </w:t>
      </w:r>
    </w:p>
    <w:p w:rsidR="0043367D" w:rsidRDefault="0043367D" w:rsidP="00124E7D">
      <w:pPr>
        <w:spacing w:line="360" w:lineRule="auto"/>
        <w:rPr>
          <w:sz w:val="24"/>
          <w:szCs w:val="24"/>
        </w:rPr>
      </w:pPr>
    </w:p>
    <w:p w:rsidR="0043367D" w:rsidRPr="00E16C06" w:rsidRDefault="0043367D" w:rsidP="00124E7D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hearing scheduled for </w:t>
      </w:r>
      <w:r w:rsidR="00124E7D">
        <w:rPr>
          <w:sz w:val="24"/>
          <w:szCs w:val="24"/>
        </w:rPr>
        <w:t>May 23</w:t>
      </w:r>
      <w:r w:rsidRPr="00E16C06">
        <w:rPr>
          <w:sz w:val="24"/>
          <w:szCs w:val="24"/>
        </w:rPr>
        <w:t>, 201</w:t>
      </w:r>
      <w:r w:rsidR="00124E7D">
        <w:rPr>
          <w:sz w:val="24"/>
          <w:szCs w:val="24"/>
        </w:rPr>
        <w:t>1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and </w:t>
      </w:r>
      <w:r>
        <w:rPr>
          <w:sz w:val="24"/>
          <w:szCs w:val="24"/>
        </w:rPr>
        <w:t xml:space="preserve">will be </w:t>
      </w:r>
      <w:r w:rsidRPr="00E16C06">
        <w:rPr>
          <w:sz w:val="24"/>
          <w:szCs w:val="24"/>
        </w:rPr>
        <w:t>rescheduled.</w:t>
      </w:r>
    </w:p>
    <w:p w:rsidR="0043367D" w:rsidRPr="00E16C06" w:rsidRDefault="0043367D" w:rsidP="0043367D">
      <w:pPr>
        <w:rPr>
          <w:sz w:val="24"/>
          <w:szCs w:val="24"/>
        </w:rPr>
      </w:pPr>
    </w:p>
    <w:p w:rsidR="0043367D" w:rsidRPr="00E16C06" w:rsidRDefault="0043367D" w:rsidP="0043367D">
      <w:pPr>
        <w:rPr>
          <w:sz w:val="24"/>
          <w:szCs w:val="24"/>
        </w:rPr>
      </w:pPr>
    </w:p>
    <w:p w:rsidR="0043367D" w:rsidRPr="00E16C06" w:rsidRDefault="0043367D" w:rsidP="0043367D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098"/>
        <w:gridCol w:w="2340"/>
        <w:gridCol w:w="1890"/>
        <w:gridCol w:w="4248"/>
      </w:tblGrid>
      <w:tr w:rsidR="0043367D" w:rsidRPr="00E16C06" w:rsidTr="00375622">
        <w:tc>
          <w:tcPr>
            <w:tcW w:w="1098" w:type="dxa"/>
          </w:tcPr>
          <w:p w:rsidR="0043367D" w:rsidRPr="00E16C06" w:rsidRDefault="0043367D" w:rsidP="0037562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43367D" w:rsidRPr="00E16C06" w:rsidRDefault="00124E7D" w:rsidP="0012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18, 2011</w:t>
            </w:r>
          </w:p>
        </w:tc>
        <w:tc>
          <w:tcPr>
            <w:tcW w:w="1890" w:type="dxa"/>
            <w:tcBorders>
              <w:left w:val="nil"/>
            </w:tcBorders>
          </w:tcPr>
          <w:p w:rsidR="0043367D" w:rsidRPr="00E16C06" w:rsidRDefault="0043367D" w:rsidP="0037562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43367D" w:rsidRPr="00E16C06" w:rsidRDefault="0043367D" w:rsidP="00375622">
            <w:pPr>
              <w:rPr>
                <w:sz w:val="24"/>
                <w:szCs w:val="24"/>
              </w:rPr>
            </w:pPr>
          </w:p>
        </w:tc>
      </w:tr>
      <w:tr w:rsidR="0043367D" w:rsidRPr="00E16C06" w:rsidTr="00375622">
        <w:tc>
          <w:tcPr>
            <w:tcW w:w="1098" w:type="dxa"/>
          </w:tcPr>
          <w:p w:rsidR="0043367D" w:rsidRPr="00E16C06" w:rsidRDefault="0043367D" w:rsidP="0037562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3367D" w:rsidRPr="00E16C06" w:rsidRDefault="0043367D" w:rsidP="003756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3367D" w:rsidRPr="00E16C06" w:rsidRDefault="0043367D" w:rsidP="0037562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43367D" w:rsidRPr="00E16C06" w:rsidRDefault="0043367D" w:rsidP="0037562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Dennis J. Buckley</w:t>
            </w:r>
          </w:p>
          <w:p w:rsidR="0043367D" w:rsidRPr="00E16C06" w:rsidRDefault="0043367D" w:rsidP="0037562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Administrative Law Judge</w:t>
            </w:r>
          </w:p>
        </w:tc>
      </w:tr>
    </w:tbl>
    <w:p w:rsidR="009B5217" w:rsidRDefault="009B5217" w:rsidP="00ED3EC8">
      <w:pPr>
        <w:sectPr w:rsidR="009B5217" w:rsidSect="00ED3EC8">
          <w:footerReference w:type="even" r:id="rId6"/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9B5217" w:rsidRDefault="009B5217" w:rsidP="009B5217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C-2010-2192741 - SHERRY DIXON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9B5217" w:rsidRDefault="009B5217" w:rsidP="009B5217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SHERRY DIXON</w:t>
      </w:r>
      <w:r>
        <w:rPr>
          <w:rFonts w:ascii="Microsoft Sans Serif"/>
          <w:sz w:val="24"/>
        </w:rPr>
        <w:cr/>
        <w:t>1701 WALNUT RIDGE</w:t>
      </w:r>
      <w:r>
        <w:rPr>
          <w:rFonts w:ascii="Microsoft Sans Serif"/>
          <w:sz w:val="24"/>
        </w:rPr>
        <w:cr/>
        <w:t>POTTSTOWN PA  19464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267.475.</w:t>
      </w:r>
      <w:r w:rsidRPr="00D03992">
        <w:rPr>
          <w:rFonts w:ascii="Microsoft Sans Serif"/>
          <w:b/>
          <w:sz w:val="24"/>
        </w:rPr>
        <w:t>0343</w:t>
      </w:r>
    </w:p>
    <w:p w:rsidR="009B5217" w:rsidRDefault="009B5217" w:rsidP="009B5217">
      <w:pPr>
        <w:rPr>
          <w:rFonts w:ascii="Microsoft Sans Serif"/>
          <w:sz w:val="24"/>
        </w:rPr>
      </w:pPr>
    </w:p>
    <w:p w:rsidR="009B5217" w:rsidRDefault="009B5217" w:rsidP="009B5217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TISHEKIA WILLIAMS ESQUIRE</w:t>
      </w:r>
      <w:r>
        <w:rPr>
          <w:rFonts w:ascii="Microsoft Sans Serif"/>
          <w:sz w:val="24"/>
        </w:rPr>
        <w:cr/>
        <w:t>EXELON BUSINESS SERVICES COMPANY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215.841.</w:t>
      </w:r>
      <w:r w:rsidRPr="00D03992">
        <w:rPr>
          <w:rFonts w:ascii="Microsoft Sans Serif"/>
          <w:b/>
          <w:sz w:val="24"/>
        </w:rPr>
        <w:t>6841</w:t>
      </w:r>
      <w:r>
        <w:rPr>
          <w:rFonts w:ascii="Microsoft Sans Serif"/>
          <w:sz w:val="24"/>
        </w:rPr>
        <w:cr/>
      </w:r>
    </w:p>
    <w:p w:rsidR="0043367D" w:rsidRDefault="0043367D" w:rsidP="00ED3EC8"/>
    <w:sectPr w:rsidR="0043367D" w:rsidSect="002F0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70" w:rsidRDefault="00282370">
      <w:r>
        <w:separator/>
      </w:r>
    </w:p>
  </w:endnote>
  <w:endnote w:type="continuationSeparator" w:id="0">
    <w:p w:rsidR="00282370" w:rsidRDefault="00282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C8" w:rsidRDefault="00263940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C8" w:rsidRDefault="00263940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217">
      <w:rPr>
        <w:rStyle w:val="PageNumber"/>
        <w:noProof/>
      </w:rPr>
      <w:t>2</w: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70" w:rsidRDefault="00282370">
      <w:r>
        <w:separator/>
      </w:r>
    </w:p>
  </w:footnote>
  <w:footnote w:type="continuationSeparator" w:id="0">
    <w:p w:rsidR="00282370" w:rsidRDefault="00282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EC8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70B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24E7D"/>
    <w:rsid w:val="0014105E"/>
    <w:rsid w:val="00143142"/>
    <w:rsid w:val="00155E87"/>
    <w:rsid w:val="00157E46"/>
    <w:rsid w:val="00162D2F"/>
    <w:rsid w:val="00172E8C"/>
    <w:rsid w:val="00174F7E"/>
    <w:rsid w:val="0017580D"/>
    <w:rsid w:val="00181AB1"/>
    <w:rsid w:val="001857EA"/>
    <w:rsid w:val="00191522"/>
    <w:rsid w:val="00192EB5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DB6"/>
    <w:rsid w:val="002546D8"/>
    <w:rsid w:val="00260459"/>
    <w:rsid w:val="00263940"/>
    <w:rsid w:val="0026705F"/>
    <w:rsid w:val="002704DD"/>
    <w:rsid w:val="00282370"/>
    <w:rsid w:val="00284760"/>
    <w:rsid w:val="0029096F"/>
    <w:rsid w:val="0029353E"/>
    <w:rsid w:val="00297286"/>
    <w:rsid w:val="002A05C6"/>
    <w:rsid w:val="002A5F4D"/>
    <w:rsid w:val="002B754D"/>
    <w:rsid w:val="002C4F02"/>
    <w:rsid w:val="002E7DDB"/>
    <w:rsid w:val="002F42FC"/>
    <w:rsid w:val="00304AA1"/>
    <w:rsid w:val="00306C33"/>
    <w:rsid w:val="00321DB1"/>
    <w:rsid w:val="00330A67"/>
    <w:rsid w:val="00334F62"/>
    <w:rsid w:val="003364EB"/>
    <w:rsid w:val="00344C34"/>
    <w:rsid w:val="00354574"/>
    <w:rsid w:val="00360F5F"/>
    <w:rsid w:val="0036124A"/>
    <w:rsid w:val="00365459"/>
    <w:rsid w:val="0036754C"/>
    <w:rsid w:val="00381B05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3BA5"/>
    <w:rsid w:val="00426277"/>
    <w:rsid w:val="004262B3"/>
    <w:rsid w:val="00431130"/>
    <w:rsid w:val="0043367D"/>
    <w:rsid w:val="00442254"/>
    <w:rsid w:val="00446B02"/>
    <w:rsid w:val="0045300F"/>
    <w:rsid w:val="00454158"/>
    <w:rsid w:val="00454723"/>
    <w:rsid w:val="00460140"/>
    <w:rsid w:val="0046238B"/>
    <w:rsid w:val="004858A2"/>
    <w:rsid w:val="00491F39"/>
    <w:rsid w:val="0049575D"/>
    <w:rsid w:val="004A5318"/>
    <w:rsid w:val="004A741E"/>
    <w:rsid w:val="004B1ADE"/>
    <w:rsid w:val="004B570B"/>
    <w:rsid w:val="004B652A"/>
    <w:rsid w:val="004C30D2"/>
    <w:rsid w:val="004D0BE0"/>
    <w:rsid w:val="004D14F0"/>
    <w:rsid w:val="004D4A68"/>
    <w:rsid w:val="004E429F"/>
    <w:rsid w:val="004F25E0"/>
    <w:rsid w:val="004F37CB"/>
    <w:rsid w:val="004F45CA"/>
    <w:rsid w:val="00504F92"/>
    <w:rsid w:val="005078B3"/>
    <w:rsid w:val="00521B57"/>
    <w:rsid w:val="00522DE9"/>
    <w:rsid w:val="00523FBA"/>
    <w:rsid w:val="0052407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824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C4536"/>
    <w:rsid w:val="006C51E2"/>
    <w:rsid w:val="006C71BB"/>
    <w:rsid w:val="006D1276"/>
    <w:rsid w:val="006E670A"/>
    <w:rsid w:val="006F27FC"/>
    <w:rsid w:val="006F3153"/>
    <w:rsid w:val="006F4F6D"/>
    <w:rsid w:val="007038D2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8470A"/>
    <w:rsid w:val="00787AF1"/>
    <w:rsid w:val="007B1039"/>
    <w:rsid w:val="007D5B1C"/>
    <w:rsid w:val="007E0ADA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CB8"/>
    <w:rsid w:val="00884650"/>
    <w:rsid w:val="00893901"/>
    <w:rsid w:val="008A41C8"/>
    <w:rsid w:val="008B2982"/>
    <w:rsid w:val="008C03AD"/>
    <w:rsid w:val="008C1485"/>
    <w:rsid w:val="008D2DBA"/>
    <w:rsid w:val="008D638B"/>
    <w:rsid w:val="008E19D7"/>
    <w:rsid w:val="008E6FB7"/>
    <w:rsid w:val="008E7FE5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80958"/>
    <w:rsid w:val="00987014"/>
    <w:rsid w:val="00997443"/>
    <w:rsid w:val="009A68E7"/>
    <w:rsid w:val="009B5217"/>
    <w:rsid w:val="009B66C0"/>
    <w:rsid w:val="009C213D"/>
    <w:rsid w:val="009C24F9"/>
    <w:rsid w:val="009D3AAC"/>
    <w:rsid w:val="009D5B63"/>
    <w:rsid w:val="009E1679"/>
    <w:rsid w:val="009E239E"/>
    <w:rsid w:val="009E271D"/>
    <w:rsid w:val="009F768D"/>
    <w:rsid w:val="00A07D8F"/>
    <w:rsid w:val="00A13C95"/>
    <w:rsid w:val="00A249F6"/>
    <w:rsid w:val="00A35AFD"/>
    <w:rsid w:val="00A40731"/>
    <w:rsid w:val="00A448EF"/>
    <w:rsid w:val="00A52A4E"/>
    <w:rsid w:val="00A5343C"/>
    <w:rsid w:val="00A707DC"/>
    <w:rsid w:val="00A7538D"/>
    <w:rsid w:val="00A8008F"/>
    <w:rsid w:val="00A80E74"/>
    <w:rsid w:val="00A851A4"/>
    <w:rsid w:val="00A86BD8"/>
    <w:rsid w:val="00A87EDF"/>
    <w:rsid w:val="00AA1496"/>
    <w:rsid w:val="00AA3D06"/>
    <w:rsid w:val="00AA4899"/>
    <w:rsid w:val="00AA639F"/>
    <w:rsid w:val="00AC0D42"/>
    <w:rsid w:val="00AC7DAD"/>
    <w:rsid w:val="00AD344D"/>
    <w:rsid w:val="00AD5E7B"/>
    <w:rsid w:val="00AE7E8A"/>
    <w:rsid w:val="00AF32D8"/>
    <w:rsid w:val="00AF4C64"/>
    <w:rsid w:val="00B01BE5"/>
    <w:rsid w:val="00B06DDF"/>
    <w:rsid w:val="00B079A5"/>
    <w:rsid w:val="00B16D92"/>
    <w:rsid w:val="00B20FAA"/>
    <w:rsid w:val="00B21FBA"/>
    <w:rsid w:val="00B2793E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943E0"/>
    <w:rsid w:val="00BB1D36"/>
    <w:rsid w:val="00BB5630"/>
    <w:rsid w:val="00BD00D9"/>
    <w:rsid w:val="00BE5D1C"/>
    <w:rsid w:val="00BE7640"/>
    <w:rsid w:val="00BF0242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65047"/>
    <w:rsid w:val="00C833D6"/>
    <w:rsid w:val="00C95318"/>
    <w:rsid w:val="00C95A99"/>
    <w:rsid w:val="00C96F6B"/>
    <w:rsid w:val="00CA27F9"/>
    <w:rsid w:val="00CC1659"/>
    <w:rsid w:val="00CC30C3"/>
    <w:rsid w:val="00CE047D"/>
    <w:rsid w:val="00CE7731"/>
    <w:rsid w:val="00CF6A79"/>
    <w:rsid w:val="00D019B0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6C93"/>
    <w:rsid w:val="00D9690A"/>
    <w:rsid w:val="00DA0625"/>
    <w:rsid w:val="00DA671A"/>
    <w:rsid w:val="00DA7E6E"/>
    <w:rsid w:val="00DB07B8"/>
    <w:rsid w:val="00DB4F49"/>
    <w:rsid w:val="00DC4772"/>
    <w:rsid w:val="00DC6711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D3EC8"/>
    <w:rsid w:val="00ED7543"/>
    <w:rsid w:val="00EE1EE5"/>
    <w:rsid w:val="00EF7235"/>
    <w:rsid w:val="00F04C8C"/>
    <w:rsid w:val="00F054DA"/>
    <w:rsid w:val="00F07BCF"/>
    <w:rsid w:val="00F16FAB"/>
    <w:rsid w:val="00F31625"/>
    <w:rsid w:val="00F36E39"/>
    <w:rsid w:val="00F5046F"/>
    <w:rsid w:val="00F5088C"/>
    <w:rsid w:val="00F510AC"/>
    <w:rsid w:val="00F62D04"/>
    <w:rsid w:val="00F70887"/>
    <w:rsid w:val="00F86EF9"/>
    <w:rsid w:val="00F86FB1"/>
    <w:rsid w:val="00F908E0"/>
    <w:rsid w:val="00F9335A"/>
    <w:rsid w:val="00FB4C6F"/>
    <w:rsid w:val="00FB64A1"/>
    <w:rsid w:val="00FC110D"/>
    <w:rsid w:val="00FC3800"/>
    <w:rsid w:val="00FD36CA"/>
    <w:rsid w:val="00FD3B41"/>
    <w:rsid w:val="00FD6C73"/>
    <w:rsid w:val="00FF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dc:description/>
  <cp:lastModifiedBy>astout</cp:lastModifiedBy>
  <cp:revision>2</cp:revision>
  <dcterms:created xsi:type="dcterms:W3CDTF">2011-06-02T18:01:00Z</dcterms:created>
  <dcterms:modified xsi:type="dcterms:W3CDTF">2011-06-02T18:01:00Z</dcterms:modified>
</cp:coreProperties>
</file>