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34" w:rsidRPr="000E5E35" w:rsidRDefault="00B43A34" w:rsidP="00B43A34">
      <w:pPr>
        <w:adjustRightInd w:val="0"/>
        <w:spacing w:line="240" w:lineRule="auto"/>
        <w:ind w:firstLine="0"/>
        <w:jc w:val="center"/>
        <w:rPr>
          <w:rFonts w:cs="Times New Roman"/>
          <w:b/>
          <w:bCs/>
        </w:rPr>
      </w:pPr>
      <w:r>
        <w:rPr>
          <w:rFonts w:cs="Times New Roman"/>
          <w:b/>
          <w:bCs/>
        </w:rPr>
        <w:t>PENNSYL</w:t>
      </w:r>
      <w:r w:rsidRPr="000E5E35">
        <w:rPr>
          <w:rFonts w:cs="Times New Roman"/>
          <w:b/>
          <w:bCs/>
        </w:rPr>
        <w:t>VANIA</w:t>
      </w:r>
    </w:p>
    <w:p w:rsidR="00B43A34" w:rsidRPr="000E5E35" w:rsidRDefault="00B43A34" w:rsidP="00B43A34">
      <w:pPr>
        <w:adjustRightInd w:val="0"/>
        <w:spacing w:line="240" w:lineRule="auto"/>
        <w:ind w:firstLine="0"/>
        <w:jc w:val="center"/>
        <w:rPr>
          <w:rFonts w:cs="Times New Roman"/>
          <w:b/>
          <w:bCs/>
        </w:rPr>
      </w:pPr>
      <w:r w:rsidRPr="000E5E35">
        <w:rPr>
          <w:rFonts w:cs="Times New Roman"/>
          <w:b/>
          <w:bCs/>
        </w:rPr>
        <w:t>PUBLIC UTILITY COMMISSION</w:t>
      </w:r>
    </w:p>
    <w:p w:rsidR="00B43A34" w:rsidRDefault="00B43A34" w:rsidP="00B43A34">
      <w:pPr>
        <w:adjustRightInd w:val="0"/>
        <w:spacing w:line="240" w:lineRule="auto"/>
        <w:ind w:firstLine="0"/>
        <w:jc w:val="center"/>
        <w:rPr>
          <w:rFonts w:cs="Times New Roman"/>
          <w:b/>
          <w:bCs/>
        </w:rPr>
      </w:pPr>
      <w:r w:rsidRPr="000E5E35">
        <w:rPr>
          <w:rFonts w:cs="Times New Roman"/>
          <w:b/>
          <w:bCs/>
        </w:rPr>
        <w:t>Harrisburg, PA 17105-3265</w:t>
      </w:r>
    </w:p>
    <w:p w:rsidR="00B43A34" w:rsidRDefault="00B43A34" w:rsidP="00B43A34">
      <w:pPr>
        <w:adjustRightInd w:val="0"/>
        <w:ind w:firstLine="0"/>
        <w:jc w:val="center"/>
        <w:rPr>
          <w:rFonts w:cs="Times New Roman"/>
          <w:b/>
          <w:bCs/>
        </w:rPr>
      </w:pPr>
    </w:p>
    <w:p w:rsidR="00B43A34" w:rsidRPr="000E5E35" w:rsidRDefault="00B43A34" w:rsidP="00B43A34">
      <w:pPr>
        <w:adjustRightInd w:val="0"/>
        <w:spacing w:line="240" w:lineRule="auto"/>
        <w:ind w:firstLine="0"/>
        <w:jc w:val="right"/>
        <w:rPr>
          <w:rFonts w:cs="Times New Roman"/>
        </w:rPr>
      </w:pPr>
      <w:r w:rsidRPr="000E5E35">
        <w:rPr>
          <w:rFonts w:cs="Times New Roman"/>
        </w:rPr>
        <w:t xml:space="preserve">Public Meeting held </w:t>
      </w:r>
      <w:r w:rsidR="001A13BA">
        <w:rPr>
          <w:rFonts w:cs="Times New Roman"/>
        </w:rPr>
        <w:t>June 9</w:t>
      </w:r>
      <w:r>
        <w:rPr>
          <w:rFonts w:cs="Times New Roman"/>
        </w:rPr>
        <w:t>, 2011</w:t>
      </w:r>
    </w:p>
    <w:p w:rsidR="00B43A34" w:rsidRDefault="00B43A34" w:rsidP="00B43A34">
      <w:pPr>
        <w:adjustRightInd w:val="0"/>
        <w:spacing w:line="240" w:lineRule="auto"/>
        <w:ind w:firstLine="0"/>
        <w:rPr>
          <w:rFonts w:cs="Times New Roman"/>
        </w:rPr>
      </w:pPr>
    </w:p>
    <w:p w:rsidR="00F63CFC" w:rsidRDefault="00F63CFC" w:rsidP="00B43A34">
      <w:pPr>
        <w:adjustRightInd w:val="0"/>
        <w:spacing w:line="240" w:lineRule="auto"/>
        <w:ind w:firstLine="0"/>
        <w:rPr>
          <w:rFonts w:cs="Times New Roman"/>
        </w:rPr>
      </w:pPr>
    </w:p>
    <w:p w:rsidR="00B43A34" w:rsidRDefault="00B43A34" w:rsidP="00B43A34">
      <w:pPr>
        <w:adjustRightInd w:val="0"/>
        <w:spacing w:line="240" w:lineRule="auto"/>
        <w:ind w:firstLine="0"/>
        <w:rPr>
          <w:rFonts w:cs="Times New Roman"/>
        </w:rPr>
      </w:pPr>
      <w:r w:rsidRPr="000E5E35">
        <w:rPr>
          <w:rFonts w:cs="Times New Roman"/>
        </w:rPr>
        <w:t>Commissioners Present:</w:t>
      </w:r>
    </w:p>
    <w:p w:rsidR="00A0028E" w:rsidRPr="000E5E35" w:rsidRDefault="00A0028E" w:rsidP="00B43A34">
      <w:pPr>
        <w:adjustRightInd w:val="0"/>
        <w:spacing w:line="240" w:lineRule="auto"/>
        <w:ind w:firstLine="0"/>
        <w:rPr>
          <w:rFonts w:cs="Times New Roman"/>
        </w:rPr>
      </w:pPr>
    </w:p>
    <w:p w:rsidR="00B43A34" w:rsidRPr="000E5E35" w:rsidRDefault="006A6849" w:rsidP="00B43A34">
      <w:pPr>
        <w:adjustRightInd w:val="0"/>
        <w:spacing w:line="240" w:lineRule="auto"/>
        <w:ind w:firstLine="0"/>
        <w:rPr>
          <w:rFonts w:cs="Times New Roman"/>
        </w:rPr>
      </w:pPr>
      <w:r>
        <w:rPr>
          <w:rFonts w:cs="Times New Roman"/>
        </w:rPr>
        <w:tab/>
      </w:r>
      <w:r w:rsidR="00DA4C29" w:rsidRPr="000E5E35">
        <w:rPr>
          <w:rFonts w:cs="Times New Roman"/>
        </w:rPr>
        <w:t>Robert F. Powelson</w:t>
      </w:r>
      <w:r w:rsidR="00B43A34" w:rsidRPr="000E5E35">
        <w:rPr>
          <w:rFonts w:cs="Times New Roman"/>
        </w:rPr>
        <w:t>, Chairman</w:t>
      </w:r>
    </w:p>
    <w:p w:rsidR="00DA4C29" w:rsidRPr="000E5E35" w:rsidRDefault="006A6849" w:rsidP="00DA4C29">
      <w:pPr>
        <w:adjustRightInd w:val="0"/>
        <w:spacing w:line="240" w:lineRule="auto"/>
        <w:ind w:firstLine="0"/>
        <w:rPr>
          <w:rFonts w:cs="Times New Roman"/>
        </w:rPr>
      </w:pPr>
      <w:r>
        <w:rPr>
          <w:rFonts w:cs="Times New Roman"/>
        </w:rPr>
        <w:tab/>
      </w:r>
      <w:r w:rsidR="00DA4C29" w:rsidRPr="000E5E35">
        <w:rPr>
          <w:rFonts w:cs="Times New Roman"/>
        </w:rPr>
        <w:t>John F. Coleman, Jr., Vice Chairman</w:t>
      </w:r>
    </w:p>
    <w:p w:rsidR="00DA4C29" w:rsidRDefault="006A6849" w:rsidP="00B43A34">
      <w:pPr>
        <w:adjustRightInd w:val="0"/>
        <w:spacing w:line="240" w:lineRule="auto"/>
        <w:ind w:firstLine="0"/>
        <w:rPr>
          <w:rFonts w:cs="Times New Roman"/>
        </w:rPr>
      </w:pPr>
      <w:r>
        <w:rPr>
          <w:rFonts w:cs="Times New Roman"/>
        </w:rPr>
        <w:tab/>
      </w:r>
      <w:r w:rsidR="00DA4C29">
        <w:rPr>
          <w:rFonts w:cs="Times New Roman"/>
        </w:rPr>
        <w:t>T</w:t>
      </w:r>
      <w:r w:rsidR="00B43A34">
        <w:rPr>
          <w:rFonts w:cs="Times New Roman"/>
        </w:rPr>
        <w:t>yrone J</w:t>
      </w:r>
      <w:r w:rsidR="00B43A34" w:rsidRPr="000E5E35">
        <w:rPr>
          <w:rFonts w:cs="Times New Roman"/>
        </w:rPr>
        <w:t>. Christy</w:t>
      </w:r>
    </w:p>
    <w:p w:rsidR="00B43A34" w:rsidRPr="000E5E35" w:rsidRDefault="006A6849" w:rsidP="00D13C63">
      <w:pPr>
        <w:adjustRightInd w:val="0"/>
        <w:spacing w:line="240" w:lineRule="auto"/>
        <w:ind w:firstLine="0"/>
        <w:rPr>
          <w:rFonts w:cs="Times New Roman"/>
        </w:rPr>
      </w:pPr>
      <w:r>
        <w:rPr>
          <w:rFonts w:cs="Times New Roman"/>
        </w:rPr>
        <w:tab/>
      </w:r>
      <w:r w:rsidR="00B43A34" w:rsidRPr="000E5E35">
        <w:rPr>
          <w:rFonts w:cs="Times New Roman"/>
        </w:rPr>
        <w:t>Wayne E. Gardner</w:t>
      </w:r>
    </w:p>
    <w:p w:rsidR="00B43A34" w:rsidRDefault="006A6849" w:rsidP="00D13C63">
      <w:pPr>
        <w:adjustRightInd w:val="0"/>
        <w:spacing w:line="240" w:lineRule="auto"/>
        <w:ind w:firstLine="0"/>
        <w:rPr>
          <w:rFonts w:cs="Times New Roman"/>
        </w:rPr>
      </w:pPr>
      <w:r>
        <w:rPr>
          <w:rFonts w:cs="Times New Roman"/>
        </w:rPr>
        <w:tab/>
      </w:r>
      <w:r w:rsidR="00B43A34" w:rsidRPr="000E5E35">
        <w:rPr>
          <w:rFonts w:cs="Times New Roman"/>
        </w:rPr>
        <w:t>James H. Cawley</w:t>
      </w:r>
    </w:p>
    <w:p w:rsidR="00C86A9D" w:rsidRDefault="00C86A9D" w:rsidP="00B43A34">
      <w:pPr>
        <w:adjustRightInd w:val="0"/>
        <w:spacing w:line="240" w:lineRule="auto"/>
        <w:ind w:firstLine="0"/>
        <w:rPr>
          <w:rFonts w:cs="Times New Roman"/>
        </w:rPr>
      </w:pPr>
    </w:p>
    <w:p w:rsidR="00C86A9D" w:rsidRDefault="00C86A9D" w:rsidP="00B43A34">
      <w:pPr>
        <w:adjustRightInd w:val="0"/>
        <w:spacing w:line="240" w:lineRule="auto"/>
        <w:ind w:firstLine="0"/>
        <w:rPr>
          <w:rFonts w:cs="Times New Roman"/>
        </w:rPr>
      </w:pPr>
    </w:p>
    <w:p w:rsidR="001278E4" w:rsidRDefault="001278E4" w:rsidP="00B43A34">
      <w:pPr>
        <w:adjustRightInd w:val="0"/>
        <w:spacing w:line="240" w:lineRule="auto"/>
        <w:ind w:firstLine="0"/>
        <w:rPr>
          <w:rFonts w:cs="Times New Roman"/>
        </w:rPr>
      </w:pPr>
    </w:p>
    <w:p w:rsidR="003653E2" w:rsidRDefault="003653E2" w:rsidP="00B43A34">
      <w:pPr>
        <w:adjustRightInd w:val="0"/>
        <w:spacing w:line="240" w:lineRule="auto"/>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968"/>
        <w:gridCol w:w="4608"/>
      </w:tblGrid>
      <w:tr w:rsidR="00C86A9D" w:rsidRPr="007F4673" w:rsidTr="001278E4">
        <w:tc>
          <w:tcPr>
            <w:tcW w:w="4968" w:type="dxa"/>
            <w:tcBorders>
              <w:right w:val="nil"/>
            </w:tcBorders>
          </w:tcPr>
          <w:p w:rsidR="00083C2C" w:rsidRDefault="001A13BA" w:rsidP="001A13BA">
            <w:pPr>
              <w:ind w:firstLine="0"/>
              <w:rPr>
                <w:rFonts w:cs="Times New Roman"/>
                <w:spacing w:val="-3"/>
              </w:rPr>
            </w:pPr>
            <w:r w:rsidRPr="00FB6881">
              <w:rPr>
                <w:rFonts w:cs="Times New Roman"/>
              </w:rPr>
              <w:t>Pennsylva</w:t>
            </w:r>
            <w:r>
              <w:rPr>
                <w:rFonts w:cs="Times New Roman"/>
              </w:rPr>
              <w:t>nia Public Utility Commission</w:t>
            </w:r>
            <w:r w:rsidR="00083C2C">
              <w:rPr>
                <w:rFonts w:cs="Times New Roman"/>
              </w:rPr>
              <w:t xml:space="preserve"> </w:t>
            </w:r>
            <w:r w:rsidRPr="00FB6881">
              <w:rPr>
                <w:rFonts w:cs="Times New Roman"/>
                <w:spacing w:val="-3"/>
              </w:rPr>
              <w:t>Office of C</w:t>
            </w:r>
            <w:r>
              <w:rPr>
                <w:rFonts w:cs="Times New Roman"/>
                <w:spacing w:val="-3"/>
              </w:rPr>
              <w:t xml:space="preserve">onsumer </w:t>
            </w:r>
            <w:r w:rsidR="00083C2C">
              <w:rPr>
                <w:rFonts w:cs="Times New Roman"/>
                <w:spacing w:val="-3"/>
              </w:rPr>
              <w:t>A</w:t>
            </w:r>
            <w:r>
              <w:rPr>
                <w:rFonts w:cs="Times New Roman"/>
                <w:spacing w:val="-3"/>
              </w:rPr>
              <w:t>dvocate</w:t>
            </w:r>
            <w:r w:rsidR="00083C2C">
              <w:rPr>
                <w:rFonts w:cs="Times New Roman"/>
                <w:spacing w:val="-3"/>
              </w:rPr>
              <w:t xml:space="preserve"> </w:t>
            </w:r>
          </w:p>
          <w:p w:rsidR="001A13BA" w:rsidRDefault="001A13BA" w:rsidP="001A13BA">
            <w:pPr>
              <w:ind w:firstLine="0"/>
            </w:pPr>
            <w:r>
              <w:t>William Fink</w:t>
            </w:r>
          </w:p>
          <w:p w:rsidR="00083C2C" w:rsidRDefault="001A13BA" w:rsidP="001A13BA">
            <w:pPr>
              <w:suppressAutoHyphens/>
              <w:ind w:firstLine="0"/>
              <w:jc w:val="both"/>
            </w:pPr>
            <w:r>
              <w:t>Edward C. Oleckna</w:t>
            </w:r>
          </w:p>
          <w:p w:rsidR="00083C2C" w:rsidRDefault="00083C2C" w:rsidP="001A13BA">
            <w:pPr>
              <w:suppressAutoHyphens/>
              <w:ind w:firstLine="0"/>
              <w:jc w:val="both"/>
            </w:pPr>
            <w:r>
              <w:t>N</w:t>
            </w:r>
            <w:r w:rsidR="001A13BA">
              <w:t>ational Income Tax, Inc.</w:t>
            </w:r>
          </w:p>
          <w:p w:rsidR="00083C2C" w:rsidRDefault="001A13BA" w:rsidP="001A13BA">
            <w:pPr>
              <w:suppressAutoHyphens/>
              <w:ind w:firstLine="0"/>
              <w:jc w:val="both"/>
            </w:pPr>
            <w:r>
              <w:t>Arnold M. Kring</w:t>
            </w:r>
          </w:p>
          <w:p w:rsidR="00083C2C" w:rsidRDefault="00083C2C" w:rsidP="001A13BA">
            <w:pPr>
              <w:suppressAutoHyphens/>
              <w:ind w:firstLine="0"/>
              <w:jc w:val="both"/>
              <w:rPr>
                <w:rFonts w:cs="Times New Roman"/>
                <w:spacing w:val="-3"/>
              </w:rPr>
            </w:pPr>
            <w:r>
              <w:t>B</w:t>
            </w:r>
            <w:r w:rsidR="001A13BA">
              <w:rPr>
                <w:rFonts w:cs="Times New Roman"/>
                <w:spacing w:val="-3"/>
              </w:rPr>
              <w:t>orough of Media</w:t>
            </w:r>
          </w:p>
          <w:p w:rsidR="001278E4" w:rsidRDefault="001A13BA" w:rsidP="00083C2C">
            <w:pPr>
              <w:suppressAutoHyphens/>
              <w:ind w:firstLine="0"/>
              <w:jc w:val="both"/>
              <w:rPr>
                <w:rFonts w:cs="Times New Roman"/>
                <w:spacing w:val="-3"/>
              </w:rPr>
            </w:pPr>
            <w:r>
              <w:rPr>
                <w:rFonts w:cs="Times New Roman"/>
                <w:spacing w:val="-3"/>
              </w:rPr>
              <w:t>Jeffrey Fleming</w:t>
            </w:r>
            <w:r w:rsidR="00083C2C">
              <w:rPr>
                <w:rFonts w:cs="Times New Roman"/>
                <w:spacing w:val="-3"/>
              </w:rPr>
              <w:t xml:space="preserve"> </w:t>
            </w:r>
          </w:p>
          <w:p w:rsidR="00C86A9D" w:rsidRDefault="001A13BA" w:rsidP="00083C2C">
            <w:pPr>
              <w:suppressAutoHyphens/>
              <w:ind w:firstLine="0"/>
              <w:jc w:val="both"/>
              <w:rPr>
                <w:rFonts w:cs="Times New Roman"/>
                <w:spacing w:val="-3"/>
              </w:rPr>
            </w:pPr>
            <w:r>
              <w:rPr>
                <w:rFonts w:cs="Times New Roman"/>
                <w:spacing w:val="-3"/>
              </w:rPr>
              <w:t>Samuel L. Johnson</w:t>
            </w:r>
            <w:r>
              <w:rPr>
                <w:rFonts w:cs="Times New Roman"/>
                <w:spacing w:val="-3"/>
              </w:rPr>
              <w:tab/>
            </w:r>
          </w:p>
          <w:p w:rsidR="001278E4" w:rsidRDefault="001278E4" w:rsidP="00083C2C">
            <w:pPr>
              <w:suppressAutoHyphens/>
              <w:ind w:firstLine="0"/>
              <w:jc w:val="both"/>
              <w:rPr>
                <w:rFonts w:cs="Times New Roman"/>
                <w:spacing w:val="-3"/>
              </w:rPr>
            </w:pPr>
          </w:p>
          <w:p w:rsidR="001278E4" w:rsidRDefault="001278E4" w:rsidP="001278E4">
            <w:pPr>
              <w:suppressAutoHyphens/>
              <w:ind w:left="1440" w:firstLine="0"/>
              <w:jc w:val="both"/>
              <w:rPr>
                <w:rFonts w:cs="Times New Roman"/>
                <w:spacing w:val="-3"/>
              </w:rPr>
            </w:pPr>
            <w:r>
              <w:rPr>
                <w:rFonts w:cs="Times New Roman"/>
                <w:spacing w:val="-3"/>
              </w:rPr>
              <w:t>v.</w:t>
            </w:r>
          </w:p>
          <w:p w:rsidR="00C158E4" w:rsidRDefault="00C158E4" w:rsidP="006A6849">
            <w:pPr>
              <w:suppressAutoHyphens/>
              <w:spacing w:line="360" w:lineRule="auto"/>
              <w:ind w:firstLine="0"/>
              <w:rPr>
                <w:rFonts w:cs="Times New Roman"/>
                <w:spacing w:val="-3"/>
              </w:rPr>
            </w:pPr>
          </w:p>
          <w:p w:rsidR="00C158E4" w:rsidRDefault="00C158E4" w:rsidP="00C158E4">
            <w:pPr>
              <w:suppressAutoHyphens/>
              <w:ind w:firstLine="0"/>
              <w:jc w:val="both"/>
              <w:rPr>
                <w:rFonts w:cs="Times New Roman"/>
                <w:spacing w:val="-3"/>
              </w:rPr>
            </w:pPr>
            <w:r>
              <w:rPr>
                <w:rFonts w:cs="Times New Roman"/>
                <w:spacing w:val="-3"/>
              </w:rPr>
              <w:t>Little Washington Wastewater Company</w:t>
            </w:r>
          </w:p>
          <w:p w:rsidR="00C158E4" w:rsidRPr="007F4673" w:rsidRDefault="00C158E4" w:rsidP="00C158E4">
            <w:pPr>
              <w:suppressAutoHyphens/>
              <w:ind w:firstLine="0"/>
              <w:jc w:val="both"/>
              <w:rPr>
                <w:rFonts w:cs="Times New Roman"/>
              </w:rPr>
            </w:pPr>
            <w:r>
              <w:rPr>
                <w:rFonts w:cs="Times New Roman"/>
                <w:spacing w:val="-3"/>
              </w:rPr>
              <w:t>Southeast Consolidated Division</w:t>
            </w:r>
          </w:p>
        </w:tc>
        <w:tc>
          <w:tcPr>
            <w:tcW w:w="4608" w:type="dxa"/>
            <w:tcBorders>
              <w:top w:val="nil"/>
              <w:left w:val="nil"/>
              <w:bottom w:val="nil"/>
            </w:tcBorders>
          </w:tcPr>
          <w:p w:rsidR="001A13BA" w:rsidRPr="00FB6881" w:rsidRDefault="006B0526" w:rsidP="006B0526">
            <w:pPr>
              <w:ind w:left="1440" w:firstLine="0"/>
              <w:rPr>
                <w:rFonts w:cs="Times New Roman"/>
              </w:rPr>
            </w:pPr>
            <w:r>
              <w:rPr>
                <w:rFonts w:cs="Times New Roman"/>
              </w:rPr>
              <w:tab/>
              <w:t xml:space="preserve">       </w:t>
            </w:r>
            <w:r w:rsidR="001A13BA" w:rsidRPr="00FB6881">
              <w:rPr>
                <w:rFonts w:cs="Times New Roman"/>
              </w:rPr>
              <w:t>R-2010-2207853</w:t>
            </w:r>
          </w:p>
          <w:p w:rsidR="00C86A9D" w:rsidRDefault="006B0526" w:rsidP="006B0526">
            <w:pPr>
              <w:adjustRightInd w:val="0"/>
              <w:ind w:left="1440" w:firstLine="0"/>
            </w:pPr>
            <w:r>
              <w:rPr>
                <w:rFonts w:cs="Times New Roman"/>
                <w:spacing w:val="-3"/>
              </w:rPr>
              <w:tab/>
              <w:t xml:space="preserve">       </w:t>
            </w:r>
            <w:r w:rsidR="001A13BA">
              <w:rPr>
                <w:rFonts w:cs="Times New Roman"/>
                <w:spacing w:val="-3"/>
              </w:rPr>
              <w:t>C-2010-</w:t>
            </w:r>
            <w:r w:rsidR="001A13BA" w:rsidRPr="004C6540">
              <w:t>2209923</w:t>
            </w:r>
          </w:p>
          <w:p w:rsidR="001A13BA" w:rsidRDefault="006B0526" w:rsidP="006B0526">
            <w:pPr>
              <w:ind w:left="1440" w:firstLine="0"/>
            </w:pPr>
            <w:r>
              <w:tab/>
              <w:t xml:space="preserve">       </w:t>
            </w:r>
            <w:r w:rsidR="001A13BA">
              <w:t>C-2010-2213900</w:t>
            </w:r>
          </w:p>
          <w:p w:rsidR="001A13BA" w:rsidRDefault="006B0526" w:rsidP="006B0526">
            <w:pPr>
              <w:adjustRightInd w:val="0"/>
              <w:ind w:left="1440" w:firstLine="0"/>
            </w:pPr>
            <w:r>
              <w:tab/>
              <w:t xml:space="preserve">       </w:t>
            </w:r>
            <w:r w:rsidR="00083C2C">
              <w:t>C-2010-2213719</w:t>
            </w:r>
          </w:p>
          <w:p w:rsidR="00083C2C" w:rsidRDefault="006B0526" w:rsidP="006B0526">
            <w:pPr>
              <w:adjustRightInd w:val="0"/>
              <w:ind w:left="1440" w:firstLine="0"/>
            </w:pPr>
            <w:r>
              <w:tab/>
              <w:t xml:space="preserve">       </w:t>
            </w:r>
            <w:r w:rsidR="00083C2C">
              <w:t>C-2010-2215189</w:t>
            </w:r>
          </w:p>
          <w:p w:rsidR="00083C2C" w:rsidRDefault="006B0526" w:rsidP="006B0526">
            <w:pPr>
              <w:suppressAutoHyphens/>
              <w:ind w:left="1440" w:firstLine="0"/>
            </w:pPr>
            <w:r>
              <w:tab/>
              <w:t xml:space="preserve">       </w:t>
            </w:r>
            <w:r w:rsidR="00083C2C">
              <w:t>C-2010-2217542</w:t>
            </w:r>
          </w:p>
          <w:p w:rsidR="00083C2C" w:rsidRDefault="006B0526" w:rsidP="006B0526">
            <w:pPr>
              <w:suppressAutoHyphens/>
              <w:ind w:left="1440" w:firstLine="0"/>
              <w:rPr>
                <w:rFonts w:cs="Times New Roman"/>
                <w:spacing w:val="-3"/>
              </w:rPr>
            </w:pPr>
            <w:r>
              <w:rPr>
                <w:rFonts w:cs="Times New Roman"/>
                <w:spacing w:val="-3"/>
              </w:rPr>
              <w:tab/>
              <w:t xml:space="preserve">       </w:t>
            </w:r>
            <w:r w:rsidR="00083C2C">
              <w:rPr>
                <w:rFonts w:cs="Times New Roman"/>
                <w:spacing w:val="-3"/>
              </w:rPr>
              <w:t>C-2010-2217581</w:t>
            </w:r>
          </w:p>
          <w:p w:rsidR="00083C2C" w:rsidRDefault="006B0526" w:rsidP="006B0526">
            <w:pPr>
              <w:suppressAutoHyphens/>
              <w:ind w:left="1440" w:firstLine="0"/>
              <w:rPr>
                <w:rFonts w:cs="Times New Roman"/>
                <w:spacing w:val="-3"/>
              </w:rPr>
            </w:pPr>
            <w:r>
              <w:rPr>
                <w:rFonts w:cs="Times New Roman"/>
                <w:spacing w:val="-3"/>
              </w:rPr>
              <w:tab/>
              <w:t xml:space="preserve">       </w:t>
            </w:r>
            <w:r w:rsidR="00083C2C">
              <w:rPr>
                <w:rFonts w:cs="Times New Roman"/>
                <w:spacing w:val="-3"/>
              </w:rPr>
              <w:t>C-2010-2217951</w:t>
            </w:r>
          </w:p>
          <w:p w:rsidR="00083C2C" w:rsidRPr="007F4673" w:rsidRDefault="006B0526" w:rsidP="006B0526">
            <w:pPr>
              <w:adjustRightInd w:val="0"/>
              <w:ind w:left="1440" w:firstLine="0"/>
              <w:rPr>
                <w:rFonts w:cs="Times New Roman"/>
              </w:rPr>
            </w:pPr>
            <w:r>
              <w:rPr>
                <w:rFonts w:cs="Times New Roman"/>
              </w:rPr>
              <w:tab/>
              <w:t xml:space="preserve">       </w:t>
            </w:r>
            <w:r w:rsidR="001278E4">
              <w:rPr>
                <w:rFonts w:cs="Times New Roman"/>
              </w:rPr>
              <w:t>C-2010-2218537</w:t>
            </w:r>
          </w:p>
        </w:tc>
      </w:tr>
    </w:tbl>
    <w:p w:rsidR="0081512E" w:rsidRDefault="0081512E" w:rsidP="00B43A34">
      <w:pPr>
        <w:adjustRightInd w:val="0"/>
        <w:spacing w:line="240" w:lineRule="auto"/>
        <w:ind w:firstLine="0"/>
        <w:rPr>
          <w:rFonts w:cs="Times New Roman"/>
        </w:rPr>
      </w:pPr>
    </w:p>
    <w:p w:rsidR="006A6849" w:rsidRDefault="006A6849" w:rsidP="00280347">
      <w:pPr>
        <w:ind w:firstLine="0"/>
        <w:jc w:val="center"/>
        <w:rPr>
          <w:b/>
        </w:rPr>
      </w:pPr>
    </w:p>
    <w:p w:rsidR="00280347" w:rsidRDefault="00280347" w:rsidP="00280347">
      <w:pPr>
        <w:ind w:firstLine="0"/>
        <w:jc w:val="center"/>
        <w:rPr>
          <w:b/>
        </w:rPr>
      </w:pPr>
      <w:r w:rsidRPr="00B43A34">
        <w:rPr>
          <w:b/>
        </w:rPr>
        <w:t>OPINION AND ORDER</w:t>
      </w:r>
    </w:p>
    <w:p w:rsidR="00280347" w:rsidRDefault="00280347" w:rsidP="00280347">
      <w:pPr>
        <w:ind w:firstLine="0"/>
        <w:jc w:val="center"/>
        <w:rPr>
          <w:rFonts w:cs="Times New Roman"/>
        </w:rPr>
      </w:pPr>
    </w:p>
    <w:p w:rsidR="00C158E4" w:rsidRDefault="00C158E4">
      <w:pPr>
        <w:rPr>
          <w:rFonts w:cs="Times New Roman"/>
        </w:rPr>
      </w:pPr>
      <w:r>
        <w:rPr>
          <w:rFonts w:cs="Times New Roman"/>
        </w:rPr>
        <w:br w:type="page"/>
      </w:r>
    </w:p>
    <w:p w:rsidR="00634A73" w:rsidRDefault="00634A73" w:rsidP="00B21383">
      <w:pPr>
        <w:adjustRightInd w:val="0"/>
        <w:spacing w:line="240" w:lineRule="auto"/>
        <w:ind w:firstLine="0"/>
        <w:rPr>
          <w:rFonts w:cs="Times New Roman"/>
        </w:rPr>
      </w:pPr>
    </w:p>
    <w:p w:rsidR="00B43A34" w:rsidRPr="00B43A34" w:rsidRDefault="00B43A34" w:rsidP="00B43A34">
      <w:pPr>
        <w:ind w:firstLine="0"/>
        <w:rPr>
          <w:b/>
        </w:rPr>
      </w:pPr>
      <w:r>
        <w:rPr>
          <w:b/>
        </w:rPr>
        <w:t>BY THE COMMISSION</w:t>
      </w:r>
    </w:p>
    <w:p w:rsidR="00B43A34" w:rsidRDefault="00B43A34" w:rsidP="00C2708F">
      <w:pPr>
        <w:spacing w:line="240" w:lineRule="auto"/>
      </w:pPr>
    </w:p>
    <w:p w:rsidR="001A25B4" w:rsidRDefault="00F729A0" w:rsidP="00EB1898">
      <w:r>
        <w:t xml:space="preserve">Before the Pennsylvania Public Utility Commission (Commission) </w:t>
      </w:r>
      <w:r w:rsidR="00EB1898">
        <w:t xml:space="preserve">for consideration and disposition are the Exceptions </w:t>
      </w:r>
      <w:r w:rsidR="007875FD">
        <w:t>of Arnold M. Kring</w:t>
      </w:r>
      <w:r w:rsidR="00680DFD">
        <w:t xml:space="preserve"> to the Recommended Decision </w:t>
      </w:r>
      <w:r w:rsidR="00541D17">
        <w:t xml:space="preserve">(R.D.) </w:t>
      </w:r>
      <w:r w:rsidR="00680DFD">
        <w:t>of Administrative Law Judge</w:t>
      </w:r>
      <w:r w:rsidR="007875FD">
        <w:t>s Marlane R. Chestnut and Chri</w:t>
      </w:r>
      <w:r w:rsidR="003653E2">
        <w:t>s</w:t>
      </w:r>
      <w:r w:rsidR="007875FD">
        <w:t>topher P. Pell</w:t>
      </w:r>
      <w:r w:rsidR="00680DFD">
        <w:t xml:space="preserve"> (ALJ</w:t>
      </w:r>
      <w:r w:rsidR="007875FD">
        <w:t>s</w:t>
      </w:r>
      <w:r w:rsidR="00680DFD">
        <w:t xml:space="preserve">), issued on </w:t>
      </w:r>
      <w:r w:rsidR="007875FD">
        <w:t>March 30, 2011</w:t>
      </w:r>
      <w:r w:rsidR="00B37C2D">
        <w:t>, in which the ALJs recommended approval</w:t>
      </w:r>
      <w:r w:rsidR="00924DCF">
        <w:t xml:space="preserve"> of the Joint Petition for Settlement of Rate Investigation (Settlement). </w:t>
      </w:r>
      <w:r w:rsidR="00680DFD">
        <w:t xml:space="preserve"> </w:t>
      </w:r>
      <w:r w:rsidR="003653E2">
        <w:t>Reply Exceptions were filed by Little Washington Wastewater Company</w:t>
      </w:r>
      <w:r w:rsidR="00796908">
        <w:t xml:space="preserve"> – Southeast Consolidated Wastewater Company </w:t>
      </w:r>
      <w:r w:rsidR="003C3BEE">
        <w:t>(LWW</w:t>
      </w:r>
      <w:r w:rsidR="00796908">
        <w:t>-SE</w:t>
      </w:r>
      <w:r w:rsidR="00FF5DDD">
        <w:t xml:space="preserve"> or Company</w:t>
      </w:r>
      <w:r w:rsidR="003C3BEE">
        <w:t>)</w:t>
      </w:r>
      <w:r w:rsidR="00510EA7">
        <w:t>.</w:t>
      </w:r>
    </w:p>
    <w:p w:rsidR="001A25B4" w:rsidRDefault="001A25B4" w:rsidP="00063652">
      <w:pPr>
        <w:pStyle w:val="Heading1"/>
      </w:pPr>
      <w:r>
        <w:t>I.</w:t>
      </w:r>
      <w:r>
        <w:tab/>
        <w:t>Background</w:t>
      </w:r>
    </w:p>
    <w:p w:rsidR="001A25B4" w:rsidRPr="001A25B4" w:rsidRDefault="001A25B4" w:rsidP="001A25B4">
      <w:pPr>
        <w:spacing w:line="240" w:lineRule="auto"/>
      </w:pPr>
    </w:p>
    <w:p w:rsidR="001A25B4" w:rsidRDefault="00CD4A95" w:rsidP="001A25B4">
      <w:r>
        <w:t xml:space="preserve">LWW-SE </w:t>
      </w:r>
      <w:r w:rsidR="00E83E60">
        <w:t xml:space="preserve">is </w:t>
      </w:r>
      <w:r w:rsidR="00051836">
        <w:t xml:space="preserve">part of Little Washington Wastewater Company which is </w:t>
      </w:r>
      <w:r w:rsidR="00E83E60">
        <w:t xml:space="preserve">a wastewater utility </w:t>
      </w:r>
      <w:r w:rsidR="00E83E60" w:rsidRPr="00E70AC2">
        <w:t>subsidiary</w:t>
      </w:r>
      <w:r w:rsidR="00E83E60">
        <w:t xml:space="preserve"> of Aqua Pennsylvania, Inc. </w:t>
      </w:r>
      <w:r w:rsidR="00051836">
        <w:t xml:space="preserve"> LWW-SE</w:t>
      </w:r>
      <w:r w:rsidR="00E83E60">
        <w:t xml:space="preserve"> </w:t>
      </w:r>
      <w:r w:rsidR="00FF444E">
        <w:t xml:space="preserve">provides </w:t>
      </w:r>
      <w:r w:rsidR="00E44F7F">
        <w:t xml:space="preserve">wastewater </w:t>
      </w:r>
      <w:r w:rsidR="00FF444E">
        <w:t xml:space="preserve">service to approximately </w:t>
      </w:r>
      <w:r w:rsidR="00F1109B">
        <w:t>4,</w:t>
      </w:r>
      <w:r w:rsidR="00E83E60">
        <w:t xml:space="preserve">349 </w:t>
      </w:r>
      <w:r w:rsidR="00F1109B">
        <w:t>residential</w:t>
      </w:r>
      <w:r w:rsidR="00E83E60">
        <w:t xml:space="preserve">, commercial and public customers in portions of Chester, Bucks and Delaware Counties, Pennsylvania. </w:t>
      </w:r>
      <w:r w:rsidR="00051836">
        <w:t xml:space="preserve"> </w:t>
      </w:r>
      <w:r w:rsidR="00BD0080">
        <w:t>LWW-SE is comprised of thirteen divisions</w:t>
      </w:r>
      <w:r w:rsidR="00510EA7">
        <w:t>, each</w:t>
      </w:r>
      <w:r w:rsidR="00BD0080">
        <w:t xml:space="preserve"> with individual </w:t>
      </w:r>
      <w:r w:rsidR="00051836">
        <w:t>rate schedules</w:t>
      </w:r>
      <w:r w:rsidR="00510EA7">
        <w:t xml:space="preserve">.  </w:t>
      </w:r>
    </w:p>
    <w:p w:rsidR="001A25B4" w:rsidRDefault="001A25B4" w:rsidP="001A25B4">
      <w:pPr>
        <w:pStyle w:val="Heading1"/>
      </w:pPr>
      <w:r>
        <w:t>II.</w:t>
      </w:r>
      <w:r>
        <w:tab/>
        <w:t xml:space="preserve"> History of the Proceeding </w:t>
      </w:r>
    </w:p>
    <w:p w:rsidR="009A14BC" w:rsidRDefault="009A14BC" w:rsidP="001837A6">
      <w:pPr>
        <w:spacing w:line="240" w:lineRule="auto"/>
      </w:pPr>
    </w:p>
    <w:p w:rsidR="00386456" w:rsidRPr="00386456" w:rsidRDefault="00BE6603" w:rsidP="00386456">
      <w:r w:rsidRPr="00386456">
        <w:t xml:space="preserve">On October 29, 2010, LWW-SE filed with the Commission Supplement No. 74 to Tariff Sewer - Pa. P.U.C. No. 1 </w:t>
      </w:r>
      <w:r w:rsidR="001C41DB" w:rsidRPr="00386456">
        <w:t xml:space="preserve">(Supplement No. 74) </w:t>
      </w:r>
      <w:r w:rsidRPr="00386456">
        <w:t>to become effective January 1, 2011.  Supplement No. 74 contained proposed changes in rates, rules and regulations calculated to produce an overall</w:t>
      </w:r>
      <w:r w:rsidR="00971A52">
        <w:t xml:space="preserve"> increase of </w:t>
      </w:r>
      <w:r w:rsidR="00971A52" w:rsidRPr="00386456">
        <w:t>$</w:t>
      </w:r>
      <w:r w:rsidR="00971A52" w:rsidRPr="00386456">
        <w:rPr>
          <w:color w:val="000000"/>
        </w:rPr>
        <w:t xml:space="preserve">1,078,292 </w:t>
      </w:r>
      <w:r w:rsidR="00971A52">
        <w:t>in annual operating revenues</w:t>
      </w:r>
      <w:r w:rsidRPr="00386456">
        <w:rPr>
          <w:color w:val="000000"/>
        </w:rPr>
        <w:t xml:space="preserve">, </w:t>
      </w:r>
      <w:r w:rsidR="00971A52">
        <w:rPr>
          <w:color w:val="000000"/>
        </w:rPr>
        <w:t xml:space="preserve">or </w:t>
      </w:r>
      <w:r w:rsidRPr="00386456">
        <w:rPr>
          <w:color w:val="000000"/>
        </w:rPr>
        <w:t>an increase of approximately 32.2% over existing base rates anticipated for the future test year ending June 30, 2011</w:t>
      </w:r>
      <w:r w:rsidR="00104C58">
        <w:rPr>
          <w:color w:val="000000"/>
        </w:rPr>
        <w:t xml:space="preserve">. </w:t>
      </w:r>
      <w:r w:rsidR="001C41DB" w:rsidRPr="00386456">
        <w:rPr>
          <w:color w:val="000000"/>
        </w:rPr>
        <w:t xml:space="preserve"> </w:t>
      </w:r>
      <w:r w:rsidR="00487919">
        <w:rPr>
          <w:color w:val="000000"/>
        </w:rPr>
        <w:t xml:space="preserve">Supplement No. 74 proposed to increase </w:t>
      </w:r>
      <w:r w:rsidR="00487919">
        <w:t xml:space="preserve">the rates of eight of </w:t>
      </w:r>
      <w:r w:rsidR="00971A52">
        <w:t xml:space="preserve">LWW-SE’s </w:t>
      </w:r>
      <w:r w:rsidR="00487919">
        <w:t>thirteen divisions</w:t>
      </w:r>
      <w:r w:rsidR="003C3BE0">
        <w:t>.</w:t>
      </w:r>
      <w:r w:rsidR="00487919">
        <w:t xml:space="preserve"> </w:t>
      </w:r>
      <w:r w:rsidR="00971A52">
        <w:t xml:space="preserve"> </w:t>
      </w:r>
      <w:r w:rsidR="003C3BE0">
        <w:t>T</w:t>
      </w:r>
      <w:r w:rsidR="00487919">
        <w:t xml:space="preserve">he rates of the other five divisions </w:t>
      </w:r>
      <w:r w:rsidR="00487919">
        <w:lastRenderedPageBreak/>
        <w:t>would remain unchanged.</w:t>
      </w:r>
      <w:r w:rsidR="00E2313A" w:rsidRPr="00E2313A">
        <w:rPr>
          <w:rStyle w:val="FootnoteReference"/>
          <w:rFonts w:eastAsiaTheme="majorEastAsia"/>
          <w:color w:val="000000"/>
        </w:rPr>
        <w:t xml:space="preserve"> </w:t>
      </w:r>
      <w:r w:rsidR="00E2313A" w:rsidRPr="00386456">
        <w:rPr>
          <w:rStyle w:val="FootnoteReference"/>
          <w:rFonts w:eastAsiaTheme="majorEastAsia"/>
          <w:color w:val="000000"/>
        </w:rPr>
        <w:footnoteReference w:id="1"/>
      </w:r>
      <w:r w:rsidR="00487919">
        <w:t xml:space="preserve">  LWW-SE explained that it is using this rate filing as the first step toward the consolidation of LWW-SE wastewater rates.  LWW Statement JRD-1 at</w:t>
      </w:r>
      <w:r w:rsidR="003F4A61">
        <w:t> </w:t>
      </w:r>
      <w:r w:rsidR="00487919">
        <w:t xml:space="preserve">3. </w:t>
      </w:r>
      <w:r w:rsidRPr="00386456">
        <w:rPr>
          <w:color w:val="000000"/>
        </w:rPr>
        <w:t xml:space="preserve"> </w:t>
      </w:r>
      <w:r w:rsidR="00386456" w:rsidRPr="00386456">
        <w:t>LWW</w:t>
      </w:r>
      <w:r w:rsidR="00386456">
        <w:t>-SE subsequently f</w:t>
      </w:r>
      <w:r w:rsidR="00386456" w:rsidRPr="00386456">
        <w:t>iled a revised Supplement No. 74 on November 16, 2010.</w:t>
      </w:r>
    </w:p>
    <w:p w:rsidR="00ED46BA" w:rsidRDefault="00ED46BA" w:rsidP="009A14BC">
      <w:pPr>
        <w:rPr>
          <w:color w:val="00B050"/>
        </w:rPr>
      </w:pPr>
    </w:p>
    <w:p w:rsidR="00386456" w:rsidRDefault="00386456" w:rsidP="00386456">
      <w:r w:rsidRPr="00FB6881">
        <w:t>On November 12, 2010, the Office of Consumer Advocate (OCA) filed a Public Statement, a Notice of Appearance and a formal Complaint.  The Complaint was docketed at C-2010-2209923.</w:t>
      </w:r>
    </w:p>
    <w:p w:rsidR="001559E2" w:rsidRDefault="001559E2" w:rsidP="00386456"/>
    <w:p w:rsidR="001559E2" w:rsidRDefault="001559E2" w:rsidP="00386456">
      <w:r>
        <w:t>On December 10, 2010, the Masthope Property Owners Association filed a Notice of Appearance.</w:t>
      </w:r>
    </w:p>
    <w:p w:rsidR="00063652" w:rsidRPr="00FB6881" w:rsidRDefault="00063652" w:rsidP="00386456"/>
    <w:p w:rsidR="00386456" w:rsidRDefault="00386456" w:rsidP="00386456">
      <w:r w:rsidRPr="00FB6881">
        <w:t>By Order entered on December 16, 2010, the Commission instituted a formal investigation to determine the lawfulness, justness and reasonableness of existing and proposed rates, rules and regulations, and assigned the proceeding to the Office of Administrative Law Judg</w:t>
      </w:r>
      <w:r>
        <w:t>e for resolution.  Pursuant to S</w:t>
      </w:r>
      <w:r w:rsidRPr="00FB6881">
        <w:t>ection 1308(d) of the Public Utility Code</w:t>
      </w:r>
      <w:r w:rsidR="00C62854">
        <w:t xml:space="preserve"> (Code)</w:t>
      </w:r>
      <w:r w:rsidRPr="00FB6881">
        <w:t>, 66 Pa.</w:t>
      </w:r>
      <w:r w:rsidR="00E2313A">
        <w:t xml:space="preserve"> </w:t>
      </w:r>
      <w:r w:rsidRPr="00FB6881">
        <w:t>C.S.A. § 1308(d), Supplement No. 74 was suspended by operation of law until August 1, 2011, unless permitted by Commission order to become effective at an earlier date.</w:t>
      </w:r>
    </w:p>
    <w:p w:rsidR="00C62854" w:rsidRDefault="00C62854" w:rsidP="00386456"/>
    <w:p w:rsidR="006007E2" w:rsidRDefault="00C62854" w:rsidP="00C62854">
      <w:r w:rsidRPr="00FB6881">
        <w:t>In addition to a number of Rate Protests filed by individual</w:t>
      </w:r>
      <w:r>
        <w:t xml:space="preserve"> customers</w:t>
      </w:r>
      <w:r w:rsidRPr="00FB6881">
        <w:t xml:space="preserve">, </w:t>
      </w:r>
      <w:r w:rsidR="005443E4">
        <w:t>eight</w:t>
      </w:r>
      <w:r w:rsidRPr="00FB6881">
        <w:t xml:space="preserve"> customers filed formal Complaints.  These include William Fink (Docket No. C-2010-2213900), Edward Oleckna (Docket No. C-2010-2213719), National Income Tax, Inc. (Docket No. C-2010-2215189), Arnold M. Kring (Docket No. C-2010-2217542), </w:t>
      </w:r>
    </w:p>
    <w:p w:rsidR="006007E2" w:rsidRDefault="006007E2" w:rsidP="00C62854"/>
    <w:p w:rsidR="006007E2" w:rsidRDefault="006007E2" w:rsidP="00C62854"/>
    <w:p w:rsidR="00C62854" w:rsidRPr="00FB6881" w:rsidRDefault="00C62854" w:rsidP="00C62854">
      <w:r w:rsidRPr="00FB6881">
        <w:lastRenderedPageBreak/>
        <w:t xml:space="preserve">Jeffrey Fleming (Docket No. </w:t>
      </w:r>
      <w:r>
        <w:t>C</w:t>
      </w:r>
      <w:r>
        <w:noBreakHyphen/>
      </w:r>
      <w:r w:rsidRPr="00FB6881">
        <w:t>2010-2217951)</w:t>
      </w:r>
      <w:r w:rsidR="00C8481E">
        <w:t>,</w:t>
      </w:r>
      <w:r w:rsidRPr="00FB6881">
        <w:t xml:space="preserve"> Samuel L. Johnson (Docket No. C-2011-2218537)</w:t>
      </w:r>
      <w:r w:rsidR="00C8481E">
        <w:t xml:space="preserve"> and the Borough of Media (Media) (</w:t>
      </w:r>
      <w:r w:rsidR="00C8481E" w:rsidRPr="005443E4">
        <w:t>Docket No. C-2010-2217581</w:t>
      </w:r>
      <w:r w:rsidR="00C8481E">
        <w:t>).</w:t>
      </w:r>
      <w:r w:rsidRPr="00FB6881">
        <w:rPr>
          <w:rStyle w:val="FootnoteReference"/>
        </w:rPr>
        <w:footnoteReference w:id="2"/>
      </w:r>
    </w:p>
    <w:p w:rsidR="00C62854" w:rsidRPr="00FB6881" w:rsidRDefault="00C62854" w:rsidP="00386456"/>
    <w:p w:rsidR="002211AE" w:rsidRPr="00F06567" w:rsidRDefault="005443E4" w:rsidP="005443E4">
      <w:pPr>
        <w:pStyle w:val="p6"/>
        <w:tabs>
          <w:tab w:val="left" w:pos="720"/>
        </w:tabs>
        <w:spacing w:line="360" w:lineRule="auto"/>
        <w:rPr>
          <w:sz w:val="26"/>
          <w:szCs w:val="26"/>
        </w:rPr>
      </w:pPr>
      <w:r w:rsidRPr="005443E4">
        <w:rPr>
          <w:sz w:val="26"/>
          <w:szCs w:val="26"/>
        </w:rPr>
        <w:t>On January 7, 2011, the Commission’s Office of Trial Staff (OTS) filed a Notice of Appearance.</w:t>
      </w:r>
    </w:p>
    <w:p w:rsidR="002211AE" w:rsidRPr="00F06567" w:rsidRDefault="002211AE" w:rsidP="009A14BC"/>
    <w:p w:rsidR="004040F2" w:rsidRDefault="004040F2" w:rsidP="004040F2">
      <w:pPr>
        <w:rPr>
          <w:rFonts w:cs="Times New Roman"/>
          <w:spacing w:val="-3"/>
        </w:rPr>
      </w:pPr>
      <w:r>
        <w:rPr>
          <w:rFonts w:cs="Times New Roman"/>
        </w:rPr>
        <w:t>A</w:t>
      </w:r>
      <w:r w:rsidRPr="00FB6881">
        <w:rPr>
          <w:rFonts w:cs="Times New Roman"/>
        </w:rPr>
        <w:t xml:space="preserve"> telephonic public input hearing was held on January 28, 2011.  Present and participating through counsel were </w:t>
      </w:r>
      <w:r w:rsidR="003C3BE0">
        <w:rPr>
          <w:rFonts w:cs="Times New Roman"/>
        </w:rPr>
        <w:t>L</w:t>
      </w:r>
      <w:r>
        <w:rPr>
          <w:rFonts w:cs="Times New Roman"/>
        </w:rPr>
        <w:t>WW-SE</w:t>
      </w:r>
      <w:r w:rsidRPr="00FB6881">
        <w:rPr>
          <w:rFonts w:cs="Times New Roman"/>
        </w:rPr>
        <w:t xml:space="preserve">, </w:t>
      </w:r>
      <w:r>
        <w:rPr>
          <w:rFonts w:cs="Times New Roman"/>
        </w:rPr>
        <w:t xml:space="preserve">the </w:t>
      </w:r>
      <w:r w:rsidRPr="00FB6881">
        <w:rPr>
          <w:rFonts w:cs="Times New Roman"/>
        </w:rPr>
        <w:t xml:space="preserve">OTS, </w:t>
      </w:r>
      <w:r>
        <w:rPr>
          <w:rFonts w:cs="Times New Roman"/>
        </w:rPr>
        <w:t xml:space="preserve">the </w:t>
      </w:r>
      <w:r w:rsidRPr="00FB6881">
        <w:rPr>
          <w:rFonts w:cs="Times New Roman"/>
        </w:rPr>
        <w:t xml:space="preserve">OCA and Media.  Ten individuals, </w:t>
      </w:r>
      <w:r w:rsidR="0052424C">
        <w:rPr>
          <w:rFonts w:cs="Times New Roman"/>
        </w:rPr>
        <w:t xml:space="preserve">including </w:t>
      </w:r>
      <w:r w:rsidRPr="00FB6881">
        <w:rPr>
          <w:rFonts w:cs="Times New Roman"/>
        </w:rPr>
        <w:t xml:space="preserve">one </w:t>
      </w:r>
      <w:r w:rsidR="0052424C">
        <w:rPr>
          <w:rFonts w:cs="Times New Roman"/>
        </w:rPr>
        <w:t xml:space="preserve">that </w:t>
      </w:r>
      <w:r w:rsidRPr="00FB6881">
        <w:rPr>
          <w:rFonts w:cs="Times New Roman"/>
        </w:rPr>
        <w:t xml:space="preserve">filed a formal Complaint (Mr. Kring) testified.  Two </w:t>
      </w:r>
      <w:r>
        <w:rPr>
          <w:rFonts w:cs="Times New Roman"/>
        </w:rPr>
        <w:t xml:space="preserve">of the </w:t>
      </w:r>
      <w:r w:rsidRPr="00FB6881">
        <w:rPr>
          <w:rFonts w:cs="Times New Roman"/>
        </w:rPr>
        <w:t xml:space="preserve">witnesses were customers of the </w:t>
      </w:r>
      <w:r w:rsidRPr="00FB6881">
        <w:rPr>
          <w:rFonts w:cs="Times New Roman"/>
          <w:spacing w:val="-3"/>
        </w:rPr>
        <w:t>Little Washington Division; four were customers of the New Daleville Division and four were customers of the Media Division.</w:t>
      </w:r>
    </w:p>
    <w:p w:rsidR="005348D4" w:rsidRDefault="005348D4" w:rsidP="004040F2">
      <w:pPr>
        <w:rPr>
          <w:rFonts w:cs="Times New Roman"/>
          <w:spacing w:val="-3"/>
        </w:rPr>
      </w:pPr>
    </w:p>
    <w:p w:rsidR="005348D4" w:rsidRPr="00FB6881" w:rsidRDefault="005348D4" w:rsidP="005348D4">
      <w:pPr>
        <w:rPr>
          <w:rFonts w:cs="Times New Roman"/>
        </w:rPr>
      </w:pPr>
      <w:r w:rsidRPr="00FB6881">
        <w:rPr>
          <w:rFonts w:cs="Times New Roman"/>
          <w:spacing w:val="-3"/>
        </w:rPr>
        <w:t xml:space="preserve">On March 2, 2011, </w:t>
      </w:r>
      <w:r>
        <w:rPr>
          <w:rFonts w:cs="Times New Roman"/>
        </w:rPr>
        <w:t xml:space="preserve">the Settlement was filed.  </w:t>
      </w:r>
      <w:r w:rsidRPr="00FB6881">
        <w:rPr>
          <w:rFonts w:cs="Times New Roman"/>
        </w:rPr>
        <w:t xml:space="preserve">Signatories to the </w:t>
      </w:r>
      <w:r w:rsidR="00877919">
        <w:rPr>
          <w:rFonts w:cs="Times New Roman"/>
        </w:rPr>
        <w:t>Settlement w</w:t>
      </w:r>
      <w:r w:rsidR="00E749B3">
        <w:rPr>
          <w:rFonts w:cs="Times New Roman"/>
        </w:rPr>
        <w:t>ere</w:t>
      </w:r>
      <w:r w:rsidR="00877919">
        <w:rPr>
          <w:rFonts w:cs="Times New Roman"/>
        </w:rPr>
        <w:t xml:space="preserve"> </w:t>
      </w:r>
      <w:r w:rsidRPr="00FB6881">
        <w:rPr>
          <w:rFonts w:cs="Times New Roman"/>
        </w:rPr>
        <w:t>LWW</w:t>
      </w:r>
      <w:r w:rsidR="00877919">
        <w:rPr>
          <w:rFonts w:cs="Times New Roman"/>
        </w:rPr>
        <w:t>-SE</w:t>
      </w:r>
      <w:r w:rsidRPr="00FB6881">
        <w:rPr>
          <w:rFonts w:cs="Times New Roman"/>
        </w:rPr>
        <w:t xml:space="preserve">, </w:t>
      </w:r>
      <w:r w:rsidR="00877919">
        <w:rPr>
          <w:rFonts w:cs="Times New Roman"/>
        </w:rPr>
        <w:t xml:space="preserve">the </w:t>
      </w:r>
      <w:r w:rsidRPr="00FB6881">
        <w:rPr>
          <w:rFonts w:cs="Times New Roman"/>
        </w:rPr>
        <w:t xml:space="preserve">OTS and </w:t>
      </w:r>
      <w:r w:rsidR="00877919">
        <w:rPr>
          <w:rFonts w:cs="Times New Roman"/>
        </w:rPr>
        <w:t xml:space="preserve">the </w:t>
      </w:r>
      <w:r w:rsidRPr="00FB6881">
        <w:rPr>
          <w:rFonts w:cs="Times New Roman"/>
        </w:rPr>
        <w:t xml:space="preserve">OCA </w:t>
      </w:r>
      <w:r w:rsidR="00877919">
        <w:rPr>
          <w:rFonts w:cs="Times New Roman"/>
        </w:rPr>
        <w:t>(J</w:t>
      </w:r>
      <w:r w:rsidRPr="00FB6881">
        <w:rPr>
          <w:rFonts w:cs="Times New Roman"/>
        </w:rPr>
        <w:t>oint</w:t>
      </w:r>
      <w:r w:rsidR="00877919">
        <w:rPr>
          <w:rFonts w:cs="Times New Roman"/>
        </w:rPr>
        <w:t xml:space="preserve"> P</w:t>
      </w:r>
      <w:r w:rsidRPr="00FB6881">
        <w:rPr>
          <w:rFonts w:cs="Times New Roman"/>
        </w:rPr>
        <w:t xml:space="preserve">etitioners).  </w:t>
      </w:r>
      <w:r w:rsidR="00877919">
        <w:rPr>
          <w:rFonts w:cs="Times New Roman"/>
        </w:rPr>
        <w:t xml:space="preserve">Included with the Settlement was Supplement No. 78 </w:t>
      </w:r>
      <w:r w:rsidR="001D42A8">
        <w:rPr>
          <w:rFonts w:cs="Times New Roman"/>
        </w:rPr>
        <w:t xml:space="preserve">to Sewer PA. P.U.C. No. 1 (Supplement No. 78) containing the proposed Settlement rates, the Proof of Revenues for Supplement No. 78, and </w:t>
      </w:r>
      <w:r w:rsidR="00EA6EA0">
        <w:rPr>
          <w:rFonts w:cs="Times New Roman"/>
        </w:rPr>
        <w:t xml:space="preserve">Statements of Support of the Settlement </w:t>
      </w:r>
      <w:r w:rsidR="00FA56E1">
        <w:rPr>
          <w:rFonts w:cs="Times New Roman"/>
        </w:rPr>
        <w:t xml:space="preserve">(Statements of Support) </w:t>
      </w:r>
      <w:r w:rsidR="00EA6EA0">
        <w:rPr>
          <w:rFonts w:cs="Times New Roman"/>
        </w:rPr>
        <w:t xml:space="preserve">filed </w:t>
      </w:r>
      <w:r w:rsidR="00010AEB">
        <w:rPr>
          <w:rFonts w:cs="Times New Roman"/>
        </w:rPr>
        <w:t>by LWW-SW, the OTS and the OCA.</w:t>
      </w:r>
    </w:p>
    <w:p w:rsidR="00EA6EA0" w:rsidRDefault="00EA6EA0" w:rsidP="005348D4">
      <w:pPr>
        <w:rPr>
          <w:rFonts w:cs="Times New Roman"/>
        </w:rPr>
      </w:pPr>
    </w:p>
    <w:p w:rsidR="00C50558" w:rsidRPr="00FB6881" w:rsidRDefault="00C50558" w:rsidP="00C50558">
      <w:pPr>
        <w:rPr>
          <w:rFonts w:cs="Times New Roman"/>
          <w:b/>
        </w:rPr>
      </w:pPr>
      <w:r w:rsidRPr="00FB6881">
        <w:rPr>
          <w:rFonts w:cs="Times New Roman"/>
        </w:rPr>
        <w:t>By letter</w:t>
      </w:r>
      <w:r w:rsidR="00C637C3">
        <w:rPr>
          <w:rFonts w:cs="Times New Roman"/>
        </w:rPr>
        <w:t>s</w:t>
      </w:r>
      <w:r w:rsidRPr="00FB6881">
        <w:rPr>
          <w:rFonts w:cs="Times New Roman"/>
        </w:rPr>
        <w:t xml:space="preserve"> dated March 3, 2011, </w:t>
      </w:r>
      <w:r>
        <w:rPr>
          <w:rFonts w:cs="Times New Roman"/>
        </w:rPr>
        <w:t xml:space="preserve">the ALJs </w:t>
      </w:r>
      <w:r w:rsidRPr="00FB6881">
        <w:rPr>
          <w:rFonts w:cs="Times New Roman"/>
        </w:rPr>
        <w:t xml:space="preserve">requested that </w:t>
      </w:r>
      <w:r w:rsidR="00C637C3">
        <w:rPr>
          <w:rFonts w:cs="Times New Roman"/>
        </w:rPr>
        <w:t xml:space="preserve">each of the Complainants </w:t>
      </w:r>
      <w:r w:rsidRPr="00FB6881">
        <w:rPr>
          <w:rFonts w:cs="Times New Roman"/>
        </w:rPr>
        <w:t xml:space="preserve">indicate if they wish to join, oppose or take no position on the proposed </w:t>
      </w:r>
      <w:r w:rsidR="00C637C3">
        <w:rPr>
          <w:rFonts w:cs="Times New Roman"/>
        </w:rPr>
        <w:t>S</w:t>
      </w:r>
      <w:r w:rsidRPr="00FB6881">
        <w:rPr>
          <w:rFonts w:cs="Times New Roman"/>
        </w:rPr>
        <w:t xml:space="preserve">ettlement.  By letter received on March 8, 2011, </w:t>
      </w:r>
      <w:r w:rsidR="00FC797A">
        <w:rPr>
          <w:rFonts w:cs="Times New Roman"/>
        </w:rPr>
        <w:t xml:space="preserve">Arnold M. </w:t>
      </w:r>
      <w:r w:rsidRPr="00FB6881">
        <w:rPr>
          <w:rFonts w:cs="Times New Roman"/>
        </w:rPr>
        <w:t xml:space="preserve">Kring opposed the </w:t>
      </w:r>
      <w:r w:rsidR="002E4C02">
        <w:rPr>
          <w:rFonts w:cs="Times New Roman"/>
        </w:rPr>
        <w:t>S</w:t>
      </w:r>
      <w:r w:rsidRPr="00FB6881">
        <w:rPr>
          <w:rFonts w:cs="Times New Roman"/>
        </w:rPr>
        <w:t>ettlement, alleging that the settlement provisions regarding odor abatement were inadequate</w:t>
      </w:r>
      <w:r w:rsidR="00FC797A">
        <w:rPr>
          <w:rFonts w:cs="Times New Roman"/>
        </w:rPr>
        <w:t xml:space="preserve">.  </w:t>
      </w:r>
      <w:r>
        <w:rPr>
          <w:rFonts w:cs="Times New Roman"/>
        </w:rPr>
        <w:t>By letter dated March 1</w:t>
      </w:r>
      <w:r w:rsidR="00C80CA8">
        <w:rPr>
          <w:rFonts w:cs="Times New Roman"/>
        </w:rPr>
        <w:t>4</w:t>
      </w:r>
      <w:r>
        <w:rPr>
          <w:rFonts w:cs="Times New Roman"/>
        </w:rPr>
        <w:t xml:space="preserve">, 2011, Media joined in the proposed </w:t>
      </w:r>
      <w:r w:rsidR="00C80CA8">
        <w:rPr>
          <w:rFonts w:cs="Times New Roman"/>
        </w:rPr>
        <w:t>S</w:t>
      </w:r>
      <w:r>
        <w:rPr>
          <w:rFonts w:cs="Times New Roman"/>
        </w:rPr>
        <w:t>ettlement.</w:t>
      </w:r>
      <w:r w:rsidR="00C80CA8" w:rsidRPr="00FB6881">
        <w:rPr>
          <w:rFonts w:cs="Times New Roman"/>
        </w:rPr>
        <w:t xml:space="preserve">  No other responses were received.</w:t>
      </w:r>
    </w:p>
    <w:p w:rsidR="00D865DD" w:rsidRDefault="00E749B3" w:rsidP="005348D4">
      <w:pPr>
        <w:rPr>
          <w:rFonts w:cs="Times New Roman"/>
        </w:rPr>
      </w:pPr>
      <w:r>
        <w:rPr>
          <w:rFonts w:cs="Times New Roman"/>
        </w:rPr>
        <w:lastRenderedPageBreak/>
        <w:t>By Recommended Decision issued March 30, 2011, the ALJ</w:t>
      </w:r>
      <w:r w:rsidR="00D865DD">
        <w:rPr>
          <w:rFonts w:cs="Times New Roman"/>
        </w:rPr>
        <w:t>s</w:t>
      </w:r>
      <w:r>
        <w:rPr>
          <w:rFonts w:cs="Times New Roman"/>
        </w:rPr>
        <w:t xml:space="preserve"> </w:t>
      </w:r>
      <w:r w:rsidR="000826C2">
        <w:rPr>
          <w:rFonts w:cs="Times New Roman"/>
        </w:rPr>
        <w:t>recommended</w:t>
      </w:r>
      <w:r>
        <w:rPr>
          <w:rFonts w:cs="Times New Roman"/>
        </w:rPr>
        <w:t xml:space="preserve">, </w:t>
      </w:r>
      <w:r w:rsidRPr="00E749B3">
        <w:rPr>
          <w:rFonts w:cs="Times New Roman"/>
          <w:i/>
        </w:rPr>
        <w:t>inter alia</w:t>
      </w:r>
      <w:r>
        <w:rPr>
          <w:rFonts w:cs="Times New Roman"/>
        </w:rPr>
        <w:t xml:space="preserve">, that the Settlement </w:t>
      </w:r>
      <w:r w:rsidR="000826C2">
        <w:rPr>
          <w:rFonts w:cs="Times New Roman"/>
        </w:rPr>
        <w:t xml:space="preserve">be </w:t>
      </w:r>
      <w:r w:rsidR="00D865DD">
        <w:rPr>
          <w:rFonts w:cs="Times New Roman"/>
        </w:rPr>
        <w:t>approved</w:t>
      </w:r>
      <w:r w:rsidR="000826C2">
        <w:rPr>
          <w:rFonts w:cs="Times New Roman"/>
        </w:rPr>
        <w:t xml:space="preserve"> without modification.  </w:t>
      </w:r>
      <w:r w:rsidR="00D865DD">
        <w:rPr>
          <w:rFonts w:cs="Times New Roman"/>
        </w:rPr>
        <w:t xml:space="preserve">Exceptions </w:t>
      </w:r>
      <w:r w:rsidR="00E70AC2">
        <w:rPr>
          <w:rFonts w:cs="Times New Roman"/>
        </w:rPr>
        <w:t xml:space="preserve">to the Recommended Decision </w:t>
      </w:r>
      <w:r w:rsidR="00D865DD">
        <w:rPr>
          <w:rFonts w:cs="Times New Roman"/>
        </w:rPr>
        <w:t xml:space="preserve">were filed, but not served, by </w:t>
      </w:r>
      <w:r w:rsidR="00326D0B">
        <w:rPr>
          <w:rFonts w:cs="Times New Roman"/>
        </w:rPr>
        <w:t xml:space="preserve">Arnold M. Kring on April 11, 2011.  </w:t>
      </w:r>
      <w:r w:rsidR="00BC4366">
        <w:rPr>
          <w:rFonts w:cs="Times New Roman"/>
        </w:rPr>
        <w:t xml:space="preserve">By letter dated April 12, 2011, Mr. Kring’s </w:t>
      </w:r>
      <w:r w:rsidR="00C50558">
        <w:rPr>
          <w:rFonts w:cs="Times New Roman"/>
        </w:rPr>
        <w:t>Excerptions</w:t>
      </w:r>
      <w:r w:rsidR="00BC4366">
        <w:rPr>
          <w:rFonts w:cs="Times New Roman"/>
        </w:rPr>
        <w:t xml:space="preserve"> were served by the Commission</w:t>
      </w:r>
      <w:r w:rsidR="003C3BE0">
        <w:rPr>
          <w:rFonts w:cs="Times New Roman"/>
        </w:rPr>
        <w:t>’s</w:t>
      </w:r>
      <w:r w:rsidR="00BC4366">
        <w:rPr>
          <w:rFonts w:cs="Times New Roman"/>
        </w:rPr>
        <w:t xml:space="preserve"> Secretary.  </w:t>
      </w:r>
      <w:r w:rsidR="00C50558">
        <w:rPr>
          <w:rFonts w:cs="Times New Roman"/>
        </w:rPr>
        <w:t>Reply Exceptions were filed by LWW-SE on April</w:t>
      </w:r>
      <w:r w:rsidR="00010AEB">
        <w:rPr>
          <w:rFonts w:cs="Times New Roman"/>
        </w:rPr>
        <w:t> </w:t>
      </w:r>
      <w:r w:rsidR="00C50558">
        <w:rPr>
          <w:rFonts w:cs="Times New Roman"/>
        </w:rPr>
        <w:t>21,</w:t>
      </w:r>
      <w:r w:rsidR="00010AEB">
        <w:rPr>
          <w:rFonts w:cs="Times New Roman"/>
        </w:rPr>
        <w:t> </w:t>
      </w:r>
      <w:r w:rsidR="00C50558">
        <w:rPr>
          <w:rFonts w:cs="Times New Roman"/>
        </w:rPr>
        <w:t>2011.</w:t>
      </w:r>
    </w:p>
    <w:p w:rsidR="00F06FED" w:rsidRPr="00E938E5" w:rsidRDefault="00F06FED" w:rsidP="0052424C">
      <w:pPr>
        <w:pStyle w:val="Heading1"/>
        <w:keepLines w:val="0"/>
      </w:pPr>
      <w:r w:rsidRPr="00E938E5">
        <w:t>III.</w:t>
      </w:r>
      <w:r w:rsidRPr="00E938E5">
        <w:tab/>
        <w:t>Discussion</w:t>
      </w:r>
    </w:p>
    <w:p w:rsidR="00E70AC2" w:rsidRDefault="0052424C" w:rsidP="0052424C">
      <w:pPr>
        <w:keepNext/>
        <w:tabs>
          <w:tab w:val="left" w:pos="1908"/>
        </w:tabs>
        <w:spacing w:line="240" w:lineRule="auto"/>
      </w:pPr>
      <w:r>
        <w:tab/>
      </w:r>
    </w:p>
    <w:p w:rsidR="00E938E5" w:rsidRPr="00E938E5" w:rsidRDefault="00E938E5" w:rsidP="0052424C">
      <w:pPr>
        <w:pStyle w:val="Heading2"/>
      </w:pPr>
      <w:r w:rsidRPr="00E938E5">
        <w:t>Rate of Return</w:t>
      </w:r>
    </w:p>
    <w:p w:rsidR="00E938E5" w:rsidRPr="00E938E5" w:rsidRDefault="00E938E5" w:rsidP="0052424C">
      <w:pPr>
        <w:keepNext/>
        <w:spacing w:line="240" w:lineRule="auto"/>
      </w:pPr>
    </w:p>
    <w:p w:rsidR="00AD5DB2" w:rsidRPr="00E938E5" w:rsidRDefault="00AD5DB2" w:rsidP="0052424C">
      <w:pPr>
        <w:keepNext/>
      </w:pPr>
      <w:r w:rsidRPr="00E938E5">
        <w:t xml:space="preserve">A public utility seeking a general rate increase is entitled to an opportunity to earn a fair rate of return on the value of the property dedicated to public service.  </w:t>
      </w:r>
      <w:r w:rsidRPr="00E938E5">
        <w:rPr>
          <w:i/>
        </w:rPr>
        <w:t>Pennsylvania Gas and Water Co. v. Pennsylvania Pub. Util. Comm’n</w:t>
      </w:r>
      <w:r w:rsidRPr="00E938E5">
        <w:t xml:space="preserve">, 341 A.2d 239 (Pa. Cmwlth. 1975).  In determining what constitutes a fair rate of return, the Commission is guided by the criteria set forth in </w:t>
      </w:r>
      <w:r w:rsidRPr="00E938E5">
        <w:rPr>
          <w:i/>
        </w:rPr>
        <w:t>Bluefield Water Works and Improvement Co. v. Public Service Comm’n of West Virginia,</w:t>
      </w:r>
      <w:r w:rsidRPr="00E938E5">
        <w:t xml:space="preserve"> 262 U.S. 679 (1923) and </w:t>
      </w:r>
      <w:r w:rsidRPr="00E938E5">
        <w:rPr>
          <w:i/>
        </w:rPr>
        <w:t>Federal Power Comm’n v. Hope Natural Gas Co.</w:t>
      </w:r>
      <w:r w:rsidRPr="00E938E5">
        <w:t xml:space="preserve">, 320 U.S. 591 (1944).  In </w:t>
      </w:r>
      <w:r w:rsidRPr="00E938E5">
        <w:rPr>
          <w:i/>
        </w:rPr>
        <w:t>Bluefield</w:t>
      </w:r>
      <w:r w:rsidRPr="00E938E5">
        <w:t xml:space="preserve"> the United States Supreme Court stated:</w:t>
      </w:r>
    </w:p>
    <w:p w:rsidR="00AD5DB2" w:rsidRPr="00E938E5" w:rsidRDefault="00AD5DB2" w:rsidP="003C3BE0">
      <w:pPr>
        <w:spacing w:line="240" w:lineRule="auto"/>
      </w:pPr>
    </w:p>
    <w:p w:rsidR="00AD5DB2" w:rsidRPr="00E938E5" w:rsidRDefault="00AD5DB2" w:rsidP="00AD5DB2">
      <w:pPr>
        <w:spacing w:line="240" w:lineRule="auto"/>
        <w:ind w:left="1440" w:right="1440" w:firstLine="0"/>
      </w:pPr>
      <w:r w:rsidRPr="00E938E5">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w:t>
      </w:r>
      <w:r w:rsidRPr="00E938E5">
        <w:lastRenderedPageBreak/>
        <w:t>affecting opportunities for investment, the money market and business conditions generally.</w:t>
      </w:r>
    </w:p>
    <w:p w:rsidR="00AD5DB2" w:rsidRPr="00E938E5" w:rsidRDefault="00AD5DB2" w:rsidP="00010AEB">
      <w:pPr>
        <w:spacing w:line="240" w:lineRule="auto"/>
        <w:ind w:left="1440" w:right="1440" w:firstLine="0"/>
      </w:pPr>
    </w:p>
    <w:p w:rsidR="00AD5DB2" w:rsidRPr="00E938E5" w:rsidRDefault="00AD5DB2" w:rsidP="00AD5DB2">
      <w:pPr>
        <w:pStyle w:val="BodyText"/>
        <w:spacing w:line="240" w:lineRule="auto"/>
        <w:rPr>
          <w:szCs w:val="26"/>
        </w:rPr>
      </w:pPr>
      <w:r w:rsidRPr="00E938E5">
        <w:rPr>
          <w:i/>
          <w:szCs w:val="26"/>
        </w:rPr>
        <w:t xml:space="preserve">Bluefield, </w:t>
      </w:r>
      <w:r w:rsidRPr="00E938E5">
        <w:rPr>
          <w:szCs w:val="26"/>
        </w:rPr>
        <w:t>262 U.S. at 692-3.</w:t>
      </w:r>
    </w:p>
    <w:p w:rsidR="00A13D34" w:rsidRPr="00E938E5" w:rsidRDefault="00A13D34" w:rsidP="00CF0FFB"/>
    <w:p w:rsidR="00CF0FFB" w:rsidRPr="00E938E5" w:rsidRDefault="007A1598" w:rsidP="00CF0FFB">
      <w:r w:rsidRPr="00E938E5">
        <w:t>The ALJ</w:t>
      </w:r>
      <w:r w:rsidR="00B0737F">
        <w:t>s</w:t>
      </w:r>
      <w:r w:rsidRPr="00E938E5">
        <w:t xml:space="preserve"> recommended, </w:t>
      </w:r>
      <w:r w:rsidRPr="00E938E5">
        <w:rPr>
          <w:i/>
        </w:rPr>
        <w:t>inter alia</w:t>
      </w:r>
      <w:r w:rsidRPr="00E938E5">
        <w:t xml:space="preserve">, that we adopt the </w:t>
      </w:r>
      <w:r w:rsidR="001D2FC9" w:rsidRPr="00E938E5">
        <w:t>S</w:t>
      </w:r>
      <w:r w:rsidRPr="00E938E5">
        <w:t xml:space="preserve">ettlement </w:t>
      </w:r>
      <w:r w:rsidR="00E570CD" w:rsidRPr="00E938E5">
        <w:t>which</w:t>
      </w:r>
      <w:r w:rsidR="006F582C" w:rsidRPr="00E938E5">
        <w:t xml:space="preserve"> do</w:t>
      </w:r>
      <w:r w:rsidR="001D2FC9" w:rsidRPr="00E938E5">
        <w:t>es</w:t>
      </w:r>
      <w:r w:rsidR="006F582C" w:rsidRPr="00E938E5">
        <w:t xml:space="preserve"> not make any specific findings regarding a fair rate of return.  Instead, the Parties </w:t>
      </w:r>
      <w:r w:rsidR="0019581F" w:rsidRPr="00E938E5">
        <w:t xml:space="preserve">to the Settlement </w:t>
      </w:r>
      <w:r w:rsidR="00F54B6E" w:rsidRPr="00E938E5">
        <w:t>request</w:t>
      </w:r>
      <w:r w:rsidR="006F582C" w:rsidRPr="00E938E5">
        <w:t xml:space="preserve"> that </w:t>
      </w:r>
      <w:r w:rsidR="00396C0E" w:rsidRPr="00E938E5">
        <w:t xml:space="preserve">the Commission </w:t>
      </w:r>
      <w:r w:rsidR="006F582C" w:rsidRPr="00E938E5">
        <w:t xml:space="preserve">find that </w:t>
      </w:r>
      <w:r w:rsidR="0019581F" w:rsidRPr="00E938E5">
        <w:t>specific increases in annual water and</w:t>
      </w:r>
      <w:r w:rsidR="006F582C" w:rsidRPr="00E938E5">
        <w:t xml:space="preserve"> </w:t>
      </w:r>
      <w:r w:rsidR="0019581F" w:rsidRPr="00E938E5">
        <w:t>wastewater service revenue</w:t>
      </w:r>
      <w:r w:rsidR="00B641AB" w:rsidRPr="00E938E5">
        <w:t>,</w:t>
      </w:r>
      <w:r w:rsidR="0019581F" w:rsidRPr="00E938E5">
        <w:t xml:space="preserve"> and corresponding changes in rates are fair, just and reasonable, and</w:t>
      </w:r>
      <w:r w:rsidR="00BA70BD">
        <w:t>,</w:t>
      </w:r>
      <w:r w:rsidR="0019581F" w:rsidRPr="00E938E5">
        <w:t xml:space="preserve"> therefore, in the public interest.  </w:t>
      </w:r>
      <w:r w:rsidR="004838E3" w:rsidRPr="00E938E5">
        <w:t xml:space="preserve">By making that </w:t>
      </w:r>
      <w:r w:rsidR="00F54B6E" w:rsidRPr="00E938E5">
        <w:t>request,</w:t>
      </w:r>
      <w:r w:rsidR="004838E3" w:rsidRPr="00E938E5">
        <w:t xml:space="preserve"> the Parties </w:t>
      </w:r>
      <w:r w:rsidR="00B641AB" w:rsidRPr="00E938E5">
        <w:t>agree</w:t>
      </w:r>
      <w:r w:rsidR="00F54B6E" w:rsidRPr="00E938E5">
        <w:t xml:space="preserve"> that the rates set forth in the Settlements are designed to yield a fair rate of return.</w:t>
      </w:r>
    </w:p>
    <w:p w:rsidR="00AD5DB2" w:rsidRPr="00BA70BD" w:rsidRDefault="00AD5DB2" w:rsidP="004E63D6"/>
    <w:p w:rsidR="00E938E5" w:rsidRPr="004E63D6" w:rsidRDefault="00E938E5" w:rsidP="004E63D6">
      <w:pPr>
        <w:pStyle w:val="Heading2"/>
      </w:pPr>
      <w:r w:rsidRPr="004E63D6">
        <w:t>Burden of Proof</w:t>
      </w:r>
    </w:p>
    <w:p w:rsidR="00E938E5" w:rsidRPr="00BA70BD" w:rsidRDefault="00E938E5" w:rsidP="00A13D34">
      <w:pPr>
        <w:spacing w:line="240" w:lineRule="auto"/>
      </w:pPr>
    </w:p>
    <w:p w:rsidR="00E938E5" w:rsidRPr="001B0588" w:rsidRDefault="00E938E5" w:rsidP="00E938E5">
      <w:pPr>
        <w:widowControl w:val="0"/>
      </w:pPr>
      <w:r w:rsidRPr="001B0588">
        <w:t>A public utility has the burden of proof to establish the justness and reasonableness of every new proposed rate.  The standard to be met by the public utility is set forth in the Code at 66 Pa. C.S. § 315(a)</w:t>
      </w:r>
      <w:r>
        <w:t>.  It provides in pertinent part:</w:t>
      </w:r>
    </w:p>
    <w:p w:rsidR="00E938E5" w:rsidRPr="001B0588" w:rsidRDefault="00E938E5" w:rsidP="004E63D6">
      <w:pPr>
        <w:widowControl w:val="0"/>
        <w:spacing w:line="240" w:lineRule="auto"/>
      </w:pPr>
    </w:p>
    <w:p w:rsidR="00E938E5" w:rsidRPr="001B0588" w:rsidRDefault="00E938E5" w:rsidP="00E938E5">
      <w:pPr>
        <w:widowControl w:val="0"/>
        <w:spacing w:line="240" w:lineRule="auto"/>
        <w:ind w:left="1440" w:right="1440" w:firstLine="720"/>
      </w:pPr>
      <w:r w:rsidRPr="001B0588">
        <w:rPr>
          <w:b/>
        </w:rPr>
        <w:t>Reasonableness of rates.</w:t>
      </w:r>
      <w:r w:rsidRPr="001B0588">
        <w:t xml:space="preserve"> –In any proceeding upon the motion of the </w:t>
      </w:r>
      <w:r>
        <w:t>c</w:t>
      </w:r>
      <w:r w:rsidRPr="001B0588">
        <w:t>ommission, involving any proposed or existing rate of any public utility, or in any proceeding</w:t>
      </w:r>
      <w:r>
        <w:t>s</w:t>
      </w:r>
      <w:r w:rsidRPr="001B0588">
        <w:t xml:space="preserve"> upon complaint involving any proposed increase in rates, the burden of proof to show that the rate involved is just and reasonable shall be upon the public utility.</w:t>
      </w:r>
    </w:p>
    <w:p w:rsidR="00E938E5" w:rsidRPr="001B0588" w:rsidRDefault="00E938E5" w:rsidP="00E938E5">
      <w:pPr>
        <w:ind w:left="1440" w:right="1440"/>
      </w:pPr>
    </w:p>
    <w:p w:rsidR="00E938E5" w:rsidRDefault="00E938E5" w:rsidP="00E938E5">
      <w:r w:rsidRPr="001B0588">
        <w:t xml:space="preserve">In rate proceedings, the burden of proof does not shift to parties challenging the rate filing.  Rather, the utility’s burden of proof to establish the justness and reasonableness of every component of its rate request is an affirmative one and the burden of proof remains with the public utility throughout the course of the rate proceeding.  The Courts have held </w:t>
      </w:r>
      <w:r>
        <w:t xml:space="preserve">that </w:t>
      </w:r>
      <w:r w:rsidRPr="001B0588">
        <w:t xml:space="preserve">there is no similar burden placed on other parties to justify a proposed adjustment to the utility’s filing.  </w:t>
      </w:r>
      <w:r w:rsidRPr="001B0588">
        <w:rPr>
          <w:i/>
        </w:rPr>
        <w:t>Berner v. Pa. PUC</w:t>
      </w:r>
      <w:r w:rsidRPr="001B0588">
        <w:t>, 382 Pa. 622, 631, 116 A.2d 738, 744 (1955).</w:t>
      </w:r>
      <w:r>
        <w:t xml:space="preserve">  </w:t>
      </w:r>
      <w:r w:rsidRPr="001B0588">
        <w:t xml:space="preserve">Therefore, </w:t>
      </w:r>
      <w:r w:rsidR="004E63D6">
        <w:t>LWW-SE</w:t>
      </w:r>
      <w:r w:rsidRPr="001B0588">
        <w:t xml:space="preserve"> has the burden of proving that </w:t>
      </w:r>
      <w:r>
        <w:t xml:space="preserve">the proposed </w:t>
      </w:r>
      <w:r w:rsidR="000D37DC">
        <w:t xml:space="preserve">rates, rules and regulations </w:t>
      </w:r>
      <w:r>
        <w:t>are</w:t>
      </w:r>
      <w:r w:rsidRPr="001B0588">
        <w:t xml:space="preserve"> just</w:t>
      </w:r>
      <w:r w:rsidR="00482A6B">
        <w:t xml:space="preserve"> and reasonable under the Code.</w:t>
      </w:r>
    </w:p>
    <w:p w:rsidR="00482A6B" w:rsidRPr="001B0588" w:rsidRDefault="00482A6B" w:rsidP="00E938E5"/>
    <w:p w:rsidR="00E64828" w:rsidRDefault="00E64828" w:rsidP="00482A6B">
      <w:pPr>
        <w:pStyle w:val="Heading2"/>
      </w:pPr>
      <w:bookmarkStart w:id="0" w:name="_Toc271015508"/>
      <w:r w:rsidRPr="00ED46BA">
        <w:t>Terms of the Settlement</w:t>
      </w:r>
      <w:r w:rsidR="00E863DB" w:rsidRPr="00ED46BA">
        <w:t>s</w:t>
      </w:r>
      <w:bookmarkEnd w:id="0"/>
    </w:p>
    <w:p w:rsidR="00482A6B" w:rsidRPr="00482A6B" w:rsidRDefault="00482A6B" w:rsidP="00482A6B">
      <w:pPr>
        <w:keepNext/>
      </w:pPr>
    </w:p>
    <w:p w:rsidR="006007E2" w:rsidRDefault="00E64828" w:rsidP="00E64828">
      <w:pPr>
        <w:keepNext/>
      </w:pPr>
      <w:r w:rsidRPr="004E63D6">
        <w:t xml:space="preserve">Pursuant to our Regulations at 52 Pa. Code § 5.231, it is the Commission’s policy to promote settlements.  The Commission must, however, review proposed settlements to determine whether the terms are in the public interest.  </w:t>
      </w:r>
      <w:r w:rsidRPr="004E63D6">
        <w:rPr>
          <w:i/>
        </w:rPr>
        <w:t>Pa. PUC v. Philadelphia Gas Works</w:t>
      </w:r>
      <w:r w:rsidRPr="004E63D6">
        <w:t xml:space="preserve">, M-00031768 (January 7, 2004); </w:t>
      </w:r>
      <w:r w:rsidRPr="004E63D6">
        <w:rPr>
          <w:i/>
        </w:rPr>
        <w:t>Pa. PUC v. C S Water and Sewer Assoc.</w:t>
      </w:r>
      <w:r w:rsidRPr="004E63D6">
        <w:t xml:space="preserve">, 74 Pa. P.U.C. 767 (1991); </w:t>
      </w:r>
      <w:r w:rsidRPr="004E63D6">
        <w:rPr>
          <w:i/>
        </w:rPr>
        <w:t>Pa. PUC v. Philadelphia Electric Co.</w:t>
      </w:r>
      <w:r w:rsidRPr="004E63D6">
        <w:t xml:space="preserve">, </w:t>
      </w:r>
    </w:p>
    <w:p w:rsidR="00E64828" w:rsidRPr="004E63D6" w:rsidRDefault="00E64828" w:rsidP="006007E2">
      <w:pPr>
        <w:keepNext/>
        <w:ind w:firstLine="0"/>
      </w:pPr>
      <w:r w:rsidRPr="004E63D6">
        <w:t>60 Pa. P.U.C. 1 (1985).</w:t>
      </w:r>
    </w:p>
    <w:p w:rsidR="00E863DB" w:rsidRPr="004E63D6" w:rsidRDefault="00E863DB" w:rsidP="00E64828">
      <w:pPr>
        <w:keepNext/>
      </w:pPr>
    </w:p>
    <w:p w:rsidR="00E863DB" w:rsidRDefault="00E863DB" w:rsidP="00E863DB">
      <w:r w:rsidRPr="004E63D6">
        <w:t>The following discussion is intended to be a summary of the terms of the Settlement</w:t>
      </w:r>
      <w:r w:rsidR="00D92474" w:rsidRPr="004E63D6">
        <w:t xml:space="preserve"> and</w:t>
      </w:r>
      <w:r w:rsidR="00B641AB" w:rsidRPr="004E63D6">
        <w:t>,</w:t>
      </w:r>
      <w:r w:rsidR="00D92474" w:rsidRPr="004E63D6">
        <w:t xml:space="preserve"> </w:t>
      </w:r>
      <w:r w:rsidR="00B641AB" w:rsidRPr="004E63D6">
        <w:t xml:space="preserve">accordingly, </w:t>
      </w:r>
      <w:r w:rsidR="00D92474" w:rsidRPr="004E63D6">
        <w:t xml:space="preserve">not every detail </w:t>
      </w:r>
      <w:r w:rsidRPr="004E63D6">
        <w:t>has been reflected.  Consequently, th</w:t>
      </w:r>
      <w:r w:rsidR="002D6A25" w:rsidRPr="004E63D6">
        <w:t xml:space="preserve">e omission of any details of the Settlement </w:t>
      </w:r>
      <w:r w:rsidRPr="004E63D6">
        <w:t>should not be interpreted as amending the provisions of the Settlement.</w:t>
      </w:r>
    </w:p>
    <w:p w:rsidR="00482A6B" w:rsidRPr="004E63D6" w:rsidRDefault="00482A6B" w:rsidP="00E863DB"/>
    <w:p w:rsidR="00060338" w:rsidRDefault="00060338" w:rsidP="00060338">
      <w:pPr>
        <w:pStyle w:val="Heading3"/>
      </w:pPr>
      <w:r>
        <w:t>Proposed Settlement Rates</w:t>
      </w:r>
    </w:p>
    <w:p w:rsidR="00060338" w:rsidRDefault="00060338" w:rsidP="00AD5C89">
      <w:pPr>
        <w:spacing w:line="240" w:lineRule="auto"/>
      </w:pPr>
    </w:p>
    <w:p w:rsidR="00060338" w:rsidRDefault="00060338" w:rsidP="00060338">
      <w:pPr>
        <w:rPr>
          <w:rFonts w:cs="Times New Roman"/>
          <w:color w:val="000000"/>
        </w:rPr>
      </w:pPr>
      <w:r>
        <w:rPr>
          <w:rFonts w:cs="Times New Roman"/>
        </w:rPr>
        <w:t>Through the Settlement, LWW-SE</w:t>
      </w:r>
      <w:r w:rsidRPr="00FB6881">
        <w:rPr>
          <w:rFonts w:cs="Times New Roman"/>
        </w:rPr>
        <w:t xml:space="preserve"> has agreed to accept a lower increase in annual revenues than it had originally requested.  </w:t>
      </w:r>
      <w:r>
        <w:rPr>
          <w:rFonts w:cs="Times New Roman"/>
        </w:rPr>
        <w:t>Paragraph</w:t>
      </w:r>
      <w:r w:rsidR="00DA2827">
        <w:rPr>
          <w:rFonts w:cs="Times New Roman"/>
        </w:rPr>
        <w:t>s</w:t>
      </w:r>
      <w:r>
        <w:rPr>
          <w:rFonts w:cs="Times New Roman"/>
        </w:rPr>
        <w:t xml:space="preserve"> 11</w:t>
      </w:r>
      <w:r w:rsidR="00AD5C89">
        <w:rPr>
          <w:rFonts w:cs="Times New Roman"/>
        </w:rPr>
        <w:t>.a.</w:t>
      </w:r>
      <w:r w:rsidR="00DA2827">
        <w:rPr>
          <w:rFonts w:cs="Times New Roman"/>
        </w:rPr>
        <w:t xml:space="preserve"> and e. </w:t>
      </w:r>
      <w:r w:rsidR="00AD5C89">
        <w:rPr>
          <w:rFonts w:cs="Times New Roman"/>
        </w:rPr>
        <w:t xml:space="preserve">of the Settlement provide that </w:t>
      </w:r>
      <w:r w:rsidRPr="00FB6881">
        <w:rPr>
          <w:rFonts w:cs="Times New Roman"/>
        </w:rPr>
        <w:t>LWW</w:t>
      </w:r>
      <w:r w:rsidR="00AD5C89">
        <w:rPr>
          <w:rFonts w:cs="Times New Roman"/>
        </w:rPr>
        <w:t>-SE</w:t>
      </w:r>
      <w:r w:rsidRPr="00FB6881">
        <w:rPr>
          <w:rFonts w:cs="Times New Roman"/>
        </w:rPr>
        <w:t xml:space="preserve"> </w:t>
      </w:r>
      <w:r w:rsidR="00AD5C89">
        <w:rPr>
          <w:rFonts w:cs="Times New Roman"/>
        </w:rPr>
        <w:t>may</w:t>
      </w:r>
      <w:r w:rsidRPr="00FB6881">
        <w:rPr>
          <w:rFonts w:cs="Times New Roman"/>
        </w:rPr>
        <w:t xml:space="preserve"> establish rates that produce additional annual operating revenues of $999,000 ($852,314 in the first year, $146,686 in the second</w:t>
      </w:r>
      <w:r w:rsidR="003C3BE0">
        <w:rPr>
          <w:rFonts w:cs="Times New Roman"/>
        </w:rPr>
        <w:t xml:space="preserve"> year</w:t>
      </w:r>
      <w:r w:rsidRPr="00FB6881">
        <w:rPr>
          <w:rFonts w:cs="Times New Roman"/>
        </w:rPr>
        <w:t xml:space="preserve">) rather than the </w:t>
      </w:r>
      <w:r w:rsidR="003C3BE0">
        <w:rPr>
          <w:rFonts w:cs="Times New Roman"/>
        </w:rPr>
        <w:t xml:space="preserve">amount of </w:t>
      </w:r>
      <w:r w:rsidRPr="00FB6881">
        <w:rPr>
          <w:rFonts w:cs="Times New Roman"/>
        </w:rPr>
        <w:t>$</w:t>
      </w:r>
      <w:r w:rsidRPr="00FB6881">
        <w:rPr>
          <w:rFonts w:cs="Times New Roman"/>
          <w:color w:val="000000"/>
        </w:rPr>
        <w:t>1,078,292</w:t>
      </w:r>
      <w:r w:rsidR="003C3BE0">
        <w:rPr>
          <w:rFonts w:cs="Times New Roman"/>
          <w:color w:val="000000"/>
        </w:rPr>
        <w:t>, as</w:t>
      </w:r>
      <w:r w:rsidRPr="00FB6881">
        <w:rPr>
          <w:rFonts w:cs="Times New Roman"/>
          <w:color w:val="000000"/>
        </w:rPr>
        <w:t xml:space="preserve"> originally requested</w:t>
      </w:r>
      <w:r w:rsidR="00AD5C89">
        <w:rPr>
          <w:rFonts w:cs="Times New Roman"/>
          <w:color w:val="000000"/>
        </w:rPr>
        <w:t xml:space="preserve">. </w:t>
      </w:r>
      <w:r w:rsidR="00156161">
        <w:rPr>
          <w:rFonts w:cs="Times New Roman"/>
          <w:color w:val="000000"/>
        </w:rPr>
        <w:t xml:space="preserve"> </w:t>
      </w:r>
      <w:r w:rsidR="00355470">
        <w:rPr>
          <w:rFonts w:cs="Times New Roman"/>
          <w:color w:val="000000"/>
        </w:rPr>
        <w:t>The incremental increase in the second year is the result of the two-step increase proposed for the Media</w:t>
      </w:r>
      <w:r w:rsidR="00B0737F">
        <w:rPr>
          <w:rFonts w:cs="Times New Roman"/>
          <w:color w:val="000000"/>
        </w:rPr>
        <w:t xml:space="preserve"> Division</w:t>
      </w:r>
      <w:r w:rsidR="00026BAB">
        <w:rPr>
          <w:rFonts w:cs="Times New Roman"/>
          <w:color w:val="000000"/>
        </w:rPr>
        <w:t>.</w:t>
      </w:r>
      <w:r w:rsidR="00355470">
        <w:rPr>
          <w:rFonts w:cs="Times New Roman"/>
          <w:color w:val="000000"/>
        </w:rPr>
        <w:t xml:space="preserve"> </w:t>
      </w:r>
      <w:r w:rsidR="00925742">
        <w:rPr>
          <w:rFonts w:cs="Times New Roman"/>
          <w:color w:val="000000"/>
        </w:rPr>
        <w:t xml:space="preserve"> </w:t>
      </w:r>
      <w:r w:rsidR="00AD5C89">
        <w:rPr>
          <w:rFonts w:cs="Times New Roman"/>
          <w:color w:val="000000"/>
        </w:rPr>
        <w:t xml:space="preserve">The proposed rates are designed to produce </w:t>
      </w:r>
      <w:r w:rsidR="00227014">
        <w:rPr>
          <w:rFonts w:cs="Times New Roman"/>
          <w:color w:val="000000"/>
        </w:rPr>
        <w:t xml:space="preserve">annual </w:t>
      </w:r>
      <w:r w:rsidR="00026BAB">
        <w:rPr>
          <w:rFonts w:cs="Times New Roman"/>
          <w:color w:val="000000"/>
        </w:rPr>
        <w:t xml:space="preserve">revenue not to exceed $4,336,541, </w:t>
      </w:r>
      <w:r w:rsidRPr="00FB6881">
        <w:rPr>
          <w:rFonts w:cs="Times New Roman"/>
          <w:color w:val="000000"/>
        </w:rPr>
        <w:t>an increase over current revenue of 29.93%</w:t>
      </w:r>
      <w:r w:rsidR="000E5501">
        <w:rPr>
          <w:rFonts w:cs="Times New Roman"/>
          <w:color w:val="000000"/>
        </w:rPr>
        <w:t xml:space="preserve">.  </w:t>
      </w:r>
      <w:r w:rsidR="00FF5DDD">
        <w:rPr>
          <w:rFonts w:cs="Times New Roman"/>
          <w:color w:val="000000"/>
        </w:rPr>
        <w:t>Settlement at 4</w:t>
      </w:r>
      <w:r w:rsidR="00DA2827">
        <w:rPr>
          <w:rFonts w:cs="Times New Roman"/>
          <w:color w:val="000000"/>
        </w:rPr>
        <w:t xml:space="preserve"> and 12</w:t>
      </w:r>
      <w:r w:rsidR="00FF5DDD">
        <w:rPr>
          <w:rFonts w:cs="Times New Roman"/>
          <w:color w:val="000000"/>
        </w:rPr>
        <w:t>.  If adopted, the Settlement would result in the following increases in the monthly facility charge</w:t>
      </w:r>
      <w:r w:rsidR="00A41D5B">
        <w:rPr>
          <w:rFonts w:cs="Times New Roman"/>
          <w:color w:val="000000"/>
        </w:rPr>
        <w:t>s</w:t>
      </w:r>
      <w:r w:rsidR="00FF5DDD">
        <w:rPr>
          <w:rFonts w:cs="Times New Roman"/>
          <w:color w:val="000000"/>
        </w:rPr>
        <w:t xml:space="preserve"> and the volumetric charge</w:t>
      </w:r>
      <w:r w:rsidR="00A41D5B">
        <w:rPr>
          <w:rFonts w:cs="Times New Roman"/>
          <w:color w:val="000000"/>
        </w:rPr>
        <w:t>s</w:t>
      </w:r>
      <w:r w:rsidR="00FF5DDD">
        <w:rPr>
          <w:rFonts w:cs="Times New Roman"/>
          <w:color w:val="000000"/>
        </w:rPr>
        <w:t xml:space="preserve"> for eight of the Company’s thirteen </w:t>
      </w:r>
      <w:r w:rsidR="005731E9">
        <w:rPr>
          <w:rFonts w:cs="Times New Roman"/>
          <w:color w:val="000000"/>
        </w:rPr>
        <w:t>division</w:t>
      </w:r>
      <w:r w:rsidR="00FF5DDD">
        <w:rPr>
          <w:rFonts w:cs="Times New Roman"/>
          <w:color w:val="000000"/>
        </w:rPr>
        <w:t xml:space="preserve">s. </w:t>
      </w:r>
    </w:p>
    <w:p w:rsidR="00F55BC5" w:rsidRDefault="00F55BC5">
      <w:pPr>
        <w:rPr>
          <w:rFonts w:cs="Times New Roman"/>
          <w:color w:val="000000"/>
        </w:rPr>
      </w:pPr>
      <w:r>
        <w:rPr>
          <w:rFonts w:cs="Times New Roman"/>
          <w:color w:val="000000"/>
        </w:rPr>
        <w:br w:type="page"/>
      </w:r>
    </w:p>
    <w:p w:rsidR="00E86E21" w:rsidRDefault="00921F96" w:rsidP="002122CA">
      <w:pPr>
        <w:spacing w:after="240"/>
        <w:ind w:firstLine="0"/>
        <w:jc w:val="center"/>
        <w:rPr>
          <w:rFonts w:cs="Times New Roman"/>
          <w:b/>
          <w:color w:val="000000"/>
          <w:sz w:val="28"/>
          <w:szCs w:val="28"/>
        </w:rPr>
      </w:pPr>
      <w:r w:rsidRPr="001E1782">
        <w:rPr>
          <w:rFonts w:cs="Times New Roman"/>
          <w:b/>
          <w:color w:val="000000"/>
          <w:sz w:val="28"/>
          <w:szCs w:val="28"/>
        </w:rPr>
        <w:lastRenderedPageBreak/>
        <w:t xml:space="preserve">Current and Proposed Rates per </w:t>
      </w:r>
      <w:r w:rsidR="00B0737F">
        <w:rPr>
          <w:rFonts w:cs="Times New Roman"/>
          <w:b/>
          <w:color w:val="000000"/>
          <w:sz w:val="28"/>
          <w:szCs w:val="28"/>
        </w:rPr>
        <w:t xml:space="preserve">the </w:t>
      </w:r>
      <w:r w:rsidRPr="001E1782">
        <w:rPr>
          <w:rFonts w:cs="Times New Roman"/>
          <w:b/>
          <w:color w:val="000000"/>
          <w:sz w:val="28"/>
          <w:szCs w:val="28"/>
        </w:rPr>
        <w:t xml:space="preserve">Settlement by </w:t>
      </w:r>
      <w:r w:rsidR="00B0737F">
        <w:rPr>
          <w:rFonts w:cs="Times New Roman"/>
          <w:b/>
          <w:color w:val="000000"/>
          <w:sz w:val="28"/>
          <w:szCs w:val="28"/>
        </w:rPr>
        <w:t>Division</w:t>
      </w:r>
    </w:p>
    <w:tbl>
      <w:tblPr>
        <w:tblStyle w:val="TableGrid"/>
        <w:tblW w:w="0" w:type="auto"/>
        <w:tblLook w:val="04A0"/>
      </w:tblPr>
      <w:tblGrid>
        <w:gridCol w:w="1070"/>
        <w:gridCol w:w="954"/>
        <w:gridCol w:w="1886"/>
        <w:gridCol w:w="1890"/>
        <w:gridCol w:w="1885"/>
        <w:gridCol w:w="1891"/>
      </w:tblGrid>
      <w:tr w:rsidR="00603F16" w:rsidTr="00782283">
        <w:tc>
          <w:tcPr>
            <w:tcW w:w="2024" w:type="dxa"/>
            <w:gridSpan w:val="2"/>
            <w:tcBorders>
              <w:top w:val="nil"/>
              <w:left w:val="nil"/>
              <w:bottom w:val="nil"/>
              <w:right w:val="nil"/>
            </w:tcBorders>
            <w:vAlign w:val="center"/>
          </w:tcPr>
          <w:p w:rsidR="00603F16" w:rsidRPr="00603F16" w:rsidRDefault="00603F16" w:rsidP="004927D8">
            <w:pPr>
              <w:spacing w:before="120" w:after="120"/>
              <w:ind w:firstLine="0"/>
              <w:jc w:val="center"/>
              <w:rPr>
                <w:b/>
              </w:rPr>
            </w:pPr>
            <w:r w:rsidRPr="00603F16">
              <w:rPr>
                <w:b/>
              </w:rPr>
              <w:t xml:space="preserve">Meter </w:t>
            </w:r>
            <w:r w:rsidR="004927D8">
              <w:rPr>
                <w:b/>
              </w:rPr>
              <w:t>S</w:t>
            </w:r>
            <w:r w:rsidRPr="00603F16">
              <w:rPr>
                <w:b/>
              </w:rPr>
              <w:t>ize</w:t>
            </w:r>
            <w:r w:rsidR="004927D8">
              <w:rPr>
                <w:b/>
              </w:rPr>
              <w:t xml:space="preserve"> / Customer Class </w:t>
            </w:r>
          </w:p>
        </w:tc>
        <w:tc>
          <w:tcPr>
            <w:tcW w:w="3776" w:type="dxa"/>
            <w:gridSpan w:val="2"/>
            <w:tcBorders>
              <w:top w:val="nil"/>
              <w:left w:val="nil"/>
              <w:bottom w:val="nil"/>
              <w:right w:val="nil"/>
            </w:tcBorders>
            <w:vAlign w:val="center"/>
          </w:tcPr>
          <w:p w:rsidR="00603F16" w:rsidRPr="00603F16" w:rsidRDefault="00603F16" w:rsidP="00ED74C8">
            <w:pPr>
              <w:spacing w:before="120" w:after="120"/>
              <w:ind w:firstLine="0"/>
              <w:jc w:val="center"/>
              <w:rPr>
                <w:b/>
              </w:rPr>
            </w:pPr>
            <w:r w:rsidRPr="00603F16">
              <w:rPr>
                <w:b/>
              </w:rPr>
              <w:t>Monthly Facility Charge</w:t>
            </w:r>
          </w:p>
        </w:tc>
        <w:tc>
          <w:tcPr>
            <w:tcW w:w="3776" w:type="dxa"/>
            <w:gridSpan w:val="2"/>
            <w:tcBorders>
              <w:top w:val="nil"/>
              <w:left w:val="nil"/>
              <w:bottom w:val="nil"/>
              <w:right w:val="nil"/>
            </w:tcBorders>
            <w:vAlign w:val="center"/>
          </w:tcPr>
          <w:p w:rsidR="00603F16" w:rsidRPr="00603F16" w:rsidRDefault="00603F16" w:rsidP="000D37DC">
            <w:pPr>
              <w:spacing w:before="120"/>
              <w:ind w:firstLine="0"/>
              <w:jc w:val="center"/>
              <w:rPr>
                <w:b/>
              </w:rPr>
            </w:pPr>
            <w:r w:rsidRPr="00603F16">
              <w:rPr>
                <w:b/>
              </w:rPr>
              <w:t>Volumetric Charge</w:t>
            </w:r>
          </w:p>
          <w:p w:rsidR="00603F16" w:rsidRPr="00603F16" w:rsidRDefault="00603F16" w:rsidP="000D37DC">
            <w:pPr>
              <w:spacing w:after="120"/>
              <w:ind w:firstLine="0"/>
              <w:jc w:val="center"/>
            </w:pPr>
            <w:r w:rsidRPr="00603F16">
              <w:t>per 1,000 gallons</w:t>
            </w:r>
          </w:p>
        </w:tc>
      </w:tr>
      <w:tr w:rsidR="00E86E21" w:rsidTr="00782283">
        <w:tc>
          <w:tcPr>
            <w:tcW w:w="2024" w:type="dxa"/>
            <w:gridSpan w:val="2"/>
            <w:tcBorders>
              <w:top w:val="nil"/>
              <w:left w:val="nil"/>
              <w:bottom w:val="nil"/>
              <w:right w:val="nil"/>
            </w:tcBorders>
          </w:tcPr>
          <w:p w:rsidR="00E86E21" w:rsidRDefault="00E86E21" w:rsidP="00060338">
            <w:pPr>
              <w:ind w:firstLine="0"/>
            </w:pPr>
          </w:p>
        </w:tc>
        <w:tc>
          <w:tcPr>
            <w:tcW w:w="1886" w:type="dxa"/>
            <w:tcBorders>
              <w:top w:val="nil"/>
              <w:left w:val="nil"/>
              <w:bottom w:val="nil"/>
              <w:right w:val="nil"/>
            </w:tcBorders>
          </w:tcPr>
          <w:p w:rsidR="00E86E21" w:rsidRPr="00A41D5B" w:rsidRDefault="00ED74C8" w:rsidP="00782283">
            <w:pPr>
              <w:spacing w:before="120"/>
              <w:ind w:firstLine="0"/>
              <w:jc w:val="center"/>
              <w:rPr>
                <w:b/>
              </w:rPr>
            </w:pPr>
            <w:r w:rsidRPr="00A41D5B">
              <w:rPr>
                <w:b/>
              </w:rPr>
              <w:t>Current</w:t>
            </w:r>
          </w:p>
        </w:tc>
        <w:tc>
          <w:tcPr>
            <w:tcW w:w="1890" w:type="dxa"/>
            <w:tcBorders>
              <w:top w:val="nil"/>
              <w:left w:val="nil"/>
              <w:bottom w:val="nil"/>
              <w:right w:val="nil"/>
            </w:tcBorders>
          </w:tcPr>
          <w:p w:rsidR="00E86E21" w:rsidRPr="00A41D5B" w:rsidRDefault="00ED74C8" w:rsidP="00782283">
            <w:pPr>
              <w:spacing w:before="120"/>
              <w:ind w:firstLine="0"/>
              <w:jc w:val="center"/>
              <w:rPr>
                <w:b/>
              </w:rPr>
            </w:pPr>
            <w:r w:rsidRPr="00A41D5B">
              <w:rPr>
                <w:b/>
              </w:rPr>
              <w:t>Proposed</w:t>
            </w:r>
          </w:p>
        </w:tc>
        <w:tc>
          <w:tcPr>
            <w:tcW w:w="1885" w:type="dxa"/>
            <w:tcBorders>
              <w:top w:val="nil"/>
              <w:left w:val="nil"/>
              <w:bottom w:val="nil"/>
              <w:right w:val="nil"/>
            </w:tcBorders>
          </w:tcPr>
          <w:p w:rsidR="00E86E21" w:rsidRPr="00A41D5B" w:rsidRDefault="00ED74C8" w:rsidP="00782283">
            <w:pPr>
              <w:spacing w:before="120"/>
              <w:ind w:firstLine="0"/>
              <w:jc w:val="center"/>
              <w:rPr>
                <w:b/>
              </w:rPr>
            </w:pPr>
            <w:r w:rsidRPr="00A41D5B">
              <w:rPr>
                <w:b/>
              </w:rPr>
              <w:t>Current</w:t>
            </w:r>
          </w:p>
        </w:tc>
        <w:tc>
          <w:tcPr>
            <w:tcW w:w="1891" w:type="dxa"/>
            <w:tcBorders>
              <w:top w:val="nil"/>
              <w:left w:val="nil"/>
              <w:bottom w:val="nil"/>
              <w:right w:val="nil"/>
            </w:tcBorders>
          </w:tcPr>
          <w:p w:rsidR="00E86E21" w:rsidRPr="00A41D5B" w:rsidRDefault="00ED74C8" w:rsidP="00782283">
            <w:pPr>
              <w:spacing w:before="120"/>
              <w:ind w:firstLine="0"/>
              <w:jc w:val="center"/>
              <w:rPr>
                <w:b/>
              </w:rPr>
            </w:pPr>
            <w:r w:rsidRPr="00A41D5B">
              <w:rPr>
                <w:b/>
              </w:rPr>
              <w:t>Proposed</w:t>
            </w:r>
          </w:p>
        </w:tc>
      </w:tr>
      <w:tr w:rsidR="00ED74C8" w:rsidTr="00782283">
        <w:tc>
          <w:tcPr>
            <w:tcW w:w="9576" w:type="dxa"/>
            <w:gridSpan w:val="6"/>
            <w:tcBorders>
              <w:top w:val="nil"/>
              <w:left w:val="nil"/>
              <w:bottom w:val="single" w:sz="4" w:space="0" w:color="auto"/>
              <w:right w:val="nil"/>
            </w:tcBorders>
          </w:tcPr>
          <w:p w:rsidR="00ED74C8" w:rsidRPr="00ED74C8" w:rsidRDefault="00ED74C8" w:rsidP="00F55BC5">
            <w:pPr>
              <w:spacing w:before="120" w:after="120"/>
              <w:ind w:firstLine="0"/>
              <w:rPr>
                <w:b/>
              </w:rPr>
            </w:pPr>
            <w:r w:rsidRPr="00ED74C8">
              <w:rPr>
                <w:b/>
              </w:rPr>
              <w:t xml:space="preserve">Media </w:t>
            </w:r>
          </w:p>
        </w:tc>
      </w:tr>
      <w:tr w:rsidR="00A15B30" w:rsidTr="00782283">
        <w:tc>
          <w:tcPr>
            <w:tcW w:w="1070" w:type="dxa"/>
            <w:tcBorders>
              <w:top w:val="single" w:sz="4" w:space="0" w:color="auto"/>
            </w:tcBorders>
          </w:tcPr>
          <w:p w:rsidR="00A15B30" w:rsidRDefault="00A15B30" w:rsidP="006D2F6A">
            <w:pPr>
              <w:ind w:firstLine="0"/>
              <w:jc w:val="center"/>
            </w:pPr>
            <w:r>
              <w:t>5/8”</w:t>
            </w:r>
          </w:p>
        </w:tc>
        <w:tc>
          <w:tcPr>
            <w:tcW w:w="954" w:type="dxa"/>
            <w:tcBorders>
              <w:top w:val="single" w:sz="4" w:space="0" w:color="auto"/>
            </w:tcBorders>
          </w:tcPr>
          <w:p w:rsidR="00A15B30" w:rsidRDefault="00A15B30" w:rsidP="006D2F6A">
            <w:pPr>
              <w:ind w:firstLine="0"/>
              <w:jc w:val="center"/>
            </w:pPr>
            <w:r>
              <w:t>Year 1</w:t>
            </w:r>
          </w:p>
        </w:tc>
        <w:tc>
          <w:tcPr>
            <w:tcW w:w="1886" w:type="dxa"/>
            <w:tcBorders>
              <w:top w:val="single" w:sz="4" w:space="0" w:color="auto"/>
            </w:tcBorders>
          </w:tcPr>
          <w:p w:rsidR="00A15B30" w:rsidRDefault="00A15B30" w:rsidP="006D2F6A">
            <w:pPr>
              <w:ind w:firstLine="0"/>
              <w:jc w:val="center"/>
            </w:pPr>
            <w:r>
              <w:t>$5.07</w:t>
            </w:r>
          </w:p>
        </w:tc>
        <w:tc>
          <w:tcPr>
            <w:tcW w:w="1890" w:type="dxa"/>
            <w:tcBorders>
              <w:top w:val="single" w:sz="4" w:space="0" w:color="auto"/>
            </w:tcBorders>
          </w:tcPr>
          <w:p w:rsidR="00A15B30" w:rsidRDefault="00A15B30" w:rsidP="006D2F6A">
            <w:pPr>
              <w:ind w:firstLine="0"/>
              <w:jc w:val="center"/>
            </w:pPr>
            <w:r>
              <w:t>$14.30</w:t>
            </w:r>
          </w:p>
        </w:tc>
        <w:tc>
          <w:tcPr>
            <w:tcW w:w="1885" w:type="dxa"/>
            <w:tcBorders>
              <w:top w:val="single" w:sz="4" w:space="0" w:color="auto"/>
            </w:tcBorders>
          </w:tcPr>
          <w:p w:rsidR="00A15B30" w:rsidRDefault="00A15B30" w:rsidP="006D2F6A">
            <w:pPr>
              <w:ind w:firstLine="0"/>
              <w:jc w:val="center"/>
            </w:pPr>
            <w:r>
              <w:t>$3.20</w:t>
            </w:r>
          </w:p>
        </w:tc>
        <w:tc>
          <w:tcPr>
            <w:tcW w:w="1891" w:type="dxa"/>
            <w:tcBorders>
              <w:top w:val="single" w:sz="4" w:space="0" w:color="auto"/>
            </w:tcBorders>
          </w:tcPr>
          <w:p w:rsidR="00A15B30" w:rsidRDefault="00A15B30" w:rsidP="006D2F6A">
            <w:pPr>
              <w:ind w:firstLine="0"/>
              <w:jc w:val="center"/>
            </w:pPr>
            <w:r>
              <w:t>$5.20</w:t>
            </w:r>
          </w:p>
        </w:tc>
      </w:tr>
      <w:tr w:rsidR="00A15B30" w:rsidTr="007D5CA5">
        <w:tc>
          <w:tcPr>
            <w:tcW w:w="1070" w:type="dxa"/>
            <w:tcBorders>
              <w:bottom w:val="single" w:sz="4" w:space="0" w:color="auto"/>
            </w:tcBorders>
          </w:tcPr>
          <w:p w:rsidR="00A15B30" w:rsidRDefault="00A15B30" w:rsidP="006D2F6A">
            <w:pPr>
              <w:ind w:firstLine="0"/>
              <w:jc w:val="center"/>
            </w:pPr>
          </w:p>
        </w:tc>
        <w:tc>
          <w:tcPr>
            <w:tcW w:w="954" w:type="dxa"/>
            <w:tcBorders>
              <w:bottom w:val="single" w:sz="4" w:space="0" w:color="auto"/>
            </w:tcBorders>
          </w:tcPr>
          <w:p w:rsidR="00A15B30" w:rsidRDefault="00A15B30" w:rsidP="006D2F6A">
            <w:pPr>
              <w:ind w:firstLine="0"/>
              <w:jc w:val="center"/>
            </w:pPr>
            <w:r>
              <w:t>Year 2</w:t>
            </w:r>
          </w:p>
        </w:tc>
        <w:tc>
          <w:tcPr>
            <w:tcW w:w="1886" w:type="dxa"/>
            <w:tcBorders>
              <w:bottom w:val="single" w:sz="4" w:space="0" w:color="auto"/>
            </w:tcBorders>
          </w:tcPr>
          <w:p w:rsidR="00A15B30" w:rsidRDefault="00A15B30" w:rsidP="006D2F6A">
            <w:pPr>
              <w:ind w:firstLine="0"/>
              <w:jc w:val="center"/>
            </w:pPr>
          </w:p>
        </w:tc>
        <w:tc>
          <w:tcPr>
            <w:tcW w:w="1890" w:type="dxa"/>
            <w:tcBorders>
              <w:bottom w:val="single" w:sz="4" w:space="0" w:color="auto"/>
            </w:tcBorders>
          </w:tcPr>
          <w:p w:rsidR="00A15B30" w:rsidRDefault="00A15B30" w:rsidP="006D2F6A">
            <w:pPr>
              <w:ind w:firstLine="0"/>
              <w:jc w:val="center"/>
            </w:pPr>
            <w:r>
              <w:t>$15.95</w:t>
            </w:r>
          </w:p>
        </w:tc>
        <w:tc>
          <w:tcPr>
            <w:tcW w:w="1885" w:type="dxa"/>
            <w:tcBorders>
              <w:bottom w:val="single" w:sz="4" w:space="0" w:color="auto"/>
            </w:tcBorders>
          </w:tcPr>
          <w:p w:rsidR="00A15B30" w:rsidRDefault="00A15B30" w:rsidP="006D2F6A">
            <w:pPr>
              <w:ind w:firstLine="0"/>
              <w:jc w:val="center"/>
            </w:pPr>
          </w:p>
        </w:tc>
        <w:tc>
          <w:tcPr>
            <w:tcW w:w="1891" w:type="dxa"/>
            <w:tcBorders>
              <w:bottom w:val="single" w:sz="4" w:space="0" w:color="auto"/>
            </w:tcBorders>
          </w:tcPr>
          <w:p w:rsidR="00A15B30" w:rsidRDefault="006D2F6A" w:rsidP="006D2F6A">
            <w:pPr>
              <w:ind w:firstLine="0"/>
              <w:jc w:val="center"/>
            </w:pPr>
            <w:r>
              <w:t>$5.77</w:t>
            </w:r>
          </w:p>
        </w:tc>
      </w:tr>
      <w:tr w:rsidR="00E86E21" w:rsidTr="007D5CA5">
        <w:tc>
          <w:tcPr>
            <w:tcW w:w="2024" w:type="dxa"/>
            <w:gridSpan w:val="2"/>
            <w:tcBorders>
              <w:top w:val="single" w:sz="4" w:space="0" w:color="auto"/>
              <w:left w:val="nil"/>
              <w:bottom w:val="single" w:sz="4" w:space="0" w:color="auto"/>
              <w:right w:val="nil"/>
            </w:tcBorders>
          </w:tcPr>
          <w:p w:rsidR="00E86E21" w:rsidRDefault="00E86E21" w:rsidP="006D2F6A">
            <w:pPr>
              <w:ind w:firstLine="0"/>
              <w:jc w:val="center"/>
            </w:pPr>
          </w:p>
        </w:tc>
        <w:tc>
          <w:tcPr>
            <w:tcW w:w="1886" w:type="dxa"/>
            <w:tcBorders>
              <w:top w:val="single" w:sz="4" w:space="0" w:color="auto"/>
              <w:left w:val="nil"/>
              <w:bottom w:val="single" w:sz="4" w:space="0" w:color="auto"/>
              <w:right w:val="nil"/>
            </w:tcBorders>
          </w:tcPr>
          <w:p w:rsidR="00E86E21" w:rsidRDefault="00E86E21" w:rsidP="006D2F6A">
            <w:pPr>
              <w:ind w:firstLine="0"/>
              <w:jc w:val="center"/>
            </w:pPr>
          </w:p>
        </w:tc>
        <w:tc>
          <w:tcPr>
            <w:tcW w:w="1890" w:type="dxa"/>
            <w:tcBorders>
              <w:top w:val="single" w:sz="4" w:space="0" w:color="auto"/>
              <w:left w:val="nil"/>
              <w:bottom w:val="single" w:sz="4" w:space="0" w:color="auto"/>
              <w:right w:val="nil"/>
            </w:tcBorders>
          </w:tcPr>
          <w:p w:rsidR="00E86E21" w:rsidRDefault="00E86E21" w:rsidP="006D2F6A">
            <w:pPr>
              <w:ind w:firstLine="0"/>
              <w:jc w:val="center"/>
            </w:pPr>
          </w:p>
        </w:tc>
        <w:tc>
          <w:tcPr>
            <w:tcW w:w="1885" w:type="dxa"/>
            <w:tcBorders>
              <w:top w:val="single" w:sz="4" w:space="0" w:color="auto"/>
              <w:left w:val="nil"/>
              <w:bottom w:val="single" w:sz="4" w:space="0" w:color="auto"/>
              <w:right w:val="nil"/>
            </w:tcBorders>
          </w:tcPr>
          <w:p w:rsidR="00E86E21" w:rsidRDefault="00E86E21" w:rsidP="006D2F6A">
            <w:pPr>
              <w:ind w:firstLine="0"/>
              <w:jc w:val="center"/>
            </w:pPr>
          </w:p>
        </w:tc>
        <w:tc>
          <w:tcPr>
            <w:tcW w:w="1891" w:type="dxa"/>
            <w:tcBorders>
              <w:top w:val="single" w:sz="4" w:space="0" w:color="auto"/>
              <w:left w:val="nil"/>
              <w:bottom w:val="single" w:sz="4" w:space="0" w:color="auto"/>
              <w:right w:val="nil"/>
            </w:tcBorders>
          </w:tcPr>
          <w:p w:rsidR="00E86E21" w:rsidRDefault="00E86E21" w:rsidP="006D2F6A">
            <w:pPr>
              <w:ind w:firstLine="0"/>
              <w:jc w:val="center"/>
            </w:pPr>
          </w:p>
        </w:tc>
      </w:tr>
      <w:tr w:rsidR="006D2F6A" w:rsidTr="007D5CA5">
        <w:tc>
          <w:tcPr>
            <w:tcW w:w="1070" w:type="dxa"/>
            <w:tcBorders>
              <w:top w:val="single" w:sz="4" w:space="0" w:color="auto"/>
            </w:tcBorders>
          </w:tcPr>
          <w:p w:rsidR="006D2F6A" w:rsidRDefault="006D2F6A" w:rsidP="006D2F6A">
            <w:pPr>
              <w:ind w:firstLine="0"/>
              <w:jc w:val="center"/>
            </w:pPr>
            <w:r>
              <w:t>3/4”</w:t>
            </w:r>
          </w:p>
        </w:tc>
        <w:tc>
          <w:tcPr>
            <w:tcW w:w="954" w:type="dxa"/>
            <w:tcBorders>
              <w:top w:val="single" w:sz="4" w:space="0" w:color="auto"/>
            </w:tcBorders>
          </w:tcPr>
          <w:p w:rsidR="006D2F6A" w:rsidRDefault="006D2F6A" w:rsidP="006D2F6A">
            <w:pPr>
              <w:ind w:firstLine="0"/>
              <w:jc w:val="center"/>
            </w:pPr>
            <w:r>
              <w:t>Year 1</w:t>
            </w:r>
          </w:p>
        </w:tc>
        <w:tc>
          <w:tcPr>
            <w:tcW w:w="1886" w:type="dxa"/>
            <w:tcBorders>
              <w:top w:val="single" w:sz="4" w:space="0" w:color="auto"/>
            </w:tcBorders>
          </w:tcPr>
          <w:p w:rsidR="006D2F6A" w:rsidRDefault="006D2F6A" w:rsidP="006D2F6A">
            <w:pPr>
              <w:ind w:firstLine="0"/>
              <w:jc w:val="center"/>
            </w:pPr>
            <w:r>
              <w:t>$7.20</w:t>
            </w:r>
          </w:p>
        </w:tc>
        <w:tc>
          <w:tcPr>
            <w:tcW w:w="1890" w:type="dxa"/>
            <w:tcBorders>
              <w:top w:val="single" w:sz="4" w:space="0" w:color="auto"/>
            </w:tcBorders>
          </w:tcPr>
          <w:p w:rsidR="006D2F6A" w:rsidRDefault="000868CD" w:rsidP="006D2F6A">
            <w:pPr>
              <w:ind w:firstLine="0"/>
              <w:jc w:val="center"/>
            </w:pPr>
            <w:r>
              <w:t>$22.50</w:t>
            </w:r>
          </w:p>
        </w:tc>
        <w:tc>
          <w:tcPr>
            <w:tcW w:w="1885" w:type="dxa"/>
            <w:tcBorders>
              <w:top w:val="single" w:sz="4" w:space="0" w:color="auto"/>
            </w:tcBorders>
          </w:tcPr>
          <w:p w:rsidR="006D2F6A" w:rsidRDefault="006D2F6A" w:rsidP="006D2F6A">
            <w:pPr>
              <w:ind w:firstLine="0"/>
              <w:jc w:val="center"/>
            </w:pPr>
            <w:r>
              <w:t>$3.20</w:t>
            </w:r>
          </w:p>
        </w:tc>
        <w:tc>
          <w:tcPr>
            <w:tcW w:w="1891" w:type="dxa"/>
            <w:tcBorders>
              <w:top w:val="single" w:sz="4" w:space="0" w:color="auto"/>
            </w:tcBorders>
          </w:tcPr>
          <w:p w:rsidR="006D2F6A" w:rsidRDefault="000868CD" w:rsidP="006D2F6A">
            <w:pPr>
              <w:ind w:firstLine="0"/>
              <w:jc w:val="center"/>
            </w:pPr>
            <w:r>
              <w:t>$5.20</w:t>
            </w:r>
          </w:p>
        </w:tc>
      </w:tr>
      <w:tr w:rsidR="006D2F6A" w:rsidTr="007D5CA5">
        <w:tc>
          <w:tcPr>
            <w:tcW w:w="1070" w:type="dxa"/>
            <w:tcBorders>
              <w:bottom w:val="single" w:sz="4" w:space="0" w:color="auto"/>
            </w:tcBorders>
          </w:tcPr>
          <w:p w:rsidR="006D2F6A" w:rsidRDefault="006D2F6A" w:rsidP="006D2F6A">
            <w:pPr>
              <w:ind w:firstLine="0"/>
              <w:jc w:val="center"/>
            </w:pPr>
          </w:p>
        </w:tc>
        <w:tc>
          <w:tcPr>
            <w:tcW w:w="954" w:type="dxa"/>
            <w:tcBorders>
              <w:bottom w:val="single" w:sz="4" w:space="0" w:color="auto"/>
            </w:tcBorders>
          </w:tcPr>
          <w:p w:rsidR="006D2F6A" w:rsidRDefault="006D2F6A" w:rsidP="006D2F6A">
            <w:pPr>
              <w:ind w:firstLine="0"/>
              <w:jc w:val="center"/>
            </w:pPr>
            <w:r>
              <w:t>Year 2</w:t>
            </w:r>
          </w:p>
        </w:tc>
        <w:tc>
          <w:tcPr>
            <w:tcW w:w="1886" w:type="dxa"/>
            <w:tcBorders>
              <w:bottom w:val="single" w:sz="4" w:space="0" w:color="auto"/>
            </w:tcBorders>
          </w:tcPr>
          <w:p w:rsidR="006D2F6A" w:rsidRDefault="006D2F6A" w:rsidP="006D2F6A">
            <w:pPr>
              <w:ind w:firstLine="0"/>
              <w:jc w:val="center"/>
            </w:pPr>
          </w:p>
        </w:tc>
        <w:tc>
          <w:tcPr>
            <w:tcW w:w="1890" w:type="dxa"/>
            <w:tcBorders>
              <w:bottom w:val="single" w:sz="4" w:space="0" w:color="auto"/>
            </w:tcBorders>
          </w:tcPr>
          <w:p w:rsidR="006D2F6A" w:rsidRDefault="000868CD" w:rsidP="006D2F6A">
            <w:pPr>
              <w:ind w:firstLine="0"/>
              <w:jc w:val="center"/>
            </w:pPr>
            <w:r>
              <w:t>$25.00</w:t>
            </w:r>
          </w:p>
        </w:tc>
        <w:tc>
          <w:tcPr>
            <w:tcW w:w="1885" w:type="dxa"/>
            <w:tcBorders>
              <w:bottom w:val="single" w:sz="4" w:space="0" w:color="auto"/>
            </w:tcBorders>
          </w:tcPr>
          <w:p w:rsidR="006D2F6A" w:rsidRDefault="006D2F6A" w:rsidP="006D2F6A">
            <w:pPr>
              <w:ind w:firstLine="0"/>
              <w:jc w:val="center"/>
            </w:pPr>
          </w:p>
        </w:tc>
        <w:tc>
          <w:tcPr>
            <w:tcW w:w="1891" w:type="dxa"/>
            <w:tcBorders>
              <w:bottom w:val="single" w:sz="4" w:space="0" w:color="auto"/>
            </w:tcBorders>
          </w:tcPr>
          <w:p w:rsidR="006D2F6A" w:rsidRDefault="000868CD" w:rsidP="006D2F6A">
            <w:pPr>
              <w:ind w:firstLine="0"/>
              <w:jc w:val="center"/>
            </w:pPr>
            <w:r>
              <w:t>$5.77</w:t>
            </w:r>
          </w:p>
        </w:tc>
      </w:tr>
      <w:tr w:rsidR="007C6951" w:rsidTr="007D5CA5">
        <w:tc>
          <w:tcPr>
            <w:tcW w:w="1070" w:type="dxa"/>
            <w:tcBorders>
              <w:top w:val="single" w:sz="4" w:space="0" w:color="auto"/>
              <w:left w:val="nil"/>
              <w:bottom w:val="single" w:sz="4" w:space="0" w:color="auto"/>
              <w:right w:val="nil"/>
            </w:tcBorders>
          </w:tcPr>
          <w:p w:rsidR="007C6951" w:rsidRDefault="007C6951" w:rsidP="006D2F6A">
            <w:pPr>
              <w:ind w:firstLine="0"/>
              <w:jc w:val="center"/>
            </w:pPr>
          </w:p>
        </w:tc>
        <w:tc>
          <w:tcPr>
            <w:tcW w:w="954" w:type="dxa"/>
            <w:tcBorders>
              <w:top w:val="single" w:sz="4" w:space="0" w:color="auto"/>
              <w:left w:val="nil"/>
              <w:bottom w:val="single" w:sz="4" w:space="0" w:color="auto"/>
              <w:right w:val="nil"/>
            </w:tcBorders>
          </w:tcPr>
          <w:p w:rsidR="007C6951" w:rsidRDefault="007C6951" w:rsidP="006D2F6A">
            <w:pPr>
              <w:ind w:firstLine="0"/>
              <w:jc w:val="center"/>
            </w:pPr>
          </w:p>
        </w:tc>
        <w:tc>
          <w:tcPr>
            <w:tcW w:w="1886" w:type="dxa"/>
            <w:tcBorders>
              <w:top w:val="single" w:sz="4" w:space="0" w:color="auto"/>
              <w:left w:val="nil"/>
              <w:bottom w:val="single" w:sz="4" w:space="0" w:color="auto"/>
              <w:right w:val="nil"/>
            </w:tcBorders>
          </w:tcPr>
          <w:p w:rsidR="007C6951" w:rsidRDefault="007C6951" w:rsidP="006D2F6A">
            <w:pPr>
              <w:ind w:firstLine="0"/>
              <w:jc w:val="center"/>
            </w:pPr>
          </w:p>
        </w:tc>
        <w:tc>
          <w:tcPr>
            <w:tcW w:w="1890" w:type="dxa"/>
            <w:tcBorders>
              <w:top w:val="single" w:sz="4" w:space="0" w:color="auto"/>
              <w:left w:val="nil"/>
              <w:bottom w:val="single" w:sz="4" w:space="0" w:color="auto"/>
              <w:right w:val="nil"/>
            </w:tcBorders>
          </w:tcPr>
          <w:p w:rsidR="007C6951" w:rsidRDefault="007C6951" w:rsidP="006D2F6A">
            <w:pPr>
              <w:ind w:firstLine="0"/>
              <w:jc w:val="center"/>
            </w:pPr>
          </w:p>
        </w:tc>
        <w:tc>
          <w:tcPr>
            <w:tcW w:w="1885" w:type="dxa"/>
            <w:tcBorders>
              <w:top w:val="single" w:sz="4" w:space="0" w:color="auto"/>
              <w:left w:val="nil"/>
              <w:bottom w:val="single" w:sz="4" w:space="0" w:color="auto"/>
              <w:right w:val="nil"/>
            </w:tcBorders>
          </w:tcPr>
          <w:p w:rsidR="007C6951" w:rsidRDefault="007C6951" w:rsidP="006D2F6A">
            <w:pPr>
              <w:ind w:firstLine="0"/>
              <w:jc w:val="center"/>
            </w:pPr>
          </w:p>
        </w:tc>
        <w:tc>
          <w:tcPr>
            <w:tcW w:w="1891" w:type="dxa"/>
            <w:tcBorders>
              <w:top w:val="single" w:sz="4" w:space="0" w:color="auto"/>
              <w:left w:val="nil"/>
              <w:bottom w:val="single" w:sz="4" w:space="0" w:color="auto"/>
              <w:right w:val="nil"/>
            </w:tcBorders>
          </w:tcPr>
          <w:p w:rsidR="007C6951" w:rsidRDefault="007C6951" w:rsidP="006D2F6A">
            <w:pPr>
              <w:ind w:firstLine="0"/>
              <w:jc w:val="center"/>
            </w:pPr>
          </w:p>
        </w:tc>
      </w:tr>
      <w:tr w:rsidR="007C6951" w:rsidTr="007D5CA5">
        <w:tc>
          <w:tcPr>
            <w:tcW w:w="1070" w:type="dxa"/>
            <w:tcBorders>
              <w:top w:val="single" w:sz="4" w:space="0" w:color="auto"/>
            </w:tcBorders>
          </w:tcPr>
          <w:p w:rsidR="007C6951" w:rsidRDefault="007C6951" w:rsidP="006D2F6A">
            <w:pPr>
              <w:ind w:firstLine="0"/>
              <w:jc w:val="center"/>
            </w:pPr>
            <w:r>
              <w:t>1”</w:t>
            </w:r>
          </w:p>
        </w:tc>
        <w:tc>
          <w:tcPr>
            <w:tcW w:w="954" w:type="dxa"/>
            <w:tcBorders>
              <w:top w:val="single" w:sz="4" w:space="0" w:color="auto"/>
            </w:tcBorders>
          </w:tcPr>
          <w:p w:rsidR="007C6951" w:rsidRDefault="007C6951" w:rsidP="006D2F6A">
            <w:pPr>
              <w:ind w:firstLine="0"/>
              <w:jc w:val="center"/>
            </w:pPr>
            <w:r>
              <w:t>Year 1</w:t>
            </w:r>
          </w:p>
        </w:tc>
        <w:tc>
          <w:tcPr>
            <w:tcW w:w="1886" w:type="dxa"/>
            <w:tcBorders>
              <w:top w:val="single" w:sz="4" w:space="0" w:color="auto"/>
            </w:tcBorders>
          </w:tcPr>
          <w:p w:rsidR="007C6951" w:rsidRDefault="007C6951" w:rsidP="006D2F6A">
            <w:pPr>
              <w:ind w:firstLine="0"/>
              <w:jc w:val="center"/>
            </w:pPr>
            <w:r>
              <w:t>$12.82</w:t>
            </w:r>
          </w:p>
        </w:tc>
        <w:tc>
          <w:tcPr>
            <w:tcW w:w="1890" w:type="dxa"/>
            <w:tcBorders>
              <w:top w:val="single" w:sz="4" w:space="0" w:color="auto"/>
            </w:tcBorders>
          </w:tcPr>
          <w:p w:rsidR="007C6951" w:rsidRDefault="007C6951" w:rsidP="006D2F6A">
            <w:pPr>
              <w:ind w:firstLine="0"/>
              <w:jc w:val="center"/>
            </w:pPr>
            <w:r>
              <w:t>$34.50</w:t>
            </w:r>
          </w:p>
        </w:tc>
        <w:tc>
          <w:tcPr>
            <w:tcW w:w="1885" w:type="dxa"/>
            <w:tcBorders>
              <w:top w:val="single" w:sz="4" w:space="0" w:color="auto"/>
            </w:tcBorders>
          </w:tcPr>
          <w:p w:rsidR="007C6951" w:rsidRDefault="007C6951" w:rsidP="006D2F6A">
            <w:pPr>
              <w:ind w:firstLine="0"/>
              <w:jc w:val="center"/>
            </w:pPr>
            <w:r>
              <w:t>$3.20</w:t>
            </w:r>
          </w:p>
        </w:tc>
        <w:tc>
          <w:tcPr>
            <w:tcW w:w="1891" w:type="dxa"/>
            <w:tcBorders>
              <w:top w:val="single" w:sz="4" w:space="0" w:color="auto"/>
            </w:tcBorders>
          </w:tcPr>
          <w:p w:rsidR="007C6951" w:rsidRDefault="007C6951" w:rsidP="006D2F6A">
            <w:pPr>
              <w:ind w:firstLine="0"/>
              <w:jc w:val="center"/>
            </w:pPr>
            <w:r>
              <w:t>$5.20</w:t>
            </w:r>
          </w:p>
        </w:tc>
      </w:tr>
      <w:tr w:rsidR="007C6951" w:rsidTr="007D5CA5">
        <w:tc>
          <w:tcPr>
            <w:tcW w:w="1070" w:type="dxa"/>
            <w:tcBorders>
              <w:bottom w:val="single" w:sz="4" w:space="0" w:color="auto"/>
            </w:tcBorders>
          </w:tcPr>
          <w:p w:rsidR="007C6951" w:rsidRDefault="007C6951" w:rsidP="006D2F6A">
            <w:pPr>
              <w:ind w:firstLine="0"/>
              <w:jc w:val="center"/>
            </w:pPr>
          </w:p>
        </w:tc>
        <w:tc>
          <w:tcPr>
            <w:tcW w:w="954" w:type="dxa"/>
            <w:tcBorders>
              <w:bottom w:val="single" w:sz="4" w:space="0" w:color="auto"/>
            </w:tcBorders>
          </w:tcPr>
          <w:p w:rsidR="007C6951" w:rsidRDefault="000A3902" w:rsidP="006D2F6A">
            <w:pPr>
              <w:ind w:firstLine="0"/>
              <w:jc w:val="center"/>
            </w:pPr>
            <w:r>
              <w:t>Year 2</w:t>
            </w:r>
          </w:p>
        </w:tc>
        <w:tc>
          <w:tcPr>
            <w:tcW w:w="1886" w:type="dxa"/>
            <w:tcBorders>
              <w:bottom w:val="single" w:sz="4" w:space="0" w:color="auto"/>
            </w:tcBorders>
          </w:tcPr>
          <w:p w:rsidR="007C6951" w:rsidRDefault="007C6951" w:rsidP="006D2F6A">
            <w:pPr>
              <w:ind w:firstLine="0"/>
              <w:jc w:val="center"/>
            </w:pPr>
          </w:p>
        </w:tc>
        <w:tc>
          <w:tcPr>
            <w:tcW w:w="1890" w:type="dxa"/>
            <w:tcBorders>
              <w:bottom w:val="single" w:sz="4" w:space="0" w:color="auto"/>
            </w:tcBorders>
          </w:tcPr>
          <w:p w:rsidR="007C6951" w:rsidRDefault="000A3902" w:rsidP="006D2F6A">
            <w:pPr>
              <w:ind w:firstLine="0"/>
              <w:jc w:val="center"/>
            </w:pPr>
            <w:r>
              <w:t>$38.00</w:t>
            </w:r>
          </w:p>
        </w:tc>
        <w:tc>
          <w:tcPr>
            <w:tcW w:w="1885" w:type="dxa"/>
            <w:tcBorders>
              <w:bottom w:val="single" w:sz="4" w:space="0" w:color="auto"/>
            </w:tcBorders>
          </w:tcPr>
          <w:p w:rsidR="007C6951" w:rsidRDefault="007C6951" w:rsidP="006D2F6A">
            <w:pPr>
              <w:ind w:firstLine="0"/>
              <w:jc w:val="center"/>
            </w:pPr>
          </w:p>
        </w:tc>
        <w:tc>
          <w:tcPr>
            <w:tcW w:w="1891" w:type="dxa"/>
            <w:tcBorders>
              <w:bottom w:val="single" w:sz="4" w:space="0" w:color="auto"/>
            </w:tcBorders>
          </w:tcPr>
          <w:p w:rsidR="007C6951" w:rsidRDefault="000A3902" w:rsidP="006D2F6A">
            <w:pPr>
              <w:ind w:firstLine="0"/>
              <w:jc w:val="center"/>
            </w:pPr>
            <w:r>
              <w:t>$5.77</w:t>
            </w:r>
          </w:p>
        </w:tc>
      </w:tr>
      <w:tr w:rsidR="000A3902" w:rsidTr="007D5CA5">
        <w:tc>
          <w:tcPr>
            <w:tcW w:w="1070" w:type="dxa"/>
            <w:tcBorders>
              <w:top w:val="single" w:sz="4" w:space="0" w:color="auto"/>
              <w:left w:val="nil"/>
              <w:bottom w:val="single" w:sz="4" w:space="0" w:color="auto"/>
              <w:right w:val="nil"/>
            </w:tcBorders>
          </w:tcPr>
          <w:p w:rsidR="000A3902" w:rsidRDefault="000A3902" w:rsidP="006D2F6A">
            <w:pPr>
              <w:ind w:firstLine="0"/>
              <w:jc w:val="center"/>
            </w:pPr>
          </w:p>
        </w:tc>
        <w:tc>
          <w:tcPr>
            <w:tcW w:w="954" w:type="dxa"/>
            <w:tcBorders>
              <w:top w:val="single" w:sz="4" w:space="0" w:color="auto"/>
              <w:left w:val="nil"/>
              <w:bottom w:val="single" w:sz="4" w:space="0" w:color="auto"/>
              <w:right w:val="nil"/>
            </w:tcBorders>
          </w:tcPr>
          <w:p w:rsidR="000A3902" w:rsidRDefault="000A3902" w:rsidP="006D2F6A">
            <w:pPr>
              <w:ind w:firstLine="0"/>
              <w:jc w:val="center"/>
            </w:pPr>
          </w:p>
        </w:tc>
        <w:tc>
          <w:tcPr>
            <w:tcW w:w="1886" w:type="dxa"/>
            <w:tcBorders>
              <w:top w:val="single" w:sz="4" w:space="0" w:color="auto"/>
              <w:left w:val="nil"/>
              <w:bottom w:val="single" w:sz="4" w:space="0" w:color="auto"/>
              <w:right w:val="nil"/>
            </w:tcBorders>
          </w:tcPr>
          <w:p w:rsidR="000A3902" w:rsidRDefault="000A3902" w:rsidP="006D2F6A">
            <w:pPr>
              <w:ind w:firstLine="0"/>
              <w:jc w:val="center"/>
            </w:pPr>
          </w:p>
        </w:tc>
        <w:tc>
          <w:tcPr>
            <w:tcW w:w="1890" w:type="dxa"/>
            <w:tcBorders>
              <w:top w:val="single" w:sz="4" w:space="0" w:color="auto"/>
              <w:left w:val="nil"/>
              <w:bottom w:val="single" w:sz="4" w:space="0" w:color="auto"/>
              <w:right w:val="nil"/>
            </w:tcBorders>
          </w:tcPr>
          <w:p w:rsidR="000A3902" w:rsidRDefault="000A3902" w:rsidP="006D2F6A">
            <w:pPr>
              <w:ind w:firstLine="0"/>
              <w:jc w:val="center"/>
            </w:pPr>
          </w:p>
        </w:tc>
        <w:tc>
          <w:tcPr>
            <w:tcW w:w="1885" w:type="dxa"/>
            <w:tcBorders>
              <w:top w:val="single" w:sz="4" w:space="0" w:color="auto"/>
              <w:left w:val="nil"/>
              <w:bottom w:val="single" w:sz="4" w:space="0" w:color="auto"/>
              <w:right w:val="nil"/>
            </w:tcBorders>
          </w:tcPr>
          <w:p w:rsidR="000A3902" w:rsidRDefault="000A3902" w:rsidP="006D2F6A">
            <w:pPr>
              <w:ind w:firstLine="0"/>
              <w:jc w:val="center"/>
            </w:pPr>
          </w:p>
        </w:tc>
        <w:tc>
          <w:tcPr>
            <w:tcW w:w="1891" w:type="dxa"/>
            <w:tcBorders>
              <w:top w:val="single" w:sz="4" w:space="0" w:color="auto"/>
              <w:left w:val="nil"/>
              <w:bottom w:val="single" w:sz="4" w:space="0" w:color="auto"/>
              <w:right w:val="nil"/>
            </w:tcBorders>
          </w:tcPr>
          <w:p w:rsidR="000A3902" w:rsidRDefault="000A3902" w:rsidP="006D2F6A">
            <w:pPr>
              <w:ind w:firstLine="0"/>
              <w:jc w:val="center"/>
            </w:pPr>
          </w:p>
        </w:tc>
      </w:tr>
      <w:tr w:rsidR="000A3902" w:rsidTr="007D5CA5">
        <w:tc>
          <w:tcPr>
            <w:tcW w:w="1070" w:type="dxa"/>
            <w:tcBorders>
              <w:top w:val="single" w:sz="4" w:space="0" w:color="auto"/>
            </w:tcBorders>
          </w:tcPr>
          <w:p w:rsidR="000A3902" w:rsidRDefault="000A3902" w:rsidP="006D2F6A">
            <w:pPr>
              <w:ind w:firstLine="0"/>
              <w:jc w:val="center"/>
            </w:pPr>
            <w:r>
              <w:t>1 ½”</w:t>
            </w:r>
          </w:p>
        </w:tc>
        <w:tc>
          <w:tcPr>
            <w:tcW w:w="954" w:type="dxa"/>
            <w:tcBorders>
              <w:top w:val="single" w:sz="4" w:space="0" w:color="auto"/>
            </w:tcBorders>
          </w:tcPr>
          <w:p w:rsidR="000A3902" w:rsidRDefault="000A3902" w:rsidP="006D2F6A">
            <w:pPr>
              <w:ind w:firstLine="0"/>
              <w:jc w:val="center"/>
            </w:pPr>
            <w:r>
              <w:t>Year 1</w:t>
            </w:r>
          </w:p>
        </w:tc>
        <w:tc>
          <w:tcPr>
            <w:tcW w:w="1886" w:type="dxa"/>
            <w:tcBorders>
              <w:top w:val="single" w:sz="4" w:space="0" w:color="auto"/>
            </w:tcBorders>
          </w:tcPr>
          <w:p w:rsidR="000A3902" w:rsidRDefault="000A3902" w:rsidP="006D2F6A">
            <w:pPr>
              <w:ind w:firstLine="0"/>
              <w:jc w:val="center"/>
            </w:pPr>
            <w:r>
              <w:t>$28.94</w:t>
            </w:r>
          </w:p>
        </w:tc>
        <w:tc>
          <w:tcPr>
            <w:tcW w:w="1890" w:type="dxa"/>
            <w:tcBorders>
              <w:top w:val="single" w:sz="4" w:space="0" w:color="auto"/>
            </w:tcBorders>
          </w:tcPr>
          <w:p w:rsidR="000A3902" w:rsidRDefault="000A3902" w:rsidP="006D2F6A">
            <w:pPr>
              <w:ind w:firstLine="0"/>
              <w:jc w:val="center"/>
            </w:pPr>
            <w:r>
              <w:t>$80.25</w:t>
            </w:r>
          </w:p>
        </w:tc>
        <w:tc>
          <w:tcPr>
            <w:tcW w:w="1885" w:type="dxa"/>
            <w:tcBorders>
              <w:top w:val="single" w:sz="4" w:space="0" w:color="auto"/>
            </w:tcBorders>
          </w:tcPr>
          <w:p w:rsidR="000A3902" w:rsidRDefault="000A3902" w:rsidP="006D2F6A">
            <w:pPr>
              <w:ind w:firstLine="0"/>
              <w:jc w:val="center"/>
            </w:pPr>
            <w:r>
              <w:t>$3.20</w:t>
            </w:r>
          </w:p>
        </w:tc>
        <w:tc>
          <w:tcPr>
            <w:tcW w:w="1891" w:type="dxa"/>
            <w:tcBorders>
              <w:top w:val="single" w:sz="4" w:space="0" w:color="auto"/>
            </w:tcBorders>
          </w:tcPr>
          <w:p w:rsidR="000A3902" w:rsidRDefault="000A3902" w:rsidP="006D2F6A">
            <w:pPr>
              <w:ind w:firstLine="0"/>
              <w:jc w:val="center"/>
            </w:pPr>
            <w:r>
              <w:t>$5.20</w:t>
            </w:r>
          </w:p>
        </w:tc>
      </w:tr>
      <w:tr w:rsidR="000A3902" w:rsidTr="007D5CA5">
        <w:tc>
          <w:tcPr>
            <w:tcW w:w="1070" w:type="dxa"/>
            <w:tcBorders>
              <w:bottom w:val="single" w:sz="4" w:space="0" w:color="auto"/>
            </w:tcBorders>
          </w:tcPr>
          <w:p w:rsidR="000A3902" w:rsidRDefault="000A3902" w:rsidP="006D2F6A">
            <w:pPr>
              <w:ind w:firstLine="0"/>
              <w:jc w:val="center"/>
            </w:pPr>
          </w:p>
        </w:tc>
        <w:tc>
          <w:tcPr>
            <w:tcW w:w="954" w:type="dxa"/>
            <w:tcBorders>
              <w:bottom w:val="single" w:sz="4" w:space="0" w:color="auto"/>
            </w:tcBorders>
          </w:tcPr>
          <w:p w:rsidR="000A3902" w:rsidRDefault="000A3902" w:rsidP="006D2F6A">
            <w:pPr>
              <w:ind w:firstLine="0"/>
              <w:jc w:val="center"/>
            </w:pPr>
            <w:r>
              <w:t>Year 2</w:t>
            </w:r>
          </w:p>
        </w:tc>
        <w:tc>
          <w:tcPr>
            <w:tcW w:w="1886" w:type="dxa"/>
            <w:tcBorders>
              <w:bottom w:val="single" w:sz="4" w:space="0" w:color="auto"/>
            </w:tcBorders>
          </w:tcPr>
          <w:p w:rsidR="000A3902" w:rsidRDefault="000A3902" w:rsidP="006D2F6A">
            <w:pPr>
              <w:ind w:firstLine="0"/>
              <w:jc w:val="center"/>
            </w:pPr>
          </w:p>
        </w:tc>
        <w:tc>
          <w:tcPr>
            <w:tcW w:w="1890" w:type="dxa"/>
            <w:tcBorders>
              <w:bottom w:val="single" w:sz="4" w:space="0" w:color="auto"/>
            </w:tcBorders>
          </w:tcPr>
          <w:p w:rsidR="000A3902" w:rsidRDefault="000A3902" w:rsidP="006D2F6A">
            <w:pPr>
              <w:ind w:firstLine="0"/>
              <w:jc w:val="center"/>
            </w:pPr>
            <w:r>
              <w:t>$89.00</w:t>
            </w:r>
          </w:p>
        </w:tc>
        <w:tc>
          <w:tcPr>
            <w:tcW w:w="1885" w:type="dxa"/>
            <w:tcBorders>
              <w:bottom w:val="single" w:sz="4" w:space="0" w:color="auto"/>
            </w:tcBorders>
          </w:tcPr>
          <w:p w:rsidR="000A3902" w:rsidRDefault="000A3902" w:rsidP="006D2F6A">
            <w:pPr>
              <w:ind w:firstLine="0"/>
              <w:jc w:val="center"/>
            </w:pPr>
          </w:p>
        </w:tc>
        <w:tc>
          <w:tcPr>
            <w:tcW w:w="1891" w:type="dxa"/>
            <w:tcBorders>
              <w:bottom w:val="single" w:sz="4" w:space="0" w:color="auto"/>
            </w:tcBorders>
          </w:tcPr>
          <w:p w:rsidR="000A3902" w:rsidRDefault="000A3902" w:rsidP="006D2F6A">
            <w:pPr>
              <w:ind w:firstLine="0"/>
              <w:jc w:val="center"/>
            </w:pPr>
            <w:r>
              <w:t>$5.77</w:t>
            </w:r>
          </w:p>
        </w:tc>
      </w:tr>
      <w:tr w:rsidR="00A945D7" w:rsidTr="007D5CA5">
        <w:tc>
          <w:tcPr>
            <w:tcW w:w="1070" w:type="dxa"/>
            <w:tcBorders>
              <w:top w:val="single" w:sz="4" w:space="0" w:color="auto"/>
              <w:left w:val="nil"/>
              <w:bottom w:val="single" w:sz="4" w:space="0" w:color="auto"/>
              <w:right w:val="nil"/>
            </w:tcBorders>
          </w:tcPr>
          <w:p w:rsidR="00A945D7" w:rsidRDefault="00A945D7" w:rsidP="006D2F6A">
            <w:pPr>
              <w:ind w:firstLine="0"/>
              <w:jc w:val="center"/>
            </w:pPr>
          </w:p>
        </w:tc>
        <w:tc>
          <w:tcPr>
            <w:tcW w:w="954" w:type="dxa"/>
            <w:tcBorders>
              <w:top w:val="single" w:sz="4" w:space="0" w:color="auto"/>
              <w:left w:val="nil"/>
              <w:bottom w:val="single" w:sz="4" w:space="0" w:color="auto"/>
              <w:right w:val="nil"/>
            </w:tcBorders>
          </w:tcPr>
          <w:p w:rsidR="00A945D7" w:rsidRDefault="00A945D7" w:rsidP="006D2F6A">
            <w:pPr>
              <w:ind w:firstLine="0"/>
              <w:jc w:val="center"/>
            </w:pPr>
          </w:p>
        </w:tc>
        <w:tc>
          <w:tcPr>
            <w:tcW w:w="1886" w:type="dxa"/>
            <w:tcBorders>
              <w:top w:val="single" w:sz="4" w:space="0" w:color="auto"/>
              <w:left w:val="nil"/>
              <w:bottom w:val="single" w:sz="4" w:space="0" w:color="auto"/>
              <w:right w:val="nil"/>
            </w:tcBorders>
          </w:tcPr>
          <w:p w:rsidR="00A945D7" w:rsidRDefault="00A945D7" w:rsidP="006D2F6A">
            <w:pPr>
              <w:ind w:firstLine="0"/>
              <w:jc w:val="center"/>
            </w:pPr>
          </w:p>
        </w:tc>
        <w:tc>
          <w:tcPr>
            <w:tcW w:w="1890" w:type="dxa"/>
            <w:tcBorders>
              <w:top w:val="single" w:sz="4" w:space="0" w:color="auto"/>
              <w:left w:val="nil"/>
              <w:bottom w:val="single" w:sz="4" w:space="0" w:color="auto"/>
              <w:right w:val="nil"/>
            </w:tcBorders>
          </w:tcPr>
          <w:p w:rsidR="00A945D7" w:rsidRDefault="00A945D7" w:rsidP="006D2F6A">
            <w:pPr>
              <w:ind w:firstLine="0"/>
              <w:jc w:val="center"/>
            </w:pPr>
          </w:p>
        </w:tc>
        <w:tc>
          <w:tcPr>
            <w:tcW w:w="1885" w:type="dxa"/>
            <w:tcBorders>
              <w:top w:val="single" w:sz="4" w:space="0" w:color="auto"/>
              <w:left w:val="nil"/>
              <w:bottom w:val="single" w:sz="4" w:space="0" w:color="auto"/>
              <w:right w:val="nil"/>
            </w:tcBorders>
          </w:tcPr>
          <w:p w:rsidR="00A945D7" w:rsidRDefault="00A945D7" w:rsidP="006D2F6A">
            <w:pPr>
              <w:ind w:firstLine="0"/>
              <w:jc w:val="center"/>
            </w:pPr>
          </w:p>
        </w:tc>
        <w:tc>
          <w:tcPr>
            <w:tcW w:w="1891" w:type="dxa"/>
            <w:tcBorders>
              <w:top w:val="single" w:sz="4" w:space="0" w:color="auto"/>
              <w:left w:val="nil"/>
              <w:bottom w:val="single" w:sz="4" w:space="0" w:color="auto"/>
              <w:right w:val="nil"/>
            </w:tcBorders>
          </w:tcPr>
          <w:p w:rsidR="00A945D7" w:rsidRDefault="00A945D7" w:rsidP="006D2F6A">
            <w:pPr>
              <w:ind w:firstLine="0"/>
              <w:jc w:val="center"/>
            </w:pPr>
          </w:p>
        </w:tc>
      </w:tr>
      <w:tr w:rsidR="000A3902" w:rsidTr="007D5CA5">
        <w:tc>
          <w:tcPr>
            <w:tcW w:w="1070" w:type="dxa"/>
            <w:tcBorders>
              <w:top w:val="single" w:sz="4" w:space="0" w:color="auto"/>
            </w:tcBorders>
          </w:tcPr>
          <w:p w:rsidR="000A3902" w:rsidRDefault="00A945D7" w:rsidP="006D2F6A">
            <w:pPr>
              <w:ind w:firstLine="0"/>
              <w:jc w:val="center"/>
            </w:pPr>
            <w:r>
              <w:t>2”</w:t>
            </w:r>
          </w:p>
        </w:tc>
        <w:tc>
          <w:tcPr>
            <w:tcW w:w="954" w:type="dxa"/>
            <w:tcBorders>
              <w:top w:val="single" w:sz="4" w:space="0" w:color="auto"/>
            </w:tcBorders>
          </w:tcPr>
          <w:p w:rsidR="000A3902" w:rsidRDefault="00A945D7" w:rsidP="006D2F6A">
            <w:pPr>
              <w:ind w:firstLine="0"/>
              <w:jc w:val="center"/>
            </w:pPr>
            <w:r>
              <w:t>Year 1</w:t>
            </w:r>
          </w:p>
        </w:tc>
        <w:tc>
          <w:tcPr>
            <w:tcW w:w="1886" w:type="dxa"/>
            <w:tcBorders>
              <w:top w:val="single" w:sz="4" w:space="0" w:color="auto"/>
            </w:tcBorders>
          </w:tcPr>
          <w:p w:rsidR="000A3902" w:rsidRDefault="00A945D7" w:rsidP="006D2F6A">
            <w:pPr>
              <w:ind w:firstLine="0"/>
              <w:jc w:val="center"/>
            </w:pPr>
            <w:r>
              <w:t>$51.34</w:t>
            </w:r>
          </w:p>
        </w:tc>
        <w:tc>
          <w:tcPr>
            <w:tcW w:w="1890" w:type="dxa"/>
            <w:tcBorders>
              <w:top w:val="single" w:sz="4" w:space="0" w:color="auto"/>
            </w:tcBorders>
          </w:tcPr>
          <w:p w:rsidR="000A3902" w:rsidRDefault="00A945D7" w:rsidP="006D2F6A">
            <w:pPr>
              <w:ind w:firstLine="0"/>
              <w:jc w:val="center"/>
            </w:pPr>
            <w:r>
              <w:t>$148.50</w:t>
            </w:r>
          </w:p>
        </w:tc>
        <w:tc>
          <w:tcPr>
            <w:tcW w:w="1885" w:type="dxa"/>
            <w:tcBorders>
              <w:top w:val="single" w:sz="4" w:space="0" w:color="auto"/>
            </w:tcBorders>
          </w:tcPr>
          <w:p w:rsidR="000A3902" w:rsidRDefault="00A945D7" w:rsidP="00A945D7">
            <w:pPr>
              <w:ind w:firstLine="0"/>
              <w:jc w:val="center"/>
            </w:pPr>
            <w:r>
              <w:t>$3.20</w:t>
            </w:r>
          </w:p>
        </w:tc>
        <w:tc>
          <w:tcPr>
            <w:tcW w:w="1891" w:type="dxa"/>
            <w:tcBorders>
              <w:top w:val="single" w:sz="4" w:space="0" w:color="auto"/>
            </w:tcBorders>
          </w:tcPr>
          <w:p w:rsidR="000A3902" w:rsidRDefault="00A945D7" w:rsidP="006D2F6A">
            <w:pPr>
              <w:ind w:firstLine="0"/>
              <w:jc w:val="center"/>
            </w:pPr>
            <w:r>
              <w:t>$5.20</w:t>
            </w:r>
          </w:p>
        </w:tc>
      </w:tr>
      <w:tr w:rsidR="00A945D7" w:rsidTr="007D5CA5">
        <w:tc>
          <w:tcPr>
            <w:tcW w:w="1070" w:type="dxa"/>
            <w:tcBorders>
              <w:bottom w:val="single" w:sz="4" w:space="0" w:color="auto"/>
            </w:tcBorders>
          </w:tcPr>
          <w:p w:rsidR="00A945D7" w:rsidRDefault="00A945D7" w:rsidP="006D2F6A">
            <w:pPr>
              <w:ind w:firstLine="0"/>
              <w:jc w:val="center"/>
            </w:pPr>
          </w:p>
        </w:tc>
        <w:tc>
          <w:tcPr>
            <w:tcW w:w="954" w:type="dxa"/>
            <w:tcBorders>
              <w:bottom w:val="single" w:sz="4" w:space="0" w:color="auto"/>
            </w:tcBorders>
          </w:tcPr>
          <w:p w:rsidR="00A945D7" w:rsidRDefault="00A945D7" w:rsidP="006D2F6A">
            <w:pPr>
              <w:ind w:firstLine="0"/>
              <w:jc w:val="center"/>
            </w:pPr>
            <w:r>
              <w:t>Year 2</w:t>
            </w:r>
          </w:p>
        </w:tc>
        <w:tc>
          <w:tcPr>
            <w:tcW w:w="1886" w:type="dxa"/>
            <w:tcBorders>
              <w:bottom w:val="single" w:sz="4" w:space="0" w:color="auto"/>
            </w:tcBorders>
          </w:tcPr>
          <w:p w:rsidR="00A945D7" w:rsidRDefault="00A945D7" w:rsidP="006D2F6A">
            <w:pPr>
              <w:ind w:firstLine="0"/>
              <w:jc w:val="center"/>
            </w:pPr>
          </w:p>
        </w:tc>
        <w:tc>
          <w:tcPr>
            <w:tcW w:w="1890" w:type="dxa"/>
            <w:tcBorders>
              <w:bottom w:val="single" w:sz="4" w:space="0" w:color="auto"/>
            </w:tcBorders>
          </w:tcPr>
          <w:p w:rsidR="00A945D7" w:rsidRDefault="00A945D7" w:rsidP="006D2F6A">
            <w:pPr>
              <w:ind w:firstLine="0"/>
              <w:jc w:val="center"/>
            </w:pPr>
            <w:r>
              <w:t>$165.00</w:t>
            </w:r>
          </w:p>
        </w:tc>
        <w:tc>
          <w:tcPr>
            <w:tcW w:w="1885" w:type="dxa"/>
            <w:tcBorders>
              <w:bottom w:val="single" w:sz="4" w:space="0" w:color="auto"/>
            </w:tcBorders>
          </w:tcPr>
          <w:p w:rsidR="00A945D7" w:rsidRDefault="00A945D7" w:rsidP="006D2F6A">
            <w:pPr>
              <w:ind w:firstLine="0"/>
              <w:jc w:val="center"/>
            </w:pPr>
          </w:p>
        </w:tc>
        <w:tc>
          <w:tcPr>
            <w:tcW w:w="1891" w:type="dxa"/>
            <w:tcBorders>
              <w:bottom w:val="single" w:sz="4" w:space="0" w:color="auto"/>
            </w:tcBorders>
          </w:tcPr>
          <w:p w:rsidR="00A945D7" w:rsidRDefault="00A945D7" w:rsidP="006D2F6A">
            <w:pPr>
              <w:ind w:firstLine="0"/>
              <w:jc w:val="center"/>
            </w:pPr>
            <w:r>
              <w:t>$5.77</w:t>
            </w:r>
          </w:p>
        </w:tc>
      </w:tr>
      <w:tr w:rsidR="00A945D7" w:rsidTr="007D5CA5">
        <w:tc>
          <w:tcPr>
            <w:tcW w:w="1070" w:type="dxa"/>
            <w:tcBorders>
              <w:top w:val="single" w:sz="4" w:space="0" w:color="auto"/>
              <w:left w:val="nil"/>
              <w:bottom w:val="single" w:sz="4" w:space="0" w:color="auto"/>
              <w:right w:val="nil"/>
            </w:tcBorders>
          </w:tcPr>
          <w:p w:rsidR="00A945D7" w:rsidRDefault="00A945D7" w:rsidP="006D2F6A">
            <w:pPr>
              <w:ind w:firstLine="0"/>
              <w:jc w:val="center"/>
            </w:pPr>
          </w:p>
        </w:tc>
        <w:tc>
          <w:tcPr>
            <w:tcW w:w="954" w:type="dxa"/>
            <w:tcBorders>
              <w:top w:val="single" w:sz="4" w:space="0" w:color="auto"/>
              <w:left w:val="nil"/>
              <w:bottom w:val="single" w:sz="4" w:space="0" w:color="auto"/>
              <w:right w:val="nil"/>
            </w:tcBorders>
          </w:tcPr>
          <w:p w:rsidR="00A945D7" w:rsidRDefault="00A945D7" w:rsidP="006D2F6A">
            <w:pPr>
              <w:ind w:firstLine="0"/>
              <w:jc w:val="center"/>
            </w:pPr>
          </w:p>
        </w:tc>
        <w:tc>
          <w:tcPr>
            <w:tcW w:w="1886" w:type="dxa"/>
            <w:tcBorders>
              <w:top w:val="single" w:sz="4" w:space="0" w:color="auto"/>
              <w:left w:val="nil"/>
              <w:bottom w:val="single" w:sz="4" w:space="0" w:color="auto"/>
              <w:right w:val="nil"/>
            </w:tcBorders>
          </w:tcPr>
          <w:p w:rsidR="00A945D7" w:rsidRDefault="00A945D7" w:rsidP="006D2F6A">
            <w:pPr>
              <w:ind w:firstLine="0"/>
              <w:jc w:val="center"/>
            </w:pPr>
          </w:p>
        </w:tc>
        <w:tc>
          <w:tcPr>
            <w:tcW w:w="1890" w:type="dxa"/>
            <w:tcBorders>
              <w:top w:val="single" w:sz="4" w:space="0" w:color="auto"/>
              <w:left w:val="nil"/>
              <w:bottom w:val="single" w:sz="4" w:space="0" w:color="auto"/>
              <w:right w:val="nil"/>
            </w:tcBorders>
          </w:tcPr>
          <w:p w:rsidR="00A945D7" w:rsidRDefault="00A945D7" w:rsidP="006D2F6A">
            <w:pPr>
              <w:ind w:firstLine="0"/>
              <w:jc w:val="center"/>
            </w:pPr>
          </w:p>
        </w:tc>
        <w:tc>
          <w:tcPr>
            <w:tcW w:w="1885" w:type="dxa"/>
            <w:tcBorders>
              <w:top w:val="single" w:sz="4" w:space="0" w:color="auto"/>
              <w:left w:val="nil"/>
              <w:bottom w:val="single" w:sz="4" w:space="0" w:color="auto"/>
              <w:right w:val="nil"/>
            </w:tcBorders>
          </w:tcPr>
          <w:p w:rsidR="00A945D7" w:rsidRDefault="00A945D7" w:rsidP="006D2F6A">
            <w:pPr>
              <w:ind w:firstLine="0"/>
              <w:jc w:val="center"/>
            </w:pPr>
          </w:p>
        </w:tc>
        <w:tc>
          <w:tcPr>
            <w:tcW w:w="1891" w:type="dxa"/>
            <w:tcBorders>
              <w:top w:val="single" w:sz="4" w:space="0" w:color="auto"/>
              <w:left w:val="nil"/>
              <w:bottom w:val="single" w:sz="4" w:space="0" w:color="auto"/>
              <w:right w:val="nil"/>
            </w:tcBorders>
          </w:tcPr>
          <w:p w:rsidR="00A945D7" w:rsidRDefault="00A945D7" w:rsidP="006D2F6A">
            <w:pPr>
              <w:ind w:firstLine="0"/>
              <w:jc w:val="center"/>
            </w:pPr>
          </w:p>
        </w:tc>
      </w:tr>
      <w:tr w:rsidR="00A945D7" w:rsidTr="007D5CA5">
        <w:tc>
          <w:tcPr>
            <w:tcW w:w="1070" w:type="dxa"/>
            <w:tcBorders>
              <w:top w:val="single" w:sz="4" w:space="0" w:color="auto"/>
            </w:tcBorders>
          </w:tcPr>
          <w:p w:rsidR="00A945D7" w:rsidRDefault="00A945D7" w:rsidP="006D2F6A">
            <w:pPr>
              <w:ind w:firstLine="0"/>
              <w:jc w:val="center"/>
            </w:pPr>
            <w:r>
              <w:t>3”</w:t>
            </w:r>
          </w:p>
        </w:tc>
        <w:tc>
          <w:tcPr>
            <w:tcW w:w="954" w:type="dxa"/>
            <w:tcBorders>
              <w:top w:val="single" w:sz="4" w:space="0" w:color="auto"/>
            </w:tcBorders>
          </w:tcPr>
          <w:p w:rsidR="00A945D7" w:rsidRDefault="00A945D7" w:rsidP="006D2F6A">
            <w:pPr>
              <w:ind w:firstLine="0"/>
              <w:jc w:val="center"/>
            </w:pPr>
            <w:r>
              <w:t>Year 1</w:t>
            </w:r>
          </w:p>
        </w:tc>
        <w:tc>
          <w:tcPr>
            <w:tcW w:w="1886" w:type="dxa"/>
            <w:tcBorders>
              <w:top w:val="single" w:sz="4" w:space="0" w:color="auto"/>
            </w:tcBorders>
          </w:tcPr>
          <w:p w:rsidR="00A945D7" w:rsidRDefault="00703182" w:rsidP="006D2F6A">
            <w:pPr>
              <w:ind w:firstLine="0"/>
              <w:jc w:val="center"/>
            </w:pPr>
            <w:r>
              <w:t>$115.00</w:t>
            </w:r>
          </w:p>
        </w:tc>
        <w:tc>
          <w:tcPr>
            <w:tcW w:w="1890" w:type="dxa"/>
            <w:tcBorders>
              <w:top w:val="single" w:sz="4" w:space="0" w:color="auto"/>
            </w:tcBorders>
          </w:tcPr>
          <w:p w:rsidR="00A945D7" w:rsidRDefault="00703182" w:rsidP="006D2F6A">
            <w:pPr>
              <w:ind w:firstLine="0"/>
              <w:jc w:val="center"/>
            </w:pPr>
            <w:r>
              <w:t>$327.50</w:t>
            </w:r>
          </w:p>
        </w:tc>
        <w:tc>
          <w:tcPr>
            <w:tcW w:w="1885" w:type="dxa"/>
            <w:tcBorders>
              <w:top w:val="single" w:sz="4" w:space="0" w:color="auto"/>
            </w:tcBorders>
          </w:tcPr>
          <w:p w:rsidR="00A945D7" w:rsidRDefault="00703182" w:rsidP="006D2F6A">
            <w:pPr>
              <w:ind w:firstLine="0"/>
              <w:jc w:val="center"/>
            </w:pPr>
            <w:r>
              <w:t>$3.20</w:t>
            </w:r>
          </w:p>
        </w:tc>
        <w:tc>
          <w:tcPr>
            <w:tcW w:w="1891" w:type="dxa"/>
            <w:tcBorders>
              <w:top w:val="single" w:sz="4" w:space="0" w:color="auto"/>
            </w:tcBorders>
          </w:tcPr>
          <w:p w:rsidR="00A945D7" w:rsidRDefault="00703182" w:rsidP="006D2F6A">
            <w:pPr>
              <w:ind w:firstLine="0"/>
              <w:jc w:val="center"/>
            </w:pPr>
            <w:r>
              <w:t>$5.20</w:t>
            </w:r>
          </w:p>
        </w:tc>
      </w:tr>
      <w:tr w:rsidR="00A945D7" w:rsidTr="007D5CA5">
        <w:tc>
          <w:tcPr>
            <w:tcW w:w="1070" w:type="dxa"/>
            <w:tcBorders>
              <w:bottom w:val="single" w:sz="4" w:space="0" w:color="auto"/>
            </w:tcBorders>
          </w:tcPr>
          <w:p w:rsidR="00A945D7" w:rsidRDefault="00A945D7" w:rsidP="006D2F6A">
            <w:pPr>
              <w:ind w:firstLine="0"/>
              <w:jc w:val="center"/>
            </w:pPr>
          </w:p>
        </w:tc>
        <w:tc>
          <w:tcPr>
            <w:tcW w:w="954" w:type="dxa"/>
            <w:tcBorders>
              <w:bottom w:val="single" w:sz="4" w:space="0" w:color="auto"/>
            </w:tcBorders>
          </w:tcPr>
          <w:p w:rsidR="00A945D7" w:rsidRDefault="00A945D7" w:rsidP="006D2F6A">
            <w:pPr>
              <w:ind w:firstLine="0"/>
              <w:jc w:val="center"/>
            </w:pPr>
            <w:r>
              <w:t>Year2</w:t>
            </w:r>
          </w:p>
        </w:tc>
        <w:tc>
          <w:tcPr>
            <w:tcW w:w="1886" w:type="dxa"/>
            <w:tcBorders>
              <w:bottom w:val="single" w:sz="4" w:space="0" w:color="auto"/>
            </w:tcBorders>
          </w:tcPr>
          <w:p w:rsidR="00A945D7" w:rsidRDefault="00A945D7" w:rsidP="006D2F6A">
            <w:pPr>
              <w:ind w:firstLine="0"/>
              <w:jc w:val="center"/>
            </w:pPr>
          </w:p>
        </w:tc>
        <w:tc>
          <w:tcPr>
            <w:tcW w:w="1890" w:type="dxa"/>
            <w:tcBorders>
              <w:bottom w:val="single" w:sz="4" w:space="0" w:color="auto"/>
            </w:tcBorders>
          </w:tcPr>
          <w:p w:rsidR="00A945D7" w:rsidRDefault="00703182" w:rsidP="006D2F6A">
            <w:pPr>
              <w:ind w:firstLine="0"/>
              <w:jc w:val="center"/>
            </w:pPr>
            <w:r>
              <w:t>$364.00</w:t>
            </w:r>
          </w:p>
        </w:tc>
        <w:tc>
          <w:tcPr>
            <w:tcW w:w="1885" w:type="dxa"/>
            <w:tcBorders>
              <w:bottom w:val="single" w:sz="4" w:space="0" w:color="auto"/>
            </w:tcBorders>
          </w:tcPr>
          <w:p w:rsidR="00A945D7" w:rsidRDefault="00A945D7" w:rsidP="006D2F6A">
            <w:pPr>
              <w:ind w:firstLine="0"/>
              <w:jc w:val="center"/>
            </w:pPr>
          </w:p>
        </w:tc>
        <w:tc>
          <w:tcPr>
            <w:tcW w:w="1891" w:type="dxa"/>
            <w:tcBorders>
              <w:bottom w:val="single" w:sz="4" w:space="0" w:color="auto"/>
            </w:tcBorders>
          </w:tcPr>
          <w:p w:rsidR="00A945D7" w:rsidRDefault="00703182" w:rsidP="006D2F6A">
            <w:pPr>
              <w:ind w:firstLine="0"/>
              <w:jc w:val="center"/>
            </w:pPr>
            <w:r>
              <w:t>$5.77</w:t>
            </w:r>
          </w:p>
        </w:tc>
      </w:tr>
      <w:tr w:rsidR="00703182" w:rsidTr="007D5CA5">
        <w:tc>
          <w:tcPr>
            <w:tcW w:w="1070" w:type="dxa"/>
            <w:tcBorders>
              <w:top w:val="single" w:sz="4" w:space="0" w:color="auto"/>
              <w:left w:val="nil"/>
              <w:bottom w:val="single" w:sz="4" w:space="0" w:color="auto"/>
              <w:right w:val="nil"/>
            </w:tcBorders>
          </w:tcPr>
          <w:p w:rsidR="00703182" w:rsidRDefault="00703182" w:rsidP="006D2F6A">
            <w:pPr>
              <w:ind w:firstLine="0"/>
              <w:jc w:val="center"/>
            </w:pPr>
          </w:p>
        </w:tc>
        <w:tc>
          <w:tcPr>
            <w:tcW w:w="954" w:type="dxa"/>
            <w:tcBorders>
              <w:top w:val="single" w:sz="4" w:space="0" w:color="auto"/>
              <w:left w:val="nil"/>
              <w:bottom w:val="single" w:sz="4" w:space="0" w:color="auto"/>
              <w:right w:val="nil"/>
            </w:tcBorders>
          </w:tcPr>
          <w:p w:rsidR="00703182" w:rsidRDefault="00703182" w:rsidP="006D2F6A">
            <w:pPr>
              <w:ind w:firstLine="0"/>
              <w:jc w:val="center"/>
            </w:pPr>
          </w:p>
        </w:tc>
        <w:tc>
          <w:tcPr>
            <w:tcW w:w="1886" w:type="dxa"/>
            <w:tcBorders>
              <w:top w:val="single" w:sz="4" w:space="0" w:color="auto"/>
              <w:left w:val="nil"/>
              <w:bottom w:val="single" w:sz="4" w:space="0" w:color="auto"/>
              <w:right w:val="nil"/>
            </w:tcBorders>
          </w:tcPr>
          <w:p w:rsidR="00703182" w:rsidRDefault="00703182" w:rsidP="006D2F6A">
            <w:pPr>
              <w:ind w:firstLine="0"/>
              <w:jc w:val="center"/>
            </w:pPr>
          </w:p>
        </w:tc>
        <w:tc>
          <w:tcPr>
            <w:tcW w:w="1890" w:type="dxa"/>
            <w:tcBorders>
              <w:top w:val="single" w:sz="4" w:space="0" w:color="auto"/>
              <w:left w:val="nil"/>
              <w:bottom w:val="single" w:sz="4" w:space="0" w:color="auto"/>
              <w:right w:val="nil"/>
            </w:tcBorders>
          </w:tcPr>
          <w:p w:rsidR="00703182" w:rsidRDefault="00703182" w:rsidP="006D2F6A">
            <w:pPr>
              <w:ind w:firstLine="0"/>
              <w:jc w:val="center"/>
            </w:pPr>
          </w:p>
        </w:tc>
        <w:tc>
          <w:tcPr>
            <w:tcW w:w="1885" w:type="dxa"/>
            <w:tcBorders>
              <w:top w:val="single" w:sz="4" w:space="0" w:color="auto"/>
              <w:left w:val="nil"/>
              <w:bottom w:val="single" w:sz="4" w:space="0" w:color="auto"/>
              <w:right w:val="nil"/>
            </w:tcBorders>
          </w:tcPr>
          <w:p w:rsidR="00703182" w:rsidRDefault="00703182" w:rsidP="006D2F6A">
            <w:pPr>
              <w:ind w:firstLine="0"/>
              <w:jc w:val="center"/>
            </w:pPr>
          </w:p>
        </w:tc>
        <w:tc>
          <w:tcPr>
            <w:tcW w:w="1891" w:type="dxa"/>
            <w:tcBorders>
              <w:top w:val="single" w:sz="4" w:space="0" w:color="auto"/>
              <w:left w:val="nil"/>
              <w:bottom w:val="single" w:sz="4" w:space="0" w:color="auto"/>
              <w:right w:val="nil"/>
            </w:tcBorders>
          </w:tcPr>
          <w:p w:rsidR="00703182" w:rsidRDefault="00703182" w:rsidP="006D2F6A">
            <w:pPr>
              <w:ind w:firstLine="0"/>
              <w:jc w:val="center"/>
            </w:pPr>
          </w:p>
        </w:tc>
      </w:tr>
      <w:tr w:rsidR="00703182" w:rsidTr="007D5CA5">
        <w:tc>
          <w:tcPr>
            <w:tcW w:w="1070" w:type="dxa"/>
            <w:tcBorders>
              <w:top w:val="single" w:sz="4" w:space="0" w:color="auto"/>
            </w:tcBorders>
          </w:tcPr>
          <w:p w:rsidR="00703182" w:rsidRDefault="00703182" w:rsidP="006D2F6A">
            <w:pPr>
              <w:ind w:firstLine="0"/>
              <w:jc w:val="center"/>
            </w:pPr>
            <w:r>
              <w:t>4”</w:t>
            </w:r>
          </w:p>
        </w:tc>
        <w:tc>
          <w:tcPr>
            <w:tcW w:w="954" w:type="dxa"/>
            <w:tcBorders>
              <w:top w:val="single" w:sz="4" w:space="0" w:color="auto"/>
            </w:tcBorders>
          </w:tcPr>
          <w:p w:rsidR="00703182" w:rsidRDefault="00703182" w:rsidP="006D2F6A">
            <w:pPr>
              <w:ind w:firstLine="0"/>
              <w:jc w:val="center"/>
            </w:pPr>
            <w:r>
              <w:t>Year 1</w:t>
            </w:r>
          </w:p>
        </w:tc>
        <w:tc>
          <w:tcPr>
            <w:tcW w:w="1886" w:type="dxa"/>
            <w:tcBorders>
              <w:top w:val="single" w:sz="4" w:space="0" w:color="auto"/>
            </w:tcBorders>
          </w:tcPr>
          <w:p w:rsidR="00703182" w:rsidRDefault="00703182" w:rsidP="006D2F6A">
            <w:pPr>
              <w:ind w:firstLine="0"/>
              <w:jc w:val="center"/>
            </w:pPr>
            <w:r>
              <w:t>$205.35</w:t>
            </w:r>
          </w:p>
        </w:tc>
        <w:tc>
          <w:tcPr>
            <w:tcW w:w="1890" w:type="dxa"/>
            <w:tcBorders>
              <w:top w:val="single" w:sz="4" w:space="0" w:color="auto"/>
            </w:tcBorders>
          </w:tcPr>
          <w:p w:rsidR="00703182" w:rsidRDefault="00703182" w:rsidP="006D2F6A">
            <w:pPr>
              <w:ind w:firstLine="0"/>
              <w:jc w:val="center"/>
            </w:pPr>
            <w:r>
              <w:t>$534.50</w:t>
            </w:r>
          </w:p>
        </w:tc>
        <w:tc>
          <w:tcPr>
            <w:tcW w:w="1885" w:type="dxa"/>
            <w:tcBorders>
              <w:top w:val="single" w:sz="4" w:space="0" w:color="auto"/>
            </w:tcBorders>
          </w:tcPr>
          <w:p w:rsidR="00703182" w:rsidRDefault="00703182" w:rsidP="006D2F6A">
            <w:pPr>
              <w:ind w:firstLine="0"/>
              <w:jc w:val="center"/>
            </w:pPr>
            <w:r>
              <w:t>$3.20</w:t>
            </w:r>
          </w:p>
        </w:tc>
        <w:tc>
          <w:tcPr>
            <w:tcW w:w="1891" w:type="dxa"/>
            <w:tcBorders>
              <w:top w:val="single" w:sz="4" w:space="0" w:color="auto"/>
            </w:tcBorders>
          </w:tcPr>
          <w:p w:rsidR="00703182" w:rsidRDefault="00703182" w:rsidP="006D2F6A">
            <w:pPr>
              <w:ind w:firstLine="0"/>
              <w:jc w:val="center"/>
            </w:pPr>
            <w:r>
              <w:t>$5.20</w:t>
            </w:r>
          </w:p>
        </w:tc>
      </w:tr>
      <w:tr w:rsidR="00703182" w:rsidTr="007D5CA5">
        <w:tc>
          <w:tcPr>
            <w:tcW w:w="1070" w:type="dxa"/>
            <w:tcBorders>
              <w:bottom w:val="single" w:sz="4" w:space="0" w:color="auto"/>
            </w:tcBorders>
          </w:tcPr>
          <w:p w:rsidR="00703182" w:rsidRDefault="00703182" w:rsidP="006D2F6A">
            <w:pPr>
              <w:ind w:firstLine="0"/>
              <w:jc w:val="center"/>
            </w:pPr>
          </w:p>
        </w:tc>
        <w:tc>
          <w:tcPr>
            <w:tcW w:w="954" w:type="dxa"/>
            <w:tcBorders>
              <w:bottom w:val="single" w:sz="4" w:space="0" w:color="auto"/>
            </w:tcBorders>
          </w:tcPr>
          <w:p w:rsidR="00703182" w:rsidRDefault="00703182" w:rsidP="006D2F6A">
            <w:pPr>
              <w:ind w:firstLine="0"/>
              <w:jc w:val="center"/>
            </w:pPr>
            <w:r>
              <w:t>Year 2</w:t>
            </w:r>
          </w:p>
        </w:tc>
        <w:tc>
          <w:tcPr>
            <w:tcW w:w="1886" w:type="dxa"/>
            <w:tcBorders>
              <w:bottom w:val="single" w:sz="4" w:space="0" w:color="auto"/>
            </w:tcBorders>
          </w:tcPr>
          <w:p w:rsidR="00703182" w:rsidRDefault="00703182" w:rsidP="006D2F6A">
            <w:pPr>
              <w:ind w:firstLine="0"/>
              <w:jc w:val="center"/>
            </w:pPr>
          </w:p>
        </w:tc>
        <w:tc>
          <w:tcPr>
            <w:tcW w:w="1890" w:type="dxa"/>
            <w:tcBorders>
              <w:bottom w:val="single" w:sz="4" w:space="0" w:color="auto"/>
            </w:tcBorders>
          </w:tcPr>
          <w:p w:rsidR="00703182" w:rsidRDefault="00703182" w:rsidP="006D2F6A">
            <w:pPr>
              <w:ind w:firstLine="0"/>
              <w:jc w:val="center"/>
            </w:pPr>
            <w:r>
              <w:t>$594.00</w:t>
            </w:r>
          </w:p>
        </w:tc>
        <w:tc>
          <w:tcPr>
            <w:tcW w:w="1885" w:type="dxa"/>
            <w:tcBorders>
              <w:bottom w:val="single" w:sz="4" w:space="0" w:color="auto"/>
            </w:tcBorders>
          </w:tcPr>
          <w:p w:rsidR="00703182" w:rsidRDefault="00703182" w:rsidP="006D2F6A">
            <w:pPr>
              <w:ind w:firstLine="0"/>
              <w:jc w:val="center"/>
            </w:pPr>
          </w:p>
        </w:tc>
        <w:tc>
          <w:tcPr>
            <w:tcW w:w="1891" w:type="dxa"/>
            <w:tcBorders>
              <w:bottom w:val="single" w:sz="4" w:space="0" w:color="auto"/>
            </w:tcBorders>
          </w:tcPr>
          <w:p w:rsidR="00703182" w:rsidRDefault="00703182" w:rsidP="006D2F6A">
            <w:pPr>
              <w:ind w:firstLine="0"/>
              <w:jc w:val="center"/>
            </w:pPr>
            <w:r>
              <w:t>$5.77</w:t>
            </w:r>
          </w:p>
        </w:tc>
      </w:tr>
      <w:tr w:rsidR="005633B9" w:rsidTr="00782283">
        <w:tc>
          <w:tcPr>
            <w:tcW w:w="1070" w:type="dxa"/>
            <w:tcBorders>
              <w:top w:val="single" w:sz="4" w:space="0" w:color="auto"/>
              <w:left w:val="nil"/>
              <w:bottom w:val="nil"/>
              <w:right w:val="nil"/>
            </w:tcBorders>
          </w:tcPr>
          <w:p w:rsidR="005633B9" w:rsidRDefault="005633B9" w:rsidP="006D2F6A">
            <w:pPr>
              <w:ind w:firstLine="0"/>
              <w:jc w:val="center"/>
            </w:pPr>
          </w:p>
        </w:tc>
        <w:tc>
          <w:tcPr>
            <w:tcW w:w="954" w:type="dxa"/>
            <w:tcBorders>
              <w:top w:val="single" w:sz="4" w:space="0" w:color="auto"/>
              <w:left w:val="nil"/>
              <w:bottom w:val="nil"/>
              <w:right w:val="nil"/>
            </w:tcBorders>
          </w:tcPr>
          <w:p w:rsidR="005633B9" w:rsidRDefault="005633B9" w:rsidP="006D2F6A">
            <w:pPr>
              <w:ind w:firstLine="0"/>
              <w:jc w:val="center"/>
            </w:pPr>
          </w:p>
        </w:tc>
        <w:tc>
          <w:tcPr>
            <w:tcW w:w="1886" w:type="dxa"/>
            <w:tcBorders>
              <w:top w:val="single" w:sz="4" w:space="0" w:color="auto"/>
              <w:left w:val="nil"/>
              <w:bottom w:val="nil"/>
              <w:right w:val="nil"/>
            </w:tcBorders>
          </w:tcPr>
          <w:p w:rsidR="005633B9" w:rsidRDefault="005633B9" w:rsidP="006D2F6A">
            <w:pPr>
              <w:ind w:firstLine="0"/>
              <w:jc w:val="center"/>
            </w:pPr>
          </w:p>
        </w:tc>
        <w:tc>
          <w:tcPr>
            <w:tcW w:w="1890" w:type="dxa"/>
            <w:tcBorders>
              <w:top w:val="single" w:sz="4" w:space="0" w:color="auto"/>
              <w:left w:val="nil"/>
              <w:bottom w:val="nil"/>
              <w:right w:val="nil"/>
            </w:tcBorders>
          </w:tcPr>
          <w:p w:rsidR="005633B9" w:rsidRDefault="005633B9" w:rsidP="006D2F6A">
            <w:pPr>
              <w:ind w:firstLine="0"/>
              <w:jc w:val="center"/>
            </w:pPr>
          </w:p>
        </w:tc>
        <w:tc>
          <w:tcPr>
            <w:tcW w:w="1885" w:type="dxa"/>
            <w:tcBorders>
              <w:top w:val="single" w:sz="4" w:space="0" w:color="auto"/>
              <w:left w:val="nil"/>
              <w:bottom w:val="nil"/>
              <w:right w:val="nil"/>
            </w:tcBorders>
          </w:tcPr>
          <w:p w:rsidR="005633B9" w:rsidRDefault="005633B9" w:rsidP="006D2F6A">
            <w:pPr>
              <w:ind w:firstLine="0"/>
              <w:jc w:val="center"/>
            </w:pPr>
          </w:p>
        </w:tc>
        <w:tc>
          <w:tcPr>
            <w:tcW w:w="1891" w:type="dxa"/>
            <w:tcBorders>
              <w:top w:val="single" w:sz="4" w:space="0" w:color="auto"/>
              <w:left w:val="nil"/>
              <w:bottom w:val="nil"/>
              <w:right w:val="nil"/>
            </w:tcBorders>
          </w:tcPr>
          <w:p w:rsidR="005633B9" w:rsidRDefault="005633B9" w:rsidP="006D2F6A">
            <w:pPr>
              <w:ind w:firstLine="0"/>
              <w:jc w:val="center"/>
            </w:pPr>
          </w:p>
        </w:tc>
      </w:tr>
      <w:tr w:rsidR="005633B9" w:rsidTr="00782283">
        <w:tc>
          <w:tcPr>
            <w:tcW w:w="9576" w:type="dxa"/>
            <w:gridSpan w:val="6"/>
            <w:tcBorders>
              <w:top w:val="nil"/>
              <w:left w:val="nil"/>
              <w:bottom w:val="single" w:sz="4" w:space="0" w:color="auto"/>
              <w:right w:val="nil"/>
            </w:tcBorders>
          </w:tcPr>
          <w:p w:rsidR="005633B9" w:rsidRPr="005633B9" w:rsidRDefault="005633B9" w:rsidP="005633B9">
            <w:pPr>
              <w:spacing w:before="120" w:after="120"/>
              <w:ind w:firstLine="0"/>
              <w:rPr>
                <w:b/>
              </w:rPr>
            </w:pPr>
            <w:r w:rsidRPr="005633B9">
              <w:rPr>
                <w:b/>
              </w:rPr>
              <w:t>Greens at Penn Oaks</w:t>
            </w:r>
          </w:p>
        </w:tc>
      </w:tr>
      <w:tr w:rsidR="005633B9" w:rsidTr="00782283">
        <w:tc>
          <w:tcPr>
            <w:tcW w:w="2024" w:type="dxa"/>
            <w:gridSpan w:val="2"/>
            <w:tcBorders>
              <w:top w:val="single" w:sz="4" w:space="0" w:color="auto"/>
              <w:bottom w:val="single" w:sz="4" w:space="0" w:color="auto"/>
            </w:tcBorders>
          </w:tcPr>
          <w:p w:rsidR="005633B9" w:rsidRDefault="005633B9" w:rsidP="005633B9">
            <w:pPr>
              <w:ind w:firstLine="0"/>
              <w:jc w:val="center"/>
            </w:pPr>
            <w:r>
              <w:t>Residential</w:t>
            </w:r>
          </w:p>
        </w:tc>
        <w:tc>
          <w:tcPr>
            <w:tcW w:w="1886" w:type="dxa"/>
            <w:tcBorders>
              <w:top w:val="single" w:sz="4" w:space="0" w:color="auto"/>
              <w:bottom w:val="single" w:sz="4" w:space="0" w:color="auto"/>
            </w:tcBorders>
          </w:tcPr>
          <w:p w:rsidR="005633B9" w:rsidRDefault="00492196" w:rsidP="006D2F6A">
            <w:pPr>
              <w:ind w:firstLine="0"/>
              <w:jc w:val="center"/>
            </w:pPr>
            <w:r>
              <w:t>$90</w:t>
            </w:r>
            <w:r w:rsidR="00014193">
              <w:t>.00</w:t>
            </w:r>
          </w:p>
        </w:tc>
        <w:tc>
          <w:tcPr>
            <w:tcW w:w="1890" w:type="dxa"/>
            <w:tcBorders>
              <w:top w:val="single" w:sz="4" w:space="0" w:color="auto"/>
              <w:bottom w:val="single" w:sz="4" w:space="0" w:color="auto"/>
            </w:tcBorders>
          </w:tcPr>
          <w:p w:rsidR="005633B9" w:rsidRDefault="00492196" w:rsidP="006D2F6A">
            <w:pPr>
              <w:ind w:firstLine="0"/>
              <w:jc w:val="center"/>
            </w:pPr>
            <w:r>
              <w:t>$93.25</w:t>
            </w:r>
          </w:p>
        </w:tc>
        <w:tc>
          <w:tcPr>
            <w:tcW w:w="1885" w:type="dxa"/>
            <w:tcBorders>
              <w:top w:val="single" w:sz="4" w:space="0" w:color="auto"/>
              <w:bottom w:val="single" w:sz="4" w:space="0" w:color="auto"/>
            </w:tcBorders>
          </w:tcPr>
          <w:p w:rsidR="005633B9" w:rsidRDefault="00492196" w:rsidP="006D2F6A">
            <w:pPr>
              <w:ind w:firstLine="0"/>
              <w:jc w:val="center"/>
            </w:pPr>
            <w:r>
              <w:t>$1.50</w:t>
            </w:r>
          </w:p>
        </w:tc>
        <w:tc>
          <w:tcPr>
            <w:tcW w:w="1891" w:type="dxa"/>
            <w:tcBorders>
              <w:top w:val="single" w:sz="4" w:space="0" w:color="auto"/>
              <w:bottom w:val="single" w:sz="4" w:space="0" w:color="auto"/>
            </w:tcBorders>
          </w:tcPr>
          <w:p w:rsidR="005633B9" w:rsidRDefault="00492196" w:rsidP="006D2F6A">
            <w:pPr>
              <w:ind w:firstLine="0"/>
              <w:jc w:val="center"/>
            </w:pPr>
            <w:r>
              <w:t>$3.75</w:t>
            </w:r>
          </w:p>
        </w:tc>
      </w:tr>
      <w:tr w:rsidR="001E1782" w:rsidTr="00782283">
        <w:tc>
          <w:tcPr>
            <w:tcW w:w="2024" w:type="dxa"/>
            <w:gridSpan w:val="2"/>
            <w:tcBorders>
              <w:top w:val="single" w:sz="4" w:space="0" w:color="auto"/>
              <w:left w:val="nil"/>
              <w:bottom w:val="nil"/>
              <w:right w:val="nil"/>
            </w:tcBorders>
          </w:tcPr>
          <w:p w:rsidR="001E1782" w:rsidRDefault="001E1782" w:rsidP="006D2F6A">
            <w:pPr>
              <w:ind w:firstLine="0"/>
              <w:jc w:val="center"/>
            </w:pPr>
          </w:p>
        </w:tc>
        <w:tc>
          <w:tcPr>
            <w:tcW w:w="1886" w:type="dxa"/>
            <w:tcBorders>
              <w:top w:val="single" w:sz="4" w:space="0" w:color="auto"/>
              <w:left w:val="nil"/>
              <w:bottom w:val="nil"/>
              <w:right w:val="nil"/>
            </w:tcBorders>
          </w:tcPr>
          <w:p w:rsidR="001E1782" w:rsidRDefault="001E1782" w:rsidP="006D2F6A">
            <w:pPr>
              <w:ind w:firstLine="0"/>
              <w:jc w:val="center"/>
            </w:pPr>
          </w:p>
        </w:tc>
        <w:tc>
          <w:tcPr>
            <w:tcW w:w="1890" w:type="dxa"/>
            <w:tcBorders>
              <w:top w:val="single" w:sz="4" w:space="0" w:color="auto"/>
              <w:left w:val="nil"/>
              <w:bottom w:val="nil"/>
              <w:right w:val="nil"/>
            </w:tcBorders>
          </w:tcPr>
          <w:p w:rsidR="001E1782" w:rsidRDefault="001E1782" w:rsidP="006D2F6A">
            <w:pPr>
              <w:ind w:firstLine="0"/>
              <w:jc w:val="center"/>
            </w:pPr>
          </w:p>
        </w:tc>
        <w:tc>
          <w:tcPr>
            <w:tcW w:w="1885" w:type="dxa"/>
            <w:tcBorders>
              <w:top w:val="single" w:sz="4" w:space="0" w:color="auto"/>
              <w:left w:val="nil"/>
              <w:bottom w:val="nil"/>
              <w:right w:val="nil"/>
            </w:tcBorders>
          </w:tcPr>
          <w:p w:rsidR="001E1782" w:rsidRDefault="001E1782" w:rsidP="006D2F6A">
            <w:pPr>
              <w:ind w:firstLine="0"/>
              <w:jc w:val="center"/>
            </w:pPr>
          </w:p>
        </w:tc>
        <w:tc>
          <w:tcPr>
            <w:tcW w:w="1891" w:type="dxa"/>
            <w:tcBorders>
              <w:top w:val="single" w:sz="4" w:space="0" w:color="auto"/>
              <w:left w:val="nil"/>
              <w:bottom w:val="nil"/>
              <w:right w:val="nil"/>
            </w:tcBorders>
          </w:tcPr>
          <w:p w:rsidR="001E1782" w:rsidRDefault="001E1782" w:rsidP="006D2F6A">
            <w:pPr>
              <w:ind w:firstLine="0"/>
              <w:jc w:val="center"/>
            </w:pPr>
          </w:p>
        </w:tc>
      </w:tr>
      <w:tr w:rsidR="00492196" w:rsidTr="00782283">
        <w:tc>
          <w:tcPr>
            <w:tcW w:w="9576" w:type="dxa"/>
            <w:gridSpan w:val="6"/>
            <w:tcBorders>
              <w:top w:val="nil"/>
              <w:left w:val="nil"/>
              <w:bottom w:val="single" w:sz="4" w:space="0" w:color="auto"/>
              <w:right w:val="nil"/>
            </w:tcBorders>
          </w:tcPr>
          <w:p w:rsidR="00492196" w:rsidRPr="00492196" w:rsidRDefault="00492196" w:rsidP="00C01A40">
            <w:pPr>
              <w:spacing w:before="120" w:after="120"/>
              <w:ind w:firstLine="0"/>
              <w:rPr>
                <w:b/>
              </w:rPr>
            </w:pPr>
            <w:r w:rsidRPr="00492196">
              <w:rPr>
                <w:b/>
              </w:rPr>
              <w:t>Twin Hills</w:t>
            </w:r>
          </w:p>
        </w:tc>
      </w:tr>
      <w:tr w:rsidR="00492196" w:rsidTr="00782283">
        <w:tc>
          <w:tcPr>
            <w:tcW w:w="2024" w:type="dxa"/>
            <w:gridSpan w:val="2"/>
            <w:tcBorders>
              <w:top w:val="single" w:sz="4" w:space="0" w:color="auto"/>
              <w:bottom w:val="single" w:sz="4" w:space="0" w:color="auto"/>
            </w:tcBorders>
          </w:tcPr>
          <w:p w:rsidR="00492196" w:rsidRDefault="00492196" w:rsidP="006D2F6A">
            <w:pPr>
              <w:ind w:firstLine="0"/>
              <w:jc w:val="center"/>
            </w:pPr>
            <w:r>
              <w:t>Residential</w:t>
            </w:r>
          </w:p>
        </w:tc>
        <w:tc>
          <w:tcPr>
            <w:tcW w:w="1886" w:type="dxa"/>
            <w:tcBorders>
              <w:top w:val="single" w:sz="4" w:space="0" w:color="auto"/>
              <w:bottom w:val="single" w:sz="4" w:space="0" w:color="auto"/>
            </w:tcBorders>
          </w:tcPr>
          <w:p w:rsidR="00492196" w:rsidRDefault="00014193" w:rsidP="006D2F6A">
            <w:pPr>
              <w:ind w:firstLine="0"/>
              <w:jc w:val="center"/>
            </w:pPr>
            <w:r>
              <w:t>$47.00</w:t>
            </w:r>
          </w:p>
        </w:tc>
        <w:tc>
          <w:tcPr>
            <w:tcW w:w="1890" w:type="dxa"/>
            <w:tcBorders>
              <w:top w:val="single" w:sz="4" w:space="0" w:color="auto"/>
              <w:bottom w:val="single" w:sz="4" w:space="0" w:color="auto"/>
            </w:tcBorders>
          </w:tcPr>
          <w:p w:rsidR="00492196" w:rsidRDefault="00014193" w:rsidP="006D2F6A">
            <w:pPr>
              <w:ind w:firstLine="0"/>
              <w:jc w:val="center"/>
            </w:pPr>
            <w:r>
              <w:t>$54.00</w:t>
            </w:r>
          </w:p>
        </w:tc>
        <w:tc>
          <w:tcPr>
            <w:tcW w:w="1885" w:type="dxa"/>
            <w:tcBorders>
              <w:top w:val="single" w:sz="4" w:space="0" w:color="auto"/>
              <w:bottom w:val="single" w:sz="4" w:space="0" w:color="auto"/>
            </w:tcBorders>
          </w:tcPr>
          <w:p w:rsidR="00492196" w:rsidRDefault="00014193" w:rsidP="006D2F6A">
            <w:pPr>
              <w:ind w:firstLine="0"/>
              <w:jc w:val="center"/>
            </w:pPr>
            <w:r>
              <w:t>$1.76</w:t>
            </w:r>
          </w:p>
        </w:tc>
        <w:tc>
          <w:tcPr>
            <w:tcW w:w="1891" w:type="dxa"/>
            <w:tcBorders>
              <w:top w:val="single" w:sz="4" w:space="0" w:color="auto"/>
              <w:bottom w:val="single" w:sz="4" w:space="0" w:color="auto"/>
            </w:tcBorders>
          </w:tcPr>
          <w:p w:rsidR="00492196" w:rsidRDefault="001E1782" w:rsidP="006D2F6A">
            <w:pPr>
              <w:ind w:firstLine="0"/>
              <w:jc w:val="center"/>
            </w:pPr>
            <w:r>
              <w:t>$3.05</w:t>
            </w:r>
          </w:p>
        </w:tc>
      </w:tr>
      <w:tr w:rsidR="001E1782" w:rsidTr="003231C0">
        <w:tc>
          <w:tcPr>
            <w:tcW w:w="2024" w:type="dxa"/>
            <w:gridSpan w:val="2"/>
            <w:tcBorders>
              <w:top w:val="single" w:sz="4" w:space="0" w:color="auto"/>
              <w:left w:val="nil"/>
              <w:bottom w:val="nil"/>
              <w:right w:val="nil"/>
            </w:tcBorders>
          </w:tcPr>
          <w:p w:rsidR="001E1782" w:rsidRDefault="001E1782" w:rsidP="006D2F6A">
            <w:pPr>
              <w:ind w:firstLine="0"/>
              <w:jc w:val="center"/>
            </w:pPr>
          </w:p>
        </w:tc>
        <w:tc>
          <w:tcPr>
            <w:tcW w:w="1886" w:type="dxa"/>
            <w:tcBorders>
              <w:top w:val="single" w:sz="4" w:space="0" w:color="auto"/>
              <w:left w:val="nil"/>
              <w:bottom w:val="nil"/>
              <w:right w:val="nil"/>
            </w:tcBorders>
          </w:tcPr>
          <w:p w:rsidR="001E1782" w:rsidRDefault="001E1782" w:rsidP="006D2F6A">
            <w:pPr>
              <w:ind w:firstLine="0"/>
              <w:jc w:val="center"/>
            </w:pPr>
          </w:p>
        </w:tc>
        <w:tc>
          <w:tcPr>
            <w:tcW w:w="1890" w:type="dxa"/>
            <w:tcBorders>
              <w:top w:val="single" w:sz="4" w:space="0" w:color="auto"/>
              <w:left w:val="nil"/>
              <w:bottom w:val="nil"/>
              <w:right w:val="nil"/>
            </w:tcBorders>
          </w:tcPr>
          <w:p w:rsidR="001E1782" w:rsidRDefault="001E1782" w:rsidP="006D2F6A">
            <w:pPr>
              <w:ind w:firstLine="0"/>
              <w:jc w:val="center"/>
            </w:pPr>
          </w:p>
        </w:tc>
        <w:tc>
          <w:tcPr>
            <w:tcW w:w="1885" w:type="dxa"/>
            <w:tcBorders>
              <w:top w:val="single" w:sz="4" w:space="0" w:color="auto"/>
              <w:left w:val="nil"/>
              <w:bottom w:val="nil"/>
              <w:right w:val="nil"/>
            </w:tcBorders>
          </w:tcPr>
          <w:p w:rsidR="001E1782" w:rsidRDefault="001E1782" w:rsidP="006D2F6A">
            <w:pPr>
              <w:ind w:firstLine="0"/>
              <w:jc w:val="center"/>
            </w:pPr>
          </w:p>
        </w:tc>
        <w:tc>
          <w:tcPr>
            <w:tcW w:w="1891" w:type="dxa"/>
            <w:tcBorders>
              <w:top w:val="single" w:sz="4" w:space="0" w:color="auto"/>
              <w:left w:val="nil"/>
              <w:bottom w:val="nil"/>
              <w:right w:val="nil"/>
            </w:tcBorders>
          </w:tcPr>
          <w:p w:rsidR="001E1782" w:rsidRDefault="001E1782" w:rsidP="006D2F6A">
            <w:pPr>
              <w:ind w:firstLine="0"/>
              <w:jc w:val="center"/>
            </w:pPr>
          </w:p>
        </w:tc>
      </w:tr>
      <w:tr w:rsidR="003231C0" w:rsidTr="003231C0">
        <w:tc>
          <w:tcPr>
            <w:tcW w:w="2024" w:type="dxa"/>
            <w:gridSpan w:val="2"/>
            <w:tcBorders>
              <w:top w:val="nil"/>
              <w:left w:val="nil"/>
              <w:bottom w:val="single" w:sz="4" w:space="0" w:color="auto"/>
              <w:right w:val="nil"/>
            </w:tcBorders>
          </w:tcPr>
          <w:p w:rsidR="003231C0" w:rsidRPr="00C01A40" w:rsidRDefault="003231C0" w:rsidP="00FF5DDD">
            <w:pPr>
              <w:spacing w:before="120" w:after="120"/>
              <w:ind w:firstLine="0"/>
              <w:rPr>
                <w:b/>
              </w:rPr>
            </w:pPr>
            <w:r w:rsidRPr="00C01A40">
              <w:rPr>
                <w:b/>
              </w:rPr>
              <w:t>New Daleville</w:t>
            </w:r>
          </w:p>
        </w:tc>
        <w:tc>
          <w:tcPr>
            <w:tcW w:w="1886" w:type="dxa"/>
            <w:tcBorders>
              <w:top w:val="nil"/>
              <w:left w:val="nil"/>
              <w:bottom w:val="single" w:sz="4" w:space="0" w:color="auto"/>
              <w:right w:val="nil"/>
            </w:tcBorders>
          </w:tcPr>
          <w:p w:rsidR="003231C0" w:rsidRDefault="003231C0" w:rsidP="00FF5DDD">
            <w:pPr>
              <w:ind w:firstLine="0"/>
            </w:pPr>
          </w:p>
        </w:tc>
        <w:tc>
          <w:tcPr>
            <w:tcW w:w="1890" w:type="dxa"/>
            <w:tcBorders>
              <w:top w:val="nil"/>
              <w:left w:val="nil"/>
              <w:bottom w:val="single" w:sz="4" w:space="0" w:color="auto"/>
              <w:right w:val="nil"/>
            </w:tcBorders>
          </w:tcPr>
          <w:p w:rsidR="003231C0" w:rsidRDefault="003231C0" w:rsidP="00FF5DDD">
            <w:pPr>
              <w:ind w:firstLine="0"/>
            </w:pPr>
          </w:p>
        </w:tc>
        <w:tc>
          <w:tcPr>
            <w:tcW w:w="1885" w:type="dxa"/>
            <w:tcBorders>
              <w:top w:val="nil"/>
              <w:left w:val="nil"/>
              <w:bottom w:val="single" w:sz="4" w:space="0" w:color="auto"/>
              <w:right w:val="nil"/>
            </w:tcBorders>
          </w:tcPr>
          <w:p w:rsidR="003231C0" w:rsidRDefault="003231C0" w:rsidP="00FF5DDD">
            <w:pPr>
              <w:ind w:firstLine="0"/>
            </w:pPr>
          </w:p>
        </w:tc>
        <w:tc>
          <w:tcPr>
            <w:tcW w:w="1891" w:type="dxa"/>
            <w:tcBorders>
              <w:top w:val="nil"/>
              <w:left w:val="nil"/>
              <w:bottom w:val="single" w:sz="4" w:space="0" w:color="auto"/>
              <w:right w:val="nil"/>
            </w:tcBorders>
          </w:tcPr>
          <w:p w:rsidR="003231C0" w:rsidRDefault="003231C0" w:rsidP="00FF5DDD">
            <w:pPr>
              <w:ind w:firstLine="0"/>
            </w:pPr>
          </w:p>
        </w:tc>
      </w:tr>
      <w:tr w:rsidR="003231C0" w:rsidTr="003231C0">
        <w:tc>
          <w:tcPr>
            <w:tcW w:w="2024" w:type="dxa"/>
            <w:gridSpan w:val="2"/>
            <w:tcBorders>
              <w:top w:val="single" w:sz="4" w:space="0" w:color="auto"/>
            </w:tcBorders>
          </w:tcPr>
          <w:p w:rsidR="003231C0" w:rsidRDefault="003231C0" w:rsidP="002122CA">
            <w:pPr>
              <w:ind w:firstLine="0"/>
              <w:jc w:val="center"/>
            </w:pPr>
            <w:r>
              <w:t>Residential</w:t>
            </w:r>
          </w:p>
        </w:tc>
        <w:tc>
          <w:tcPr>
            <w:tcW w:w="1886" w:type="dxa"/>
            <w:tcBorders>
              <w:top w:val="single" w:sz="4" w:space="0" w:color="auto"/>
            </w:tcBorders>
          </w:tcPr>
          <w:p w:rsidR="003231C0" w:rsidRDefault="003231C0" w:rsidP="00FF5DDD">
            <w:pPr>
              <w:ind w:firstLine="0"/>
              <w:jc w:val="center"/>
            </w:pPr>
            <w:r>
              <w:t>$66.67</w:t>
            </w:r>
          </w:p>
        </w:tc>
        <w:tc>
          <w:tcPr>
            <w:tcW w:w="1890" w:type="dxa"/>
            <w:tcBorders>
              <w:top w:val="single" w:sz="4" w:space="0" w:color="auto"/>
            </w:tcBorders>
          </w:tcPr>
          <w:p w:rsidR="003231C0" w:rsidRDefault="003231C0" w:rsidP="00FF5DDD">
            <w:pPr>
              <w:ind w:firstLine="0"/>
              <w:jc w:val="center"/>
            </w:pPr>
            <w:r>
              <w:t>$70.64</w:t>
            </w:r>
          </w:p>
        </w:tc>
        <w:tc>
          <w:tcPr>
            <w:tcW w:w="1885" w:type="dxa"/>
            <w:tcBorders>
              <w:top w:val="single" w:sz="4" w:space="0" w:color="auto"/>
            </w:tcBorders>
          </w:tcPr>
          <w:p w:rsidR="003231C0" w:rsidRDefault="003231C0" w:rsidP="00FF5DDD">
            <w:pPr>
              <w:ind w:firstLine="0"/>
              <w:jc w:val="center"/>
            </w:pPr>
            <w:r>
              <w:t>none</w:t>
            </w:r>
          </w:p>
        </w:tc>
        <w:tc>
          <w:tcPr>
            <w:tcW w:w="1891" w:type="dxa"/>
            <w:tcBorders>
              <w:top w:val="single" w:sz="4" w:space="0" w:color="auto"/>
            </w:tcBorders>
          </w:tcPr>
          <w:p w:rsidR="003231C0" w:rsidRDefault="003231C0" w:rsidP="00FF5DDD">
            <w:pPr>
              <w:ind w:firstLine="0"/>
              <w:jc w:val="center"/>
            </w:pPr>
            <w:r>
              <w:t>none</w:t>
            </w:r>
          </w:p>
        </w:tc>
      </w:tr>
    </w:tbl>
    <w:p w:rsidR="001E1782" w:rsidRDefault="001E1782" w:rsidP="00060338"/>
    <w:p w:rsidR="001E1782" w:rsidRDefault="001E1782">
      <w:r>
        <w:br w:type="page"/>
      </w:r>
    </w:p>
    <w:p w:rsidR="0090377F" w:rsidRDefault="0090377F" w:rsidP="002122CA">
      <w:pPr>
        <w:spacing w:after="240"/>
        <w:ind w:firstLine="0"/>
        <w:jc w:val="center"/>
        <w:rPr>
          <w:rFonts w:cs="Times New Roman"/>
          <w:b/>
          <w:color w:val="000000"/>
          <w:sz w:val="28"/>
          <w:szCs w:val="28"/>
        </w:rPr>
      </w:pPr>
      <w:r w:rsidRPr="001E1782">
        <w:rPr>
          <w:rFonts w:cs="Times New Roman"/>
          <w:b/>
          <w:color w:val="000000"/>
          <w:sz w:val="28"/>
          <w:szCs w:val="28"/>
        </w:rPr>
        <w:lastRenderedPageBreak/>
        <w:t xml:space="preserve">Current and Proposed Rates per </w:t>
      </w:r>
      <w:r w:rsidR="00B0737F">
        <w:rPr>
          <w:rFonts w:cs="Times New Roman"/>
          <w:b/>
          <w:color w:val="000000"/>
          <w:sz w:val="28"/>
          <w:szCs w:val="28"/>
        </w:rPr>
        <w:t xml:space="preserve">the </w:t>
      </w:r>
      <w:r w:rsidRPr="001E1782">
        <w:rPr>
          <w:rFonts w:cs="Times New Roman"/>
          <w:b/>
          <w:color w:val="000000"/>
          <w:sz w:val="28"/>
          <w:szCs w:val="28"/>
        </w:rPr>
        <w:t xml:space="preserve">Settlement by </w:t>
      </w:r>
      <w:r w:rsidR="00B0737F">
        <w:rPr>
          <w:rFonts w:cs="Times New Roman"/>
          <w:b/>
          <w:color w:val="000000"/>
          <w:sz w:val="28"/>
          <w:szCs w:val="28"/>
        </w:rPr>
        <w:t>Division</w:t>
      </w:r>
      <w:r>
        <w:rPr>
          <w:rFonts w:cs="Times New Roman"/>
          <w:b/>
          <w:color w:val="000000"/>
          <w:sz w:val="28"/>
          <w:szCs w:val="28"/>
        </w:rPr>
        <w:t xml:space="preserve"> (continued)</w:t>
      </w:r>
    </w:p>
    <w:tbl>
      <w:tblPr>
        <w:tblStyle w:val="TableGrid"/>
        <w:tblW w:w="0" w:type="auto"/>
        <w:tblLook w:val="04A0"/>
      </w:tblPr>
      <w:tblGrid>
        <w:gridCol w:w="2178"/>
        <w:gridCol w:w="1800"/>
        <w:gridCol w:w="1767"/>
        <w:gridCol w:w="1915"/>
        <w:gridCol w:w="1916"/>
      </w:tblGrid>
      <w:tr w:rsidR="004927D8" w:rsidTr="00782283">
        <w:tc>
          <w:tcPr>
            <w:tcW w:w="2178" w:type="dxa"/>
            <w:tcBorders>
              <w:top w:val="nil"/>
              <w:left w:val="nil"/>
              <w:bottom w:val="nil"/>
              <w:right w:val="nil"/>
            </w:tcBorders>
            <w:vAlign w:val="center"/>
          </w:tcPr>
          <w:p w:rsidR="004927D8" w:rsidRPr="00603F16" w:rsidRDefault="004927D8" w:rsidP="00FF5DDD">
            <w:pPr>
              <w:spacing w:before="120" w:after="120"/>
              <w:ind w:firstLine="0"/>
              <w:jc w:val="center"/>
              <w:rPr>
                <w:b/>
              </w:rPr>
            </w:pPr>
            <w:r>
              <w:rPr>
                <w:b/>
              </w:rPr>
              <w:t>Customer Class</w:t>
            </w:r>
          </w:p>
        </w:tc>
        <w:tc>
          <w:tcPr>
            <w:tcW w:w="3567" w:type="dxa"/>
            <w:gridSpan w:val="2"/>
            <w:tcBorders>
              <w:top w:val="nil"/>
              <w:left w:val="nil"/>
              <w:bottom w:val="nil"/>
              <w:right w:val="nil"/>
            </w:tcBorders>
            <w:vAlign w:val="center"/>
          </w:tcPr>
          <w:p w:rsidR="004927D8" w:rsidRPr="00603F16" w:rsidRDefault="004927D8" w:rsidP="00FF5DDD">
            <w:pPr>
              <w:spacing w:before="120" w:after="120"/>
              <w:ind w:firstLine="0"/>
              <w:jc w:val="center"/>
              <w:rPr>
                <w:b/>
              </w:rPr>
            </w:pPr>
            <w:r w:rsidRPr="00603F16">
              <w:rPr>
                <w:b/>
              </w:rPr>
              <w:t>Monthly Facility Charge</w:t>
            </w:r>
          </w:p>
        </w:tc>
        <w:tc>
          <w:tcPr>
            <w:tcW w:w="3831" w:type="dxa"/>
            <w:gridSpan w:val="2"/>
            <w:tcBorders>
              <w:top w:val="nil"/>
              <w:left w:val="nil"/>
              <w:bottom w:val="nil"/>
              <w:right w:val="nil"/>
            </w:tcBorders>
            <w:vAlign w:val="center"/>
          </w:tcPr>
          <w:p w:rsidR="004927D8" w:rsidRPr="00603F16" w:rsidRDefault="004927D8" w:rsidP="00782283">
            <w:pPr>
              <w:spacing w:before="120"/>
              <w:ind w:firstLine="0"/>
              <w:jc w:val="center"/>
              <w:rPr>
                <w:b/>
              </w:rPr>
            </w:pPr>
            <w:r w:rsidRPr="00603F16">
              <w:rPr>
                <w:b/>
              </w:rPr>
              <w:t>Volumetric Charge</w:t>
            </w:r>
          </w:p>
          <w:p w:rsidR="004927D8" w:rsidRPr="00603F16" w:rsidRDefault="004927D8" w:rsidP="00782283">
            <w:pPr>
              <w:spacing w:after="120"/>
              <w:ind w:firstLine="0"/>
              <w:jc w:val="center"/>
            </w:pPr>
            <w:r w:rsidRPr="00603F16">
              <w:t>per 1,000 gallons</w:t>
            </w:r>
          </w:p>
        </w:tc>
      </w:tr>
      <w:tr w:rsidR="004927D8" w:rsidTr="003231C0">
        <w:tc>
          <w:tcPr>
            <w:tcW w:w="2178" w:type="dxa"/>
            <w:tcBorders>
              <w:top w:val="nil"/>
              <w:left w:val="nil"/>
              <w:bottom w:val="nil"/>
              <w:right w:val="nil"/>
            </w:tcBorders>
          </w:tcPr>
          <w:p w:rsidR="004927D8" w:rsidRDefault="004927D8" w:rsidP="001E1782">
            <w:pPr>
              <w:ind w:firstLine="0"/>
            </w:pPr>
          </w:p>
        </w:tc>
        <w:tc>
          <w:tcPr>
            <w:tcW w:w="1800" w:type="dxa"/>
            <w:tcBorders>
              <w:top w:val="nil"/>
              <w:left w:val="nil"/>
              <w:bottom w:val="nil"/>
              <w:right w:val="nil"/>
            </w:tcBorders>
          </w:tcPr>
          <w:p w:rsidR="004927D8" w:rsidRPr="00943A5F" w:rsidRDefault="004927D8" w:rsidP="00782283">
            <w:pPr>
              <w:spacing w:before="120"/>
              <w:ind w:firstLine="0"/>
              <w:jc w:val="center"/>
              <w:rPr>
                <w:b/>
              </w:rPr>
            </w:pPr>
            <w:r w:rsidRPr="00943A5F">
              <w:rPr>
                <w:b/>
              </w:rPr>
              <w:t>Current</w:t>
            </w:r>
          </w:p>
        </w:tc>
        <w:tc>
          <w:tcPr>
            <w:tcW w:w="1767" w:type="dxa"/>
            <w:tcBorders>
              <w:top w:val="nil"/>
              <w:left w:val="nil"/>
              <w:bottom w:val="nil"/>
              <w:right w:val="nil"/>
            </w:tcBorders>
          </w:tcPr>
          <w:p w:rsidR="004927D8" w:rsidRPr="00943A5F" w:rsidRDefault="00A20A8F" w:rsidP="00782283">
            <w:pPr>
              <w:spacing w:before="120"/>
              <w:ind w:firstLine="0"/>
              <w:jc w:val="center"/>
              <w:rPr>
                <w:b/>
              </w:rPr>
            </w:pPr>
            <w:r w:rsidRPr="00943A5F">
              <w:rPr>
                <w:b/>
              </w:rPr>
              <w:t xml:space="preserve">Settlement </w:t>
            </w:r>
          </w:p>
        </w:tc>
        <w:tc>
          <w:tcPr>
            <w:tcW w:w="1915" w:type="dxa"/>
            <w:tcBorders>
              <w:top w:val="nil"/>
              <w:left w:val="nil"/>
              <w:bottom w:val="nil"/>
              <w:right w:val="nil"/>
            </w:tcBorders>
          </w:tcPr>
          <w:p w:rsidR="004927D8" w:rsidRPr="00943A5F" w:rsidRDefault="004927D8" w:rsidP="00782283">
            <w:pPr>
              <w:spacing w:before="120"/>
              <w:ind w:firstLine="0"/>
              <w:jc w:val="center"/>
              <w:rPr>
                <w:b/>
              </w:rPr>
            </w:pPr>
            <w:r w:rsidRPr="00943A5F">
              <w:rPr>
                <w:b/>
              </w:rPr>
              <w:t>Current</w:t>
            </w:r>
          </w:p>
        </w:tc>
        <w:tc>
          <w:tcPr>
            <w:tcW w:w="1916" w:type="dxa"/>
            <w:tcBorders>
              <w:top w:val="nil"/>
              <w:left w:val="nil"/>
              <w:bottom w:val="nil"/>
              <w:right w:val="nil"/>
            </w:tcBorders>
          </w:tcPr>
          <w:p w:rsidR="004927D8" w:rsidRPr="00943A5F" w:rsidRDefault="00A20A8F" w:rsidP="00782283">
            <w:pPr>
              <w:spacing w:before="120"/>
              <w:ind w:firstLine="0"/>
              <w:jc w:val="center"/>
              <w:rPr>
                <w:b/>
              </w:rPr>
            </w:pPr>
            <w:r w:rsidRPr="00943A5F">
              <w:rPr>
                <w:b/>
              </w:rPr>
              <w:t>Settlement</w:t>
            </w:r>
          </w:p>
        </w:tc>
      </w:tr>
      <w:tr w:rsidR="005E67CC" w:rsidTr="003231C0">
        <w:tc>
          <w:tcPr>
            <w:tcW w:w="9576" w:type="dxa"/>
            <w:gridSpan w:val="5"/>
            <w:tcBorders>
              <w:top w:val="nil"/>
              <w:left w:val="nil"/>
              <w:bottom w:val="single" w:sz="4" w:space="0" w:color="auto"/>
              <w:right w:val="nil"/>
            </w:tcBorders>
          </w:tcPr>
          <w:p w:rsidR="005E67CC" w:rsidRDefault="005E67CC" w:rsidP="005E67CC">
            <w:pPr>
              <w:spacing w:before="120" w:after="120"/>
              <w:ind w:firstLine="0"/>
            </w:pPr>
            <w:r w:rsidRPr="005E67CC">
              <w:rPr>
                <w:b/>
              </w:rPr>
              <w:t>Newlin Green</w:t>
            </w:r>
          </w:p>
        </w:tc>
      </w:tr>
      <w:tr w:rsidR="004927D8" w:rsidTr="003231C0">
        <w:tc>
          <w:tcPr>
            <w:tcW w:w="2178" w:type="dxa"/>
            <w:tcBorders>
              <w:top w:val="single" w:sz="4" w:space="0" w:color="auto"/>
              <w:bottom w:val="single" w:sz="4" w:space="0" w:color="auto"/>
            </w:tcBorders>
          </w:tcPr>
          <w:p w:rsidR="004927D8" w:rsidRDefault="005E67CC" w:rsidP="001E1782">
            <w:pPr>
              <w:ind w:firstLine="0"/>
            </w:pPr>
            <w:r>
              <w:t>Residential</w:t>
            </w:r>
          </w:p>
        </w:tc>
        <w:tc>
          <w:tcPr>
            <w:tcW w:w="1800" w:type="dxa"/>
            <w:tcBorders>
              <w:top w:val="single" w:sz="4" w:space="0" w:color="auto"/>
              <w:bottom w:val="single" w:sz="4" w:space="0" w:color="auto"/>
            </w:tcBorders>
          </w:tcPr>
          <w:p w:rsidR="004927D8" w:rsidRDefault="005E67CC" w:rsidP="005E67CC">
            <w:pPr>
              <w:ind w:firstLine="0"/>
              <w:jc w:val="center"/>
            </w:pPr>
            <w:r>
              <w:t>$90.00</w:t>
            </w:r>
          </w:p>
        </w:tc>
        <w:tc>
          <w:tcPr>
            <w:tcW w:w="1767" w:type="dxa"/>
            <w:tcBorders>
              <w:top w:val="single" w:sz="4" w:space="0" w:color="auto"/>
              <w:bottom w:val="single" w:sz="4" w:space="0" w:color="auto"/>
            </w:tcBorders>
          </w:tcPr>
          <w:p w:rsidR="004927D8" w:rsidRDefault="005E67CC" w:rsidP="005E67CC">
            <w:pPr>
              <w:ind w:firstLine="0"/>
              <w:jc w:val="center"/>
            </w:pPr>
            <w:r>
              <w:t>$110.00</w:t>
            </w:r>
          </w:p>
        </w:tc>
        <w:tc>
          <w:tcPr>
            <w:tcW w:w="1915" w:type="dxa"/>
            <w:tcBorders>
              <w:top w:val="single" w:sz="4" w:space="0" w:color="auto"/>
              <w:bottom w:val="single" w:sz="4" w:space="0" w:color="auto"/>
            </w:tcBorders>
          </w:tcPr>
          <w:p w:rsidR="004927D8" w:rsidRDefault="005E67CC" w:rsidP="005E67CC">
            <w:pPr>
              <w:ind w:firstLine="0"/>
              <w:jc w:val="center"/>
            </w:pPr>
            <w:r>
              <w:t>$1.50</w:t>
            </w:r>
          </w:p>
        </w:tc>
        <w:tc>
          <w:tcPr>
            <w:tcW w:w="1916" w:type="dxa"/>
            <w:tcBorders>
              <w:top w:val="single" w:sz="4" w:space="0" w:color="auto"/>
              <w:bottom w:val="single" w:sz="4" w:space="0" w:color="auto"/>
            </w:tcBorders>
          </w:tcPr>
          <w:p w:rsidR="004927D8" w:rsidRDefault="005E67CC" w:rsidP="005E67CC">
            <w:pPr>
              <w:ind w:firstLine="0"/>
              <w:jc w:val="center"/>
            </w:pPr>
            <w:r>
              <w:t>$7.50</w:t>
            </w:r>
          </w:p>
        </w:tc>
      </w:tr>
      <w:tr w:rsidR="004927D8" w:rsidTr="003231C0">
        <w:tc>
          <w:tcPr>
            <w:tcW w:w="2178" w:type="dxa"/>
            <w:tcBorders>
              <w:top w:val="single" w:sz="4" w:space="0" w:color="auto"/>
              <w:left w:val="nil"/>
              <w:bottom w:val="nil"/>
              <w:right w:val="nil"/>
            </w:tcBorders>
          </w:tcPr>
          <w:p w:rsidR="004927D8" w:rsidRDefault="004927D8" w:rsidP="001E1782">
            <w:pPr>
              <w:ind w:firstLine="0"/>
            </w:pPr>
          </w:p>
        </w:tc>
        <w:tc>
          <w:tcPr>
            <w:tcW w:w="1800" w:type="dxa"/>
            <w:tcBorders>
              <w:top w:val="single" w:sz="4" w:space="0" w:color="auto"/>
              <w:left w:val="nil"/>
              <w:bottom w:val="nil"/>
              <w:right w:val="nil"/>
            </w:tcBorders>
          </w:tcPr>
          <w:p w:rsidR="004927D8" w:rsidRDefault="004927D8" w:rsidP="001E1782">
            <w:pPr>
              <w:ind w:firstLine="0"/>
            </w:pPr>
          </w:p>
        </w:tc>
        <w:tc>
          <w:tcPr>
            <w:tcW w:w="1767" w:type="dxa"/>
            <w:tcBorders>
              <w:top w:val="single" w:sz="4" w:space="0" w:color="auto"/>
              <w:left w:val="nil"/>
              <w:bottom w:val="nil"/>
              <w:right w:val="nil"/>
            </w:tcBorders>
          </w:tcPr>
          <w:p w:rsidR="004927D8" w:rsidRDefault="004927D8" w:rsidP="001E1782">
            <w:pPr>
              <w:ind w:firstLine="0"/>
            </w:pPr>
          </w:p>
        </w:tc>
        <w:tc>
          <w:tcPr>
            <w:tcW w:w="1915" w:type="dxa"/>
            <w:tcBorders>
              <w:top w:val="single" w:sz="4" w:space="0" w:color="auto"/>
              <w:left w:val="nil"/>
              <w:bottom w:val="nil"/>
              <w:right w:val="nil"/>
            </w:tcBorders>
          </w:tcPr>
          <w:p w:rsidR="004927D8" w:rsidRDefault="004927D8" w:rsidP="001E1782">
            <w:pPr>
              <w:ind w:firstLine="0"/>
            </w:pPr>
          </w:p>
        </w:tc>
        <w:tc>
          <w:tcPr>
            <w:tcW w:w="1916" w:type="dxa"/>
            <w:tcBorders>
              <w:top w:val="single" w:sz="4" w:space="0" w:color="auto"/>
              <w:left w:val="nil"/>
              <w:bottom w:val="nil"/>
              <w:right w:val="nil"/>
            </w:tcBorders>
          </w:tcPr>
          <w:p w:rsidR="004927D8" w:rsidRDefault="004927D8" w:rsidP="001E1782">
            <w:pPr>
              <w:ind w:firstLine="0"/>
            </w:pPr>
          </w:p>
        </w:tc>
      </w:tr>
      <w:tr w:rsidR="005A6B70" w:rsidTr="003231C0">
        <w:tc>
          <w:tcPr>
            <w:tcW w:w="9576" w:type="dxa"/>
            <w:gridSpan w:val="5"/>
            <w:tcBorders>
              <w:top w:val="nil"/>
              <w:left w:val="nil"/>
              <w:bottom w:val="single" w:sz="4" w:space="0" w:color="auto"/>
              <w:right w:val="nil"/>
            </w:tcBorders>
          </w:tcPr>
          <w:p w:rsidR="005A6B70" w:rsidRDefault="005A6B70" w:rsidP="005A6B70">
            <w:pPr>
              <w:spacing w:before="120" w:after="120"/>
              <w:ind w:firstLine="0"/>
            </w:pPr>
            <w:r w:rsidRPr="005E67CC">
              <w:rPr>
                <w:b/>
              </w:rPr>
              <w:t>Peddlers View</w:t>
            </w:r>
          </w:p>
        </w:tc>
      </w:tr>
      <w:tr w:rsidR="004927D8" w:rsidTr="003231C0">
        <w:tc>
          <w:tcPr>
            <w:tcW w:w="2178" w:type="dxa"/>
            <w:tcBorders>
              <w:top w:val="single" w:sz="4" w:space="0" w:color="auto"/>
              <w:bottom w:val="single" w:sz="4" w:space="0" w:color="auto"/>
            </w:tcBorders>
          </w:tcPr>
          <w:p w:rsidR="004927D8" w:rsidRDefault="005E67CC" w:rsidP="001E1782">
            <w:pPr>
              <w:ind w:firstLine="0"/>
            </w:pPr>
            <w:r>
              <w:t>Residential</w:t>
            </w:r>
          </w:p>
        </w:tc>
        <w:tc>
          <w:tcPr>
            <w:tcW w:w="1800" w:type="dxa"/>
            <w:tcBorders>
              <w:top w:val="single" w:sz="4" w:space="0" w:color="auto"/>
              <w:bottom w:val="single" w:sz="4" w:space="0" w:color="auto"/>
            </w:tcBorders>
          </w:tcPr>
          <w:p w:rsidR="004927D8" w:rsidRDefault="005E67CC" w:rsidP="005A6B70">
            <w:pPr>
              <w:ind w:firstLine="0"/>
              <w:jc w:val="center"/>
            </w:pPr>
            <w:r>
              <w:t>$49.00</w:t>
            </w:r>
          </w:p>
        </w:tc>
        <w:tc>
          <w:tcPr>
            <w:tcW w:w="1767" w:type="dxa"/>
            <w:tcBorders>
              <w:top w:val="single" w:sz="4" w:space="0" w:color="auto"/>
              <w:bottom w:val="single" w:sz="4" w:space="0" w:color="auto"/>
            </w:tcBorders>
          </w:tcPr>
          <w:p w:rsidR="004927D8" w:rsidRDefault="005E67CC" w:rsidP="005A6B70">
            <w:pPr>
              <w:ind w:firstLine="0"/>
              <w:jc w:val="center"/>
            </w:pPr>
            <w:r>
              <w:t>$54.00</w:t>
            </w:r>
          </w:p>
        </w:tc>
        <w:tc>
          <w:tcPr>
            <w:tcW w:w="1915" w:type="dxa"/>
            <w:tcBorders>
              <w:top w:val="single" w:sz="4" w:space="0" w:color="auto"/>
              <w:bottom w:val="single" w:sz="4" w:space="0" w:color="auto"/>
            </w:tcBorders>
          </w:tcPr>
          <w:p w:rsidR="004927D8" w:rsidRDefault="005E67CC" w:rsidP="005A6B70">
            <w:pPr>
              <w:ind w:firstLine="0"/>
              <w:jc w:val="center"/>
            </w:pPr>
            <w:r>
              <w:t>$4.75</w:t>
            </w:r>
          </w:p>
        </w:tc>
        <w:tc>
          <w:tcPr>
            <w:tcW w:w="1916" w:type="dxa"/>
            <w:tcBorders>
              <w:top w:val="single" w:sz="4" w:space="0" w:color="auto"/>
              <w:bottom w:val="single" w:sz="4" w:space="0" w:color="auto"/>
            </w:tcBorders>
          </w:tcPr>
          <w:p w:rsidR="004927D8" w:rsidRDefault="005E67CC" w:rsidP="005A6B70">
            <w:pPr>
              <w:ind w:firstLine="0"/>
              <w:jc w:val="center"/>
            </w:pPr>
            <w:r>
              <w:t>$5.05</w:t>
            </w:r>
          </w:p>
        </w:tc>
      </w:tr>
      <w:tr w:rsidR="004927D8" w:rsidTr="003231C0">
        <w:tc>
          <w:tcPr>
            <w:tcW w:w="2178" w:type="dxa"/>
            <w:tcBorders>
              <w:top w:val="single" w:sz="4" w:space="0" w:color="auto"/>
              <w:left w:val="nil"/>
              <w:bottom w:val="nil"/>
              <w:right w:val="nil"/>
            </w:tcBorders>
          </w:tcPr>
          <w:p w:rsidR="004927D8" w:rsidRDefault="004927D8" w:rsidP="001E1782">
            <w:pPr>
              <w:ind w:firstLine="0"/>
            </w:pPr>
          </w:p>
        </w:tc>
        <w:tc>
          <w:tcPr>
            <w:tcW w:w="1800" w:type="dxa"/>
            <w:tcBorders>
              <w:top w:val="single" w:sz="4" w:space="0" w:color="auto"/>
              <w:left w:val="nil"/>
              <w:bottom w:val="nil"/>
              <w:right w:val="nil"/>
            </w:tcBorders>
          </w:tcPr>
          <w:p w:rsidR="004927D8" w:rsidRDefault="004927D8" w:rsidP="001E1782">
            <w:pPr>
              <w:ind w:firstLine="0"/>
            </w:pPr>
          </w:p>
        </w:tc>
        <w:tc>
          <w:tcPr>
            <w:tcW w:w="1767" w:type="dxa"/>
            <w:tcBorders>
              <w:top w:val="single" w:sz="4" w:space="0" w:color="auto"/>
              <w:left w:val="nil"/>
              <w:bottom w:val="nil"/>
              <w:right w:val="nil"/>
            </w:tcBorders>
          </w:tcPr>
          <w:p w:rsidR="004927D8" w:rsidRDefault="004927D8" w:rsidP="001E1782">
            <w:pPr>
              <w:ind w:firstLine="0"/>
            </w:pPr>
          </w:p>
        </w:tc>
        <w:tc>
          <w:tcPr>
            <w:tcW w:w="1915" w:type="dxa"/>
            <w:tcBorders>
              <w:top w:val="single" w:sz="4" w:space="0" w:color="auto"/>
              <w:left w:val="nil"/>
              <w:bottom w:val="nil"/>
              <w:right w:val="nil"/>
            </w:tcBorders>
          </w:tcPr>
          <w:p w:rsidR="004927D8" w:rsidRDefault="004927D8" w:rsidP="001E1782">
            <w:pPr>
              <w:ind w:firstLine="0"/>
            </w:pPr>
          </w:p>
        </w:tc>
        <w:tc>
          <w:tcPr>
            <w:tcW w:w="1916" w:type="dxa"/>
            <w:tcBorders>
              <w:top w:val="single" w:sz="4" w:space="0" w:color="auto"/>
              <w:left w:val="nil"/>
              <w:bottom w:val="nil"/>
              <w:right w:val="nil"/>
            </w:tcBorders>
          </w:tcPr>
          <w:p w:rsidR="004927D8" w:rsidRDefault="004927D8" w:rsidP="001E1782">
            <w:pPr>
              <w:ind w:firstLine="0"/>
            </w:pPr>
          </w:p>
        </w:tc>
      </w:tr>
      <w:tr w:rsidR="005A6B70" w:rsidTr="003231C0">
        <w:tc>
          <w:tcPr>
            <w:tcW w:w="9576" w:type="dxa"/>
            <w:gridSpan w:val="5"/>
            <w:tcBorders>
              <w:top w:val="nil"/>
              <w:left w:val="nil"/>
              <w:bottom w:val="single" w:sz="4" w:space="0" w:color="auto"/>
              <w:right w:val="nil"/>
            </w:tcBorders>
          </w:tcPr>
          <w:p w:rsidR="005A6B70" w:rsidRDefault="005A6B70" w:rsidP="005A6B70">
            <w:pPr>
              <w:spacing w:before="120" w:after="120"/>
              <w:ind w:firstLine="0"/>
            </w:pPr>
            <w:r w:rsidRPr="005A6B70">
              <w:rPr>
                <w:b/>
              </w:rPr>
              <w:t>Little Washington</w:t>
            </w:r>
          </w:p>
        </w:tc>
      </w:tr>
      <w:tr w:rsidR="004927D8" w:rsidTr="003231C0">
        <w:tc>
          <w:tcPr>
            <w:tcW w:w="2178" w:type="dxa"/>
            <w:tcBorders>
              <w:top w:val="single" w:sz="4" w:space="0" w:color="auto"/>
              <w:bottom w:val="single" w:sz="4" w:space="0" w:color="auto"/>
            </w:tcBorders>
          </w:tcPr>
          <w:p w:rsidR="004927D8" w:rsidRDefault="005A6B70" w:rsidP="001E1782">
            <w:pPr>
              <w:ind w:firstLine="0"/>
            </w:pPr>
            <w:r>
              <w:t xml:space="preserve">Residential </w:t>
            </w:r>
          </w:p>
        </w:tc>
        <w:tc>
          <w:tcPr>
            <w:tcW w:w="1800" w:type="dxa"/>
            <w:tcBorders>
              <w:top w:val="single" w:sz="4" w:space="0" w:color="auto"/>
              <w:bottom w:val="single" w:sz="4" w:space="0" w:color="auto"/>
            </w:tcBorders>
          </w:tcPr>
          <w:p w:rsidR="004927D8" w:rsidRDefault="005A6B70" w:rsidP="005A6B70">
            <w:pPr>
              <w:ind w:firstLine="0"/>
              <w:jc w:val="center"/>
            </w:pPr>
            <w:r>
              <w:t>$67.00</w:t>
            </w:r>
          </w:p>
        </w:tc>
        <w:tc>
          <w:tcPr>
            <w:tcW w:w="1767" w:type="dxa"/>
            <w:tcBorders>
              <w:top w:val="single" w:sz="4" w:space="0" w:color="auto"/>
              <w:bottom w:val="single" w:sz="4" w:space="0" w:color="auto"/>
            </w:tcBorders>
          </w:tcPr>
          <w:p w:rsidR="004927D8" w:rsidRDefault="005A6B70" w:rsidP="005A6B70">
            <w:pPr>
              <w:ind w:firstLine="0"/>
              <w:jc w:val="center"/>
            </w:pPr>
            <w:r>
              <w:t>$74.00</w:t>
            </w:r>
          </w:p>
        </w:tc>
        <w:tc>
          <w:tcPr>
            <w:tcW w:w="1915" w:type="dxa"/>
            <w:tcBorders>
              <w:top w:val="single" w:sz="4" w:space="0" w:color="auto"/>
              <w:bottom w:val="single" w:sz="4" w:space="0" w:color="auto"/>
            </w:tcBorders>
          </w:tcPr>
          <w:p w:rsidR="004927D8" w:rsidRDefault="005A6B70" w:rsidP="005A6B70">
            <w:pPr>
              <w:ind w:firstLine="0"/>
              <w:jc w:val="center"/>
            </w:pPr>
            <w:r>
              <w:t>$5.15</w:t>
            </w:r>
          </w:p>
        </w:tc>
        <w:tc>
          <w:tcPr>
            <w:tcW w:w="1916" w:type="dxa"/>
            <w:tcBorders>
              <w:top w:val="single" w:sz="4" w:space="0" w:color="auto"/>
              <w:bottom w:val="single" w:sz="4" w:space="0" w:color="auto"/>
            </w:tcBorders>
          </w:tcPr>
          <w:p w:rsidR="004927D8" w:rsidRDefault="005A6B70" w:rsidP="005A6B70">
            <w:pPr>
              <w:ind w:firstLine="0"/>
              <w:jc w:val="center"/>
            </w:pPr>
            <w:r>
              <w:t>$5.70</w:t>
            </w:r>
          </w:p>
        </w:tc>
      </w:tr>
      <w:tr w:rsidR="004927D8" w:rsidTr="003231C0">
        <w:tc>
          <w:tcPr>
            <w:tcW w:w="2178" w:type="dxa"/>
            <w:tcBorders>
              <w:top w:val="single" w:sz="4" w:space="0" w:color="auto"/>
              <w:left w:val="nil"/>
              <w:bottom w:val="nil"/>
              <w:right w:val="nil"/>
            </w:tcBorders>
          </w:tcPr>
          <w:p w:rsidR="004927D8" w:rsidRDefault="004927D8" w:rsidP="001E1782">
            <w:pPr>
              <w:ind w:firstLine="0"/>
            </w:pPr>
          </w:p>
        </w:tc>
        <w:tc>
          <w:tcPr>
            <w:tcW w:w="1800" w:type="dxa"/>
            <w:tcBorders>
              <w:top w:val="single" w:sz="4" w:space="0" w:color="auto"/>
              <w:left w:val="nil"/>
              <w:bottom w:val="nil"/>
              <w:right w:val="nil"/>
            </w:tcBorders>
          </w:tcPr>
          <w:p w:rsidR="004927D8" w:rsidRDefault="004927D8" w:rsidP="001E1782">
            <w:pPr>
              <w:ind w:firstLine="0"/>
            </w:pPr>
          </w:p>
        </w:tc>
        <w:tc>
          <w:tcPr>
            <w:tcW w:w="1767" w:type="dxa"/>
            <w:tcBorders>
              <w:top w:val="single" w:sz="4" w:space="0" w:color="auto"/>
              <w:left w:val="nil"/>
              <w:bottom w:val="nil"/>
              <w:right w:val="nil"/>
            </w:tcBorders>
          </w:tcPr>
          <w:p w:rsidR="004927D8" w:rsidRDefault="004927D8" w:rsidP="001E1782">
            <w:pPr>
              <w:ind w:firstLine="0"/>
            </w:pPr>
          </w:p>
        </w:tc>
        <w:tc>
          <w:tcPr>
            <w:tcW w:w="1915" w:type="dxa"/>
            <w:tcBorders>
              <w:top w:val="single" w:sz="4" w:space="0" w:color="auto"/>
              <w:left w:val="nil"/>
              <w:bottom w:val="nil"/>
              <w:right w:val="nil"/>
            </w:tcBorders>
          </w:tcPr>
          <w:p w:rsidR="004927D8" w:rsidRDefault="004927D8" w:rsidP="001E1782">
            <w:pPr>
              <w:ind w:firstLine="0"/>
            </w:pPr>
          </w:p>
        </w:tc>
        <w:tc>
          <w:tcPr>
            <w:tcW w:w="1916" w:type="dxa"/>
            <w:tcBorders>
              <w:top w:val="single" w:sz="4" w:space="0" w:color="auto"/>
              <w:left w:val="nil"/>
              <w:bottom w:val="nil"/>
              <w:right w:val="nil"/>
            </w:tcBorders>
          </w:tcPr>
          <w:p w:rsidR="004927D8" w:rsidRDefault="004927D8" w:rsidP="001E1782">
            <w:pPr>
              <w:ind w:firstLine="0"/>
            </w:pPr>
          </w:p>
        </w:tc>
      </w:tr>
      <w:tr w:rsidR="005A6B70" w:rsidTr="00026BAB">
        <w:tc>
          <w:tcPr>
            <w:tcW w:w="9576" w:type="dxa"/>
            <w:gridSpan w:val="5"/>
            <w:tcBorders>
              <w:top w:val="nil"/>
              <w:left w:val="nil"/>
              <w:bottom w:val="single" w:sz="4" w:space="0" w:color="auto"/>
              <w:right w:val="nil"/>
            </w:tcBorders>
          </w:tcPr>
          <w:p w:rsidR="005A6B70" w:rsidRPr="005A6B70" w:rsidRDefault="005A6B70" w:rsidP="005A6B70">
            <w:pPr>
              <w:spacing w:before="120" w:after="120"/>
              <w:ind w:firstLine="0"/>
              <w:rPr>
                <w:b/>
              </w:rPr>
            </w:pPr>
            <w:r w:rsidRPr="005A6B70">
              <w:rPr>
                <w:b/>
              </w:rPr>
              <w:t>Chesterdale</w:t>
            </w:r>
            <w:r w:rsidR="00213C05">
              <w:rPr>
                <w:rStyle w:val="FootnoteReference"/>
                <w:b/>
              </w:rPr>
              <w:footnoteReference w:id="3"/>
            </w:r>
          </w:p>
        </w:tc>
      </w:tr>
      <w:tr w:rsidR="004927D8" w:rsidTr="00026BAB">
        <w:tc>
          <w:tcPr>
            <w:tcW w:w="2178" w:type="dxa"/>
            <w:tcBorders>
              <w:top w:val="single" w:sz="4" w:space="0" w:color="auto"/>
            </w:tcBorders>
          </w:tcPr>
          <w:p w:rsidR="004927D8" w:rsidRDefault="00026BAB" w:rsidP="00026BAB">
            <w:pPr>
              <w:ind w:firstLine="0"/>
            </w:pPr>
            <w:r>
              <w:t>Residential</w:t>
            </w:r>
          </w:p>
        </w:tc>
        <w:tc>
          <w:tcPr>
            <w:tcW w:w="1800" w:type="dxa"/>
            <w:tcBorders>
              <w:top w:val="single" w:sz="4" w:space="0" w:color="auto"/>
            </w:tcBorders>
          </w:tcPr>
          <w:p w:rsidR="004927D8" w:rsidRDefault="0090377F" w:rsidP="0090377F">
            <w:pPr>
              <w:ind w:firstLine="0"/>
              <w:jc w:val="center"/>
            </w:pPr>
            <w:r>
              <w:t>$42.00</w:t>
            </w:r>
          </w:p>
        </w:tc>
        <w:tc>
          <w:tcPr>
            <w:tcW w:w="1767" w:type="dxa"/>
            <w:tcBorders>
              <w:top w:val="single" w:sz="4" w:space="0" w:color="auto"/>
            </w:tcBorders>
          </w:tcPr>
          <w:p w:rsidR="004927D8" w:rsidRDefault="0090377F" w:rsidP="0090377F">
            <w:pPr>
              <w:ind w:firstLine="0"/>
              <w:jc w:val="center"/>
            </w:pPr>
            <w:r>
              <w:t>$43.00</w:t>
            </w:r>
          </w:p>
        </w:tc>
        <w:tc>
          <w:tcPr>
            <w:tcW w:w="1915" w:type="dxa"/>
            <w:tcBorders>
              <w:top w:val="single" w:sz="4" w:space="0" w:color="auto"/>
            </w:tcBorders>
          </w:tcPr>
          <w:p w:rsidR="004927D8" w:rsidRDefault="0090377F" w:rsidP="0090377F">
            <w:pPr>
              <w:ind w:firstLine="0"/>
              <w:jc w:val="center"/>
            </w:pPr>
            <w:r>
              <w:t>$2.40</w:t>
            </w:r>
          </w:p>
        </w:tc>
        <w:tc>
          <w:tcPr>
            <w:tcW w:w="1916" w:type="dxa"/>
            <w:tcBorders>
              <w:top w:val="single" w:sz="4" w:space="0" w:color="auto"/>
            </w:tcBorders>
          </w:tcPr>
          <w:p w:rsidR="004927D8" w:rsidRDefault="0090377F" w:rsidP="0090377F">
            <w:pPr>
              <w:ind w:firstLine="0"/>
              <w:jc w:val="center"/>
            </w:pPr>
            <w:r>
              <w:t>$3.00</w:t>
            </w:r>
          </w:p>
        </w:tc>
      </w:tr>
    </w:tbl>
    <w:p w:rsidR="00060338" w:rsidRDefault="00060338" w:rsidP="00D95F0D">
      <w:pPr>
        <w:spacing w:line="240" w:lineRule="auto"/>
        <w:rPr>
          <w:color w:val="00B050"/>
        </w:rPr>
      </w:pPr>
    </w:p>
    <w:p w:rsidR="0090377F" w:rsidRDefault="00BF3E5A" w:rsidP="00BF3E5A">
      <w:pPr>
        <w:ind w:firstLine="0"/>
      </w:pPr>
      <w:r w:rsidRPr="00BF3E5A">
        <w:t>Source: Settlement Paragraph 11.d. at 5-12.</w:t>
      </w:r>
    </w:p>
    <w:p w:rsidR="00BF3E5A" w:rsidRDefault="00BF3E5A" w:rsidP="00BF3E5A">
      <w:pPr>
        <w:ind w:firstLine="0"/>
      </w:pPr>
    </w:p>
    <w:p w:rsidR="0033238B" w:rsidRDefault="002A01DD" w:rsidP="002A01DD">
      <w:r>
        <w:t xml:space="preserve">The Settlement </w:t>
      </w:r>
      <w:r w:rsidR="0033238B">
        <w:t xml:space="preserve">contains the following information that reflects the impact the proposed Settlement rates will have on “typical” residential customers in the eight </w:t>
      </w:r>
      <w:r w:rsidR="002122CA">
        <w:t>divisions</w:t>
      </w:r>
      <w:r w:rsidR="0033238B">
        <w:t xml:space="preserve"> that would experience a rate increase. </w:t>
      </w:r>
    </w:p>
    <w:p w:rsidR="00C511EC" w:rsidRDefault="0033238B" w:rsidP="002A01DD">
      <w:r>
        <w:t xml:space="preserve">  </w:t>
      </w:r>
    </w:p>
    <w:p w:rsidR="00C511EC" w:rsidRDefault="00C511EC">
      <w:r>
        <w:br w:type="page"/>
      </w:r>
    </w:p>
    <w:p w:rsidR="00C511EC" w:rsidRDefault="00A20A8F" w:rsidP="00A20A8F">
      <w:pPr>
        <w:ind w:firstLine="0"/>
        <w:jc w:val="center"/>
        <w:rPr>
          <w:b/>
        </w:rPr>
      </w:pPr>
      <w:r w:rsidRPr="00A20A8F">
        <w:rPr>
          <w:b/>
        </w:rPr>
        <w:lastRenderedPageBreak/>
        <w:t>Typical Residential Monthly Consumption and Rates</w:t>
      </w:r>
      <w:r>
        <w:rPr>
          <w:b/>
        </w:rPr>
        <w:t xml:space="preserve"> by </w:t>
      </w:r>
      <w:r w:rsidR="005731E9">
        <w:rPr>
          <w:b/>
        </w:rPr>
        <w:t>Division</w:t>
      </w:r>
    </w:p>
    <w:p w:rsidR="00A20A8F" w:rsidRPr="00A20A8F" w:rsidRDefault="00A20A8F" w:rsidP="00A20A8F">
      <w:pPr>
        <w:ind w:firstLine="0"/>
        <w:jc w:val="center"/>
        <w:rPr>
          <w:b/>
        </w:rPr>
      </w:pPr>
    </w:p>
    <w:tbl>
      <w:tblPr>
        <w:tblStyle w:val="TableGrid"/>
        <w:tblW w:w="0" w:type="auto"/>
        <w:tblLook w:val="04A0"/>
      </w:tblPr>
      <w:tblGrid>
        <w:gridCol w:w="1818"/>
        <w:gridCol w:w="1719"/>
        <w:gridCol w:w="1431"/>
        <w:gridCol w:w="1410"/>
        <w:gridCol w:w="1791"/>
        <w:gridCol w:w="1407"/>
      </w:tblGrid>
      <w:tr w:rsidR="003C2123" w:rsidTr="001A55E6">
        <w:tc>
          <w:tcPr>
            <w:tcW w:w="1818" w:type="dxa"/>
            <w:tcBorders>
              <w:top w:val="nil"/>
              <w:left w:val="nil"/>
              <w:bottom w:val="nil"/>
              <w:right w:val="nil"/>
            </w:tcBorders>
            <w:vAlign w:val="center"/>
          </w:tcPr>
          <w:p w:rsidR="003C2123" w:rsidRPr="003F2428" w:rsidRDefault="003C2123" w:rsidP="003F2428">
            <w:pPr>
              <w:ind w:firstLine="0"/>
              <w:jc w:val="center"/>
              <w:rPr>
                <w:b/>
              </w:rPr>
            </w:pPr>
          </w:p>
        </w:tc>
        <w:tc>
          <w:tcPr>
            <w:tcW w:w="1719" w:type="dxa"/>
            <w:tcBorders>
              <w:top w:val="nil"/>
              <w:left w:val="nil"/>
              <w:bottom w:val="nil"/>
              <w:right w:val="nil"/>
            </w:tcBorders>
            <w:vAlign w:val="center"/>
          </w:tcPr>
          <w:p w:rsidR="003C2123" w:rsidRDefault="003C2123" w:rsidP="003F2428">
            <w:pPr>
              <w:ind w:firstLine="0"/>
              <w:jc w:val="center"/>
              <w:rPr>
                <w:b/>
              </w:rPr>
            </w:pPr>
            <w:r w:rsidRPr="003F2428">
              <w:rPr>
                <w:b/>
              </w:rPr>
              <w:t>Consumption</w:t>
            </w:r>
          </w:p>
          <w:p w:rsidR="003C2123" w:rsidRPr="003F2428" w:rsidRDefault="003C2123" w:rsidP="003F2428">
            <w:pPr>
              <w:ind w:firstLine="0"/>
              <w:jc w:val="center"/>
            </w:pPr>
            <w:r w:rsidRPr="003F2428">
              <w:t>(gallons)</w:t>
            </w:r>
          </w:p>
        </w:tc>
        <w:tc>
          <w:tcPr>
            <w:tcW w:w="1431" w:type="dxa"/>
            <w:tcBorders>
              <w:top w:val="nil"/>
              <w:left w:val="nil"/>
              <w:bottom w:val="nil"/>
              <w:right w:val="nil"/>
            </w:tcBorders>
            <w:vAlign w:val="center"/>
          </w:tcPr>
          <w:p w:rsidR="003C2123" w:rsidRPr="003F2428" w:rsidRDefault="003C2123" w:rsidP="003F2428">
            <w:pPr>
              <w:ind w:firstLine="0"/>
              <w:jc w:val="center"/>
              <w:rPr>
                <w:b/>
              </w:rPr>
            </w:pPr>
            <w:r w:rsidRPr="003F2428">
              <w:rPr>
                <w:b/>
              </w:rPr>
              <w:t>Current Rate</w:t>
            </w:r>
          </w:p>
        </w:tc>
        <w:tc>
          <w:tcPr>
            <w:tcW w:w="1410" w:type="dxa"/>
            <w:tcBorders>
              <w:top w:val="nil"/>
              <w:left w:val="nil"/>
              <w:bottom w:val="nil"/>
              <w:right w:val="nil"/>
            </w:tcBorders>
            <w:vAlign w:val="center"/>
          </w:tcPr>
          <w:p w:rsidR="003C2123" w:rsidRPr="003F2428" w:rsidRDefault="003C2123" w:rsidP="003F2428">
            <w:pPr>
              <w:ind w:firstLine="0"/>
              <w:jc w:val="center"/>
              <w:rPr>
                <w:b/>
              </w:rPr>
            </w:pPr>
            <w:r w:rsidRPr="003F2428">
              <w:rPr>
                <w:b/>
              </w:rPr>
              <w:t>Proposed Rate</w:t>
            </w:r>
          </w:p>
        </w:tc>
        <w:tc>
          <w:tcPr>
            <w:tcW w:w="1791" w:type="dxa"/>
            <w:tcBorders>
              <w:top w:val="nil"/>
              <w:left w:val="nil"/>
              <w:bottom w:val="nil"/>
              <w:right w:val="nil"/>
            </w:tcBorders>
            <w:vAlign w:val="center"/>
          </w:tcPr>
          <w:p w:rsidR="003C2123" w:rsidRPr="003F2428" w:rsidRDefault="003C2123" w:rsidP="003F2428">
            <w:pPr>
              <w:ind w:firstLine="0"/>
              <w:jc w:val="center"/>
              <w:rPr>
                <w:b/>
              </w:rPr>
            </w:pPr>
            <w:r w:rsidRPr="003F2428">
              <w:rPr>
                <w:b/>
              </w:rPr>
              <w:t>Settlement Rate</w:t>
            </w:r>
          </w:p>
        </w:tc>
        <w:tc>
          <w:tcPr>
            <w:tcW w:w="1407" w:type="dxa"/>
            <w:tcBorders>
              <w:top w:val="nil"/>
              <w:left w:val="nil"/>
              <w:bottom w:val="nil"/>
              <w:right w:val="nil"/>
            </w:tcBorders>
          </w:tcPr>
          <w:p w:rsidR="003C2123" w:rsidRPr="003F2428" w:rsidRDefault="003C2123" w:rsidP="003F2428">
            <w:pPr>
              <w:ind w:firstLine="0"/>
              <w:jc w:val="center"/>
              <w:rPr>
                <w:b/>
              </w:rPr>
            </w:pPr>
            <w:r>
              <w:rPr>
                <w:b/>
              </w:rPr>
              <w:t>Increase at Settlement Rates</w:t>
            </w:r>
          </w:p>
        </w:tc>
      </w:tr>
      <w:tr w:rsidR="003C2123" w:rsidTr="001A55E6">
        <w:tc>
          <w:tcPr>
            <w:tcW w:w="1818" w:type="dxa"/>
            <w:tcBorders>
              <w:top w:val="nil"/>
              <w:left w:val="nil"/>
              <w:bottom w:val="single" w:sz="4" w:space="0" w:color="auto"/>
              <w:right w:val="nil"/>
            </w:tcBorders>
          </w:tcPr>
          <w:p w:rsidR="003C2123" w:rsidRDefault="003C2123" w:rsidP="002A01DD">
            <w:pPr>
              <w:ind w:firstLine="0"/>
            </w:pPr>
          </w:p>
        </w:tc>
        <w:tc>
          <w:tcPr>
            <w:tcW w:w="1719" w:type="dxa"/>
            <w:tcBorders>
              <w:top w:val="nil"/>
              <w:left w:val="nil"/>
              <w:bottom w:val="single" w:sz="4" w:space="0" w:color="auto"/>
              <w:right w:val="nil"/>
            </w:tcBorders>
          </w:tcPr>
          <w:p w:rsidR="003C2123" w:rsidRPr="00A20A8F" w:rsidRDefault="003C2123" w:rsidP="002A01DD">
            <w:pPr>
              <w:ind w:firstLine="0"/>
              <w:rPr>
                <w:sz w:val="16"/>
                <w:szCs w:val="16"/>
              </w:rPr>
            </w:pPr>
          </w:p>
        </w:tc>
        <w:tc>
          <w:tcPr>
            <w:tcW w:w="1431" w:type="dxa"/>
            <w:tcBorders>
              <w:top w:val="nil"/>
              <w:left w:val="nil"/>
              <w:bottom w:val="single" w:sz="4" w:space="0" w:color="auto"/>
              <w:right w:val="nil"/>
            </w:tcBorders>
          </w:tcPr>
          <w:p w:rsidR="003C2123" w:rsidRDefault="003C2123" w:rsidP="002A01DD">
            <w:pPr>
              <w:ind w:firstLine="0"/>
            </w:pPr>
          </w:p>
        </w:tc>
        <w:tc>
          <w:tcPr>
            <w:tcW w:w="1410" w:type="dxa"/>
            <w:tcBorders>
              <w:top w:val="nil"/>
              <w:left w:val="nil"/>
              <w:bottom w:val="single" w:sz="4" w:space="0" w:color="auto"/>
              <w:right w:val="nil"/>
            </w:tcBorders>
          </w:tcPr>
          <w:p w:rsidR="003C2123" w:rsidRDefault="003C2123" w:rsidP="002A01DD">
            <w:pPr>
              <w:ind w:firstLine="0"/>
            </w:pPr>
          </w:p>
        </w:tc>
        <w:tc>
          <w:tcPr>
            <w:tcW w:w="1791" w:type="dxa"/>
            <w:tcBorders>
              <w:top w:val="nil"/>
              <w:left w:val="nil"/>
              <w:bottom w:val="single" w:sz="4" w:space="0" w:color="auto"/>
              <w:right w:val="nil"/>
            </w:tcBorders>
          </w:tcPr>
          <w:p w:rsidR="003C2123" w:rsidRDefault="003C2123" w:rsidP="002A01DD">
            <w:pPr>
              <w:ind w:firstLine="0"/>
            </w:pPr>
          </w:p>
        </w:tc>
        <w:tc>
          <w:tcPr>
            <w:tcW w:w="1407" w:type="dxa"/>
            <w:tcBorders>
              <w:top w:val="nil"/>
              <w:left w:val="nil"/>
              <w:bottom w:val="single" w:sz="4" w:space="0" w:color="auto"/>
              <w:right w:val="nil"/>
            </w:tcBorders>
          </w:tcPr>
          <w:p w:rsidR="003C2123" w:rsidRDefault="003C2123" w:rsidP="002A01DD">
            <w:pPr>
              <w:ind w:firstLine="0"/>
            </w:pPr>
          </w:p>
        </w:tc>
      </w:tr>
      <w:tr w:rsidR="003C2123" w:rsidTr="001A55E6">
        <w:trPr>
          <w:trHeight w:val="180"/>
        </w:trPr>
        <w:tc>
          <w:tcPr>
            <w:tcW w:w="1818" w:type="dxa"/>
            <w:vMerge w:val="restart"/>
            <w:tcBorders>
              <w:top w:val="single" w:sz="4" w:space="0" w:color="auto"/>
            </w:tcBorders>
            <w:vAlign w:val="center"/>
          </w:tcPr>
          <w:p w:rsidR="003C2123" w:rsidRDefault="003C2123" w:rsidP="008C554D">
            <w:pPr>
              <w:ind w:firstLine="0"/>
            </w:pPr>
            <w:r>
              <w:t>Media</w:t>
            </w:r>
          </w:p>
        </w:tc>
        <w:tc>
          <w:tcPr>
            <w:tcW w:w="1719" w:type="dxa"/>
            <w:vMerge w:val="restart"/>
            <w:tcBorders>
              <w:top w:val="single" w:sz="4" w:space="0" w:color="auto"/>
            </w:tcBorders>
            <w:vAlign w:val="center"/>
          </w:tcPr>
          <w:p w:rsidR="003C2123" w:rsidRDefault="003C2123" w:rsidP="00434D02">
            <w:pPr>
              <w:ind w:firstLine="0"/>
              <w:jc w:val="center"/>
            </w:pPr>
            <w:r>
              <w:t>3,800</w:t>
            </w:r>
          </w:p>
        </w:tc>
        <w:tc>
          <w:tcPr>
            <w:tcW w:w="1431" w:type="dxa"/>
            <w:vMerge w:val="restart"/>
            <w:tcBorders>
              <w:top w:val="single" w:sz="4" w:space="0" w:color="auto"/>
            </w:tcBorders>
            <w:vAlign w:val="center"/>
          </w:tcPr>
          <w:p w:rsidR="003C2123" w:rsidRDefault="003C2123" w:rsidP="00434D02">
            <w:pPr>
              <w:ind w:right="144" w:firstLine="0"/>
              <w:jc w:val="right"/>
            </w:pPr>
            <w:r>
              <w:t>$17.23</w:t>
            </w:r>
          </w:p>
        </w:tc>
        <w:tc>
          <w:tcPr>
            <w:tcW w:w="1410" w:type="dxa"/>
            <w:vMerge w:val="restart"/>
            <w:tcBorders>
              <w:top w:val="single" w:sz="4" w:space="0" w:color="auto"/>
            </w:tcBorders>
            <w:vAlign w:val="center"/>
          </w:tcPr>
          <w:p w:rsidR="003C2123" w:rsidRDefault="003C2123" w:rsidP="00434D02">
            <w:pPr>
              <w:ind w:right="144" w:firstLine="0"/>
              <w:jc w:val="right"/>
            </w:pPr>
            <w:r>
              <w:t>$38.75</w:t>
            </w:r>
          </w:p>
        </w:tc>
        <w:tc>
          <w:tcPr>
            <w:tcW w:w="1791" w:type="dxa"/>
            <w:tcBorders>
              <w:top w:val="single" w:sz="4" w:space="0" w:color="auto"/>
            </w:tcBorders>
            <w:vAlign w:val="center"/>
          </w:tcPr>
          <w:p w:rsidR="003C2123" w:rsidRDefault="003C2123" w:rsidP="001A55E6">
            <w:pPr>
              <w:spacing w:before="60" w:after="60"/>
              <w:ind w:firstLine="0"/>
              <w:jc w:val="center"/>
            </w:pPr>
            <w:r>
              <w:t>Year 1  $34.06</w:t>
            </w:r>
          </w:p>
        </w:tc>
        <w:tc>
          <w:tcPr>
            <w:tcW w:w="1407" w:type="dxa"/>
            <w:tcBorders>
              <w:top w:val="single" w:sz="4" w:space="0" w:color="auto"/>
            </w:tcBorders>
          </w:tcPr>
          <w:p w:rsidR="003C2123" w:rsidRPr="00434D02" w:rsidRDefault="00434D02" w:rsidP="001A55E6">
            <w:pPr>
              <w:spacing w:before="60" w:after="60"/>
              <w:ind w:right="144" w:firstLine="0"/>
              <w:jc w:val="right"/>
            </w:pPr>
            <w:r w:rsidRPr="00434D02">
              <w:t>97.68%</w:t>
            </w:r>
          </w:p>
        </w:tc>
      </w:tr>
      <w:tr w:rsidR="003C2123" w:rsidTr="001A55E6">
        <w:trPr>
          <w:trHeight w:val="180"/>
        </w:trPr>
        <w:tc>
          <w:tcPr>
            <w:tcW w:w="1818" w:type="dxa"/>
            <w:vMerge/>
          </w:tcPr>
          <w:p w:rsidR="003C2123" w:rsidRDefault="003C2123" w:rsidP="002A01DD">
            <w:pPr>
              <w:ind w:firstLine="0"/>
            </w:pPr>
          </w:p>
        </w:tc>
        <w:tc>
          <w:tcPr>
            <w:tcW w:w="1719" w:type="dxa"/>
            <w:vMerge/>
          </w:tcPr>
          <w:p w:rsidR="003C2123" w:rsidRDefault="003C2123" w:rsidP="00434D02">
            <w:pPr>
              <w:ind w:firstLine="0"/>
              <w:jc w:val="center"/>
            </w:pPr>
          </w:p>
        </w:tc>
        <w:tc>
          <w:tcPr>
            <w:tcW w:w="1431" w:type="dxa"/>
            <w:vMerge/>
          </w:tcPr>
          <w:p w:rsidR="003C2123" w:rsidRDefault="003C2123" w:rsidP="00434D02">
            <w:pPr>
              <w:ind w:right="144" w:firstLine="0"/>
              <w:jc w:val="right"/>
            </w:pPr>
          </w:p>
        </w:tc>
        <w:tc>
          <w:tcPr>
            <w:tcW w:w="1410" w:type="dxa"/>
            <w:vMerge/>
          </w:tcPr>
          <w:p w:rsidR="003C2123" w:rsidRDefault="003C2123" w:rsidP="00434D02">
            <w:pPr>
              <w:ind w:right="144" w:firstLine="0"/>
              <w:jc w:val="right"/>
            </w:pPr>
          </w:p>
        </w:tc>
        <w:tc>
          <w:tcPr>
            <w:tcW w:w="1791" w:type="dxa"/>
            <w:vAlign w:val="center"/>
          </w:tcPr>
          <w:p w:rsidR="003C2123" w:rsidRDefault="003C2123" w:rsidP="001A55E6">
            <w:pPr>
              <w:spacing w:before="60" w:after="60"/>
              <w:ind w:firstLine="0"/>
              <w:jc w:val="center"/>
            </w:pPr>
            <w:r>
              <w:t>Year 2  $37.88</w:t>
            </w:r>
          </w:p>
        </w:tc>
        <w:tc>
          <w:tcPr>
            <w:tcW w:w="1407" w:type="dxa"/>
          </w:tcPr>
          <w:p w:rsidR="003C2123" w:rsidRPr="00434D02" w:rsidRDefault="00434D02" w:rsidP="001A55E6">
            <w:pPr>
              <w:spacing w:before="60" w:after="60"/>
              <w:ind w:right="144" w:firstLine="0"/>
              <w:jc w:val="right"/>
            </w:pPr>
            <w:r w:rsidRPr="00434D02">
              <w:t>11.20%</w:t>
            </w:r>
          </w:p>
        </w:tc>
      </w:tr>
      <w:tr w:rsidR="003C2123" w:rsidTr="001A55E6">
        <w:tc>
          <w:tcPr>
            <w:tcW w:w="1818" w:type="dxa"/>
          </w:tcPr>
          <w:p w:rsidR="001A55E6" w:rsidRDefault="003C2123" w:rsidP="001A55E6">
            <w:pPr>
              <w:spacing w:before="60"/>
              <w:ind w:firstLine="0"/>
            </w:pPr>
            <w:r>
              <w:t xml:space="preserve">Greens at </w:t>
            </w:r>
          </w:p>
          <w:p w:rsidR="003C2123" w:rsidRDefault="003C2123" w:rsidP="001A55E6">
            <w:pPr>
              <w:spacing w:after="60"/>
              <w:ind w:firstLine="0"/>
            </w:pPr>
            <w:r>
              <w:t>Penn Oaks</w:t>
            </w:r>
          </w:p>
        </w:tc>
        <w:tc>
          <w:tcPr>
            <w:tcW w:w="1719" w:type="dxa"/>
            <w:vAlign w:val="center"/>
          </w:tcPr>
          <w:p w:rsidR="003C2123" w:rsidRDefault="003C2123" w:rsidP="008C554D">
            <w:pPr>
              <w:spacing w:before="60" w:after="60"/>
              <w:ind w:firstLine="0"/>
              <w:jc w:val="center"/>
            </w:pPr>
            <w:r>
              <w:t>3,400</w:t>
            </w:r>
          </w:p>
        </w:tc>
        <w:tc>
          <w:tcPr>
            <w:tcW w:w="1431" w:type="dxa"/>
            <w:vAlign w:val="center"/>
          </w:tcPr>
          <w:p w:rsidR="003C2123" w:rsidRDefault="003C2123" w:rsidP="008C554D">
            <w:pPr>
              <w:spacing w:before="60" w:after="60"/>
              <w:ind w:right="144" w:firstLine="0"/>
              <w:jc w:val="right"/>
            </w:pPr>
            <w:r>
              <w:t>$95.10</w:t>
            </w:r>
          </w:p>
        </w:tc>
        <w:tc>
          <w:tcPr>
            <w:tcW w:w="1410" w:type="dxa"/>
            <w:vAlign w:val="center"/>
          </w:tcPr>
          <w:p w:rsidR="003C2123" w:rsidRDefault="003C2123" w:rsidP="008C554D">
            <w:pPr>
              <w:spacing w:before="60" w:after="60"/>
              <w:ind w:right="144" w:firstLine="0"/>
              <w:jc w:val="right"/>
            </w:pPr>
            <w:r>
              <w:t>$108.26</w:t>
            </w:r>
          </w:p>
        </w:tc>
        <w:tc>
          <w:tcPr>
            <w:tcW w:w="1791" w:type="dxa"/>
            <w:vAlign w:val="center"/>
          </w:tcPr>
          <w:p w:rsidR="003C2123" w:rsidRDefault="003C2123" w:rsidP="008C554D">
            <w:pPr>
              <w:spacing w:before="60" w:after="60"/>
              <w:ind w:right="360" w:firstLine="0"/>
              <w:jc w:val="right"/>
            </w:pPr>
            <w:r>
              <w:t>$106.00</w:t>
            </w:r>
          </w:p>
        </w:tc>
        <w:tc>
          <w:tcPr>
            <w:tcW w:w="1407" w:type="dxa"/>
            <w:vAlign w:val="center"/>
          </w:tcPr>
          <w:p w:rsidR="003C2123" w:rsidRPr="00434D02" w:rsidRDefault="00434D02" w:rsidP="008C554D">
            <w:pPr>
              <w:spacing w:before="60" w:after="60"/>
              <w:ind w:right="144" w:firstLine="0"/>
              <w:jc w:val="right"/>
            </w:pPr>
            <w:r w:rsidRPr="00434D02">
              <w:t>11.46%</w:t>
            </w:r>
          </w:p>
        </w:tc>
      </w:tr>
      <w:tr w:rsidR="003C2123" w:rsidTr="001A55E6">
        <w:tc>
          <w:tcPr>
            <w:tcW w:w="1818" w:type="dxa"/>
          </w:tcPr>
          <w:p w:rsidR="003C2123" w:rsidRDefault="003C2123" w:rsidP="008C554D">
            <w:pPr>
              <w:spacing w:before="60" w:after="60"/>
              <w:ind w:firstLine="0"/>
            </w:pPr>
            <w:r>
              <w:t>Twin Hills</w:t>
            </w:r>
          </w:p>
        </w:tc>
        <w:tc>
          <w:tcPr>
            <w:tcW w:w="1719" w:type="dxa"/>
            <w:vAlign w:val="center"/>
          </w:tcPr>
          <w:p w:rsidR="003C2123" w:rsidRDefault="003C2123" w:rsidP="008C554D">
            <w:pPr>
              <w:spacing w:before="60" w:after="60"/>
              <w:ind w:firstLine="0"/>
              <w:jc w:val="center"/>
            </w:pPr>
            <w:r>
              <w:t>4,400</w:t>
            </w:r>
          </w:p>
        </w:tc>
        <w:tc>
          <w:tcPr>
            <w:tcW w:w="1431" w:type="dxa"/>
            <w:vAlign w:val="center"/>
          </w:tcPr>
          <w:p w:rsidR="003C2123" w:rsidRDefault="003C2123" w:rsidP="008C554D">
            <w:pPr>
              <w:spacing w:before="60" w:after="60"/>
              <w:ind w:right="144" w:firstLine="0"/>
              <w:jc w:val="right"/>
            </w:pPr>
            <w:r>
              <w:t>$54.74</w:t>
            </w:r>
          </w:p>
        </w:tc>
        <w:tc>
          <w:tcPr>
            <w:tcW w:w="1410" w:type="dxa"/>
            <w:vAlign w:val="center"/>
          </w:tcPr>
          <w:p w:rsidR="003C2123" w:rsidRDefault="003C2123" w:rsidP="008C554D">
            <w:pPr>
              <w:spacing w:before="60" w:after="60"/>
              <w:ind w:right="144" w:firstLine="0"/>
              <w:jc w:val="right"/>
            </w:pPr>
            <w:r>
              <w:t>$69.08</w:t>
            </w:r>
          </w:p>
        </w:tc>
        <w:tc>
          <w:tcPr>
            <w:tcW w:w="1791" w:type="dxa"/>
            <w:vAlign w:val="center"/>
          </w:tcPr>
          <w:p w:rsidR="003C2123" w:rsidRDefault="003C2123" w:rsidP="008C554D">
            <w:pPr>
              <w:spacing w:before="60" w:after="60"/>
              <w:ind w:right="360" w:firstLine="0"/>
              <w:jc w:val="right"/>
            </w:pPr>
            <w:r>
              <w:t>$67.42</w:t>
            </w:r>
          </w:p>
        </w:tc>
        <w:tc>
          <w:tcPr>
            <w:tcW w:w="1407" w:type="dxa"/>
            <w:vAlign w:val="center"/>
          </w:tcPr>
          <w:p w:rsidR="003C2123" w:rsidRPr="00434D02" w:rsidRDefault="00434D02" w:rsidP="008C554D">
            <w:pPr>
              <w:spacing w:before="60" w:after="60"/>
              <w:ind w:right="144" w:firstLine="0"/>
              <w:jc w:val="right"/>
            </w:pPr>
            <w:r w:rsidRPr="00434D02">
              <w:t>23.16%</w:t>
            </w:r>
          </w:p>
        </w:tc>
      </w:tr>
      <w:tr w:rsidR="003C2123" w:rsidTr="001A55E6">
        <w:tc>
          <w:tcPr>
            <w:tcW w:w="1818" w:type="dxa"/>
          </w:tcPr>
          <w:p w:rsidR="003C2123" w:rsidRDefault="003C2123" w:rsidP="008C554D">
            <w:pPr>
              <w:spacing w:before="60" w:after="60"/>
              <w:ind w:firstLine="0"/>
            </w:pPr>
            <w:r>
              <w:t>New Daleville</w:t>
            </w:r>
          </w:p>
        </w:tc>
        <w:tc>
          <w:tcPr>
            <w:tcW w:w="1719" w:type="dxa"/>
            <w:vAlign w:val="center"/>
          </w:tcPr>
          <w:p w:rsidR="003C2123" w:rsidRDefault="003C2123" w:rsidP="008C554D">
            <w:pPr>
              <w:spacing w:before="60" w:after="60"/>
              <w:ind w:firstLine="0"/>
              <w:jc w:val="center"/>
            </w:pPr>
            <w:r>
              <w:t>Flat Rate</w:t>
            </w:r>
          </w:p>
        </w:tc>
        <w:tc>
          <w:tcPr>
            <w:tcW w:w="1431" w:type="dxa"/>
            <w:vAlign w:val="center"/>
          </w:tcPr>
          <w:p w:rsidR="003C2123" w:rsidRDefault="003C2123" w:rsidP="008C554D">
            <w:pPr>
              <w:spacing w:before="60" w:after="60"/>
              <w:ind w:right="144" w:firstLine="0"/>
              <w:jc w:val="right"/>
            </w:pPr>
            <w:r>
              <w:t>$66.67</w:t>
            </w:r>
          </w:p>
        </w:tc>
        <w:tc>
          <w:tcPr>
            <w:tcW w:w="1410" w:type="dxa"/>
            <w:vAlign w:val="center"/>
          </w:tcPr>
          <w:p w:rsidR="003C2123" w:rsidRDefault="003C2123" w:rsidP="008C554D">
            <w:pPr>
              <w:spacing w:before="60" w:after="60"/>
              <w:ind w:right="144" w:firstLine="0"/>
              <w:jc w:val="right"/>
            </w:pPr>
            <w:r>
              <w:t>$90.00</w:t>
            </w:r>
          </w:p>
        </w:tc>
        <w:tc>
          <w:tcPr>
            <w:tcW w:w="1791" w:type="dxa"/>
            <w:vAlign w:val="center"/>
          </w:tcPr>
          <w:p w:rsidR="003C2123" w:rsidRDefault="003C2123" w:rsidP="008C554D">
            <w:pPr>
              <w:spacing w:before="60" w:after="60"/>
              <w:ind w:right="360" w:firstLine="0"/>
              <w:jc w:val="right"/>
            </w:pPr>
            <w:r>
              <w:t>$70.64</w:t>
            </w:r>
          </w:p>
        </w:tc>
        <w:tc>
          <w:tcPr>
            <w:tcW w:w="1407" w:type="dxa"/>
            <w:vAlign w:val="center"/>
          </w:tcPr>
          <w:p w:rsidR="003C2123" w:rsidRPr="00434D02" w:rsidRDefault="00243819" w:rsidP="008C554D">
            <w:pPr>
              <w:spacing w:before="60" w:after="60"/>
              <w:ind w:right="144" w:firstLine="0"/>
              <w:jc w:val="right"/>
            </w:pPr>
            <w:r w:rsidRPr="00434D02">
              <w:t>5.95%</w:t>
            </w:r>
          </w:p>
        </w:tc>
      </w:tr>
      <w:tr w:rsidR="003C2123" w:rsidTr="001A55E6">
        <w:tc>
          <w:tcPr>
            <w:tcW w:w="1818" w:type="dxa"/>
          </w:tcPr>
          <w:p w:rsidR="003C2123" w:rsidRDefault="003C2123" w:rsidP="008C554D">
            <w:pPr>
              <w:spacing w:before="60" w:after="60"/>
              <w:ind w:firstLine="0"/>
            </w:pPr>
            <w:r>
              <w:t>Newlin Green</w:t>
            </w:r>
          </w:p>
        </w:tc>
        <w:tc>
          <w:tcPr>
            <w:tcW w:w="1719" w:type="dxa"/>
            <w:vAlign w:val="center"/>
          </w:tcPr>
          <w:p w:rsidR="003C2123" w:rsidRDefault="003C2123" w:rsidP="008C554D">
            <w:pPr>
              <w:spacing w:before="60" w:after="60"/>
              <w:ind w:firstLine="0"/>
              <w:jc w:val="center"/>
            </w:pPr>
            <w:r>
              <w:t>6,800</w:t>
            </w:r>
          </w:p>
        </w:tc>
        <w:tc>
          <w:tcPr>
            <w:tcW w:w="1431" w:type="dxa"/>
            <w:vAlign w:val="center"/>
          </w:tcPr>
          <w:p w:rsidR="003C2123" w:rsidRDefault="003C2123" w:rsidP="008C554D">
            <w:pPr>
              <w:spacing w:before="60" w:after="60"/>
              <w:ind w:right="144" w:firstLine="0"/>
              <w:jc w:val="right"/>
            </w:pPr>
            <w:r>
              <w:t>$100.20</w:t>
            </w:r>
          </w:p>
        </w:tc>
        <w:tc>
          <w:tcPr>
            <w:tcW w:w="1410" w:type="dxa"/>
            <w:vAlign w:val="center"/>
          </w:tcPr>
          <w:p w:rsidR="003C2123" w:rsidRDefault="003C2123" w:rsidP="008C554D">
            <w:pPr>
              <w:spacing w:before="60" w:after="60"/>
              <w:ind w:right="144" w:firstLine="0"/>
              <w:jc w:val="right"/>
            </w:pPr>
            <w:r>
              <w:t>$165.04</w:t>
            </w:r>
          </w:p>
        </w:tc>
        <w:tc>
          <w:tcPr>
            <w:tcW w:w="1791" w:type="dxa"/>
            <w:vAlign w:val="center"/>
          </w:tcPr>
          <w:p w:rsidR="003C2123" w:rsidRDefault="003C2123" w:rsidP="008C554D">
            <w:pPr>
              <w:spacing w:before="60" w:after="60"/>
              <w:ind w:right="360" w:firstLine="0"/>
              <w:jc w:val="right"/>
            </w:pPr>
            <w:r>
              <w:t>$161.00</w:t>
            </w:r>
          </w:p>
        </w:tc>
        <w:tc>
          <w:tcPr>
            <w:tcW w:w="1407" w:type="dxa"/>
            <w:vAlign w:val="center"/>
          </w:tcPr>
          <w:p w:rsidR="003C2123" w:rsidRPr="00434D02" w:rsidRDefault="00243819" w:rsidP="008C554D">
            <w:pPr>
              <w:spacing w:before="60" w:after="60"/>
              <w:ind w:right="144" w:firstLine="0"/>
              <w:jc w:val="right"/>
            </w:pPr>
            <w:r w:rsidRPr="00434D02">
              <w:t>60.68%</w:t>
            </w:r>
          </w:p>
        </w:tc>
      </w:tr>
      <w:tr w:rsidR="003C2123" w:rsidTr="001A55E6">
        <w:tc>
          <w:tcPr>
            <w:tcW w:w="1818" w:type="dxa"/>
          </w:tcPr>
          <w:p w:rsidR="003C2123" w:rsidRDefault="003C2123" w:rsidP="008C554D">
            <w:pPr>
              <w:spacing w:before="60" w:after="60"/>
              <w:ind w:firstLine="0"/>
            </w:pPr>
            <w:r>
              <w:t>Peddlers View</w:t>
            </w:r>
          </w:p>
        </w:tc>
        <w:tc>
          <w:tcPr>
            <w:tcW w:w="1719" w:type="dxa"/>
            <w:vAlign w:val="center"/>
          </w:tcPr>
          <w:p w:rsidR="003C2123" w:rsidRDefault="003C2123" w:rsidP="008C554D">
            <w:pPr>
              <w:spacing w:before="60" w:after="60"/>
              <w:ind w:firstLine="0"/>
              <w:jc w:val="center"/>
            </w:pPr>
            <w:r>
              <w:t>4,700</w:t>
            </w:r>
          </w:p>
        </w:tc>
        <w:tc>
          <w:tcPr>
            <w:tcW w:w="1431" w:type="dxa"/>
            <w:vAlign w:val="center"/>
          </w:tcPr>
          <w:p w:rsidR="003C2123" w:rsidRDefault="003C2123" w:rsidP="008C554D">
            <w:pPr>
              <w:spacing w:before="60" w:after="60"/>
              <w:ind w:right="144" w:firstLine="0"/>
              <w:jc w:val="right"/>
            </w:pPr>
            <w:r>
              <w:t>$71.33</w:t>
            </w:r>
          </w:p>
        </w:tc>
        <w:tc>
          <w:tcPr>
            <w:tcW w:w="1410" w:type="dxa"/>
            <w:vAlign w:val="center"/>
          </w:tcPr>
          <w:p w:rsidR="003C2123" w:rsidRDefault="003C2123" w:rsidP="008C554D">
            <w:pPr>
              <w:spacing w:before="60" w:after="60"/>
              <w:ind w:right="144" w:firstLine="0"/>
              <w:jc w:val="right"/>
            </w:pPr>
            <w:r>
              <w:t>$79.68</w:t>
            </w:r>
          </w:p>
        </w:tc>
        <w:tc>
          <w:tcPr>
            <w:tcW w:w="1791" w:type="dxa"/>
            <w:vAlign w:val="center"/>
          </w:tcPr>
          <w:p w:rsidR="003C2123" w:rsidRDefault="003C2123" w:rsidP="008C554D">
            <w:pPr>
              <w:spacing w:before="60" w:after="60"/>
              <w:ind w:right="360" w:firstLine="0"/>
              <w:jc w:val="right"/>
            </w:pPr>
            <w:r>
              <w:t>$77.74</w:t>
            </w:r>
          </w:p>
        </w:tc>
        <w:tc>
          <w:tcPr>
            <w:tcW w:w="1407" w:type="dxa"/>
            <w:vAlign w:val="center"/>
          </w:tcPr>
          <w:p w:rsidR="003C2123" w:rsidRPr="00434D02" w:rsidRDefault="00243819" w:rsidP="008C554D">
            <w:pPr>
              <w:spacing w:before="60" w:after="60"/>
              <w:ind w:right="144" w:firstLine="0"/>
              <w:jc w:val="right"/>
            </w:pPr>
            <w:r w:rsidRPr="00434D02">
              <w:t>8.99%</w:t>
            </w:r>
          </w:p>
        </w:tc>
      </w:tr>
      <w:tr w:rsidR="003C2123" w:rsidTr="001A55E6">
        <w:tc>
          <w:tcPr>
            <w:tcW w:w="1818" w:type="dxa"/>
          </w:tcPr>
          <w:p w:rsidR="003C2123" w:rsidRDefault="003C2123" w:rsidP="008C554D">
            <w:pPr>
              <w:spacing w:before="60" w:after="60"/>
              <w:ind w:firstLine="0"/>
            </w:pPr>
            <w:r>
              <w:t>Little Washington</w:t>
            </w:r>
          </w:p>
        </w:tc>
        <w:tc>
          <w:tcPr>
            <w:tcW w:w="1719" w:type="dxa"/>
            <w:vAlign w:val="center"/>
          </w:tcPr>
          <w:p w:rsidR="003C2123" w:rsidRDefault="003C2123" w:rsidP="008C554D">
            <w:pPr>
              <w:spacing w:before="60" w:after="60"/>
              <w:ind w:firstLine="0"/>
              <w:jc w:val="center"/>
            </w:pPr>
            <w:r>
              <w:t>3,500</w:t>
            </w:r>
          </w:p>
        </w:tc>
        <w:tc>
          <w:tcPr>
            <w:tcW w:w="1431" w:type="dxa"/>
            <w:vAlign w:val="center"/>
          </w:tcPr>
          <w:p w:rsidR="003C2123" w:rsidRDefault="003C2123" w:rsidP="008C554D">
            <w:pPr>
              <w:spacing w:before="60" w:after="60"/>
              <w:ind w:right="144" w:firstLine="0"/>
              <w:jc w:val="right"/>
            </w:pPr>
            <w:r>
              <w:t>$85.03</w:t>
            </w:r>
          </w:p>
        </w:tc>
        <w:tc>
          <w:tcPr>
            <w:tcW w:w="1410" w:type="dxa"/>
            <w:vAlign w:val="center"/>
          </w:tcPr>
          <w:p w:rsidR="003C2123" w:rsidRDefault="003C2123" w:rsidP="008C554D">
            <w:pPr>
              <w:spacing w:before="60" w:after="60"/>
              <w:ind w:right="144" w:firstLine="0"/>
              <w:jc w:val="right"/>
            </w:pPr>
            <w:r>
              <w:t>$96.00</w:t>
            </w:r>
          </w:p>
        </w:tc>
        <w:tc>
          <w:tcPr>
            <w:tcW w:w="1791" w:type="dxa"/>
            <w:vAlign w:val="center"/>
          </w:tcPr>
          <w:p w:rsidR="003C2123" w:rsidRDefault="003C2123" w:rsidP="008C554D">
            <w:pPr>
              <w:spacing w:before="60" w:after="60"/>
              <w:ind w:right="360" w:firstLine="0"/>
              <w:jc w:val="right"/>
            </w:pPr>
            <w:r>
              <w:t>$93.95</w:t>
            </w:r>
          </w:p>
        </w:tc>
        <w:tc>
          <w:tcPr>
            <w:tcW w:w="1407" w:type="dxa"/>
            <w:vAlign w:val="center"/>
          </w:tcPr>
          <w:p w:rsidR="003C2123" w:rsidRPr="00434D02" w:rsidRDefault="00243819" w:rsidP="008C554D">
            <w:pPr>
              <w:spacing w:before="60" w:after="60"/>
              <w:ind w:right="144" w:firstLine="0"/>
              <w:jc w:val="right"/>
            </w:pPr>
            <w:r w:rsidRPr="00434D02">
              <w:t>10.50%</w:t>
            </w:r>
          </w:p>
        </w:tc>
      </w:tr>
      <w:tr w:rsidR="003C2123" w:rsidTr="001A55E6">
        <w:tc>
          <w:tcPr>
            <w:tcW w:w="1818" w:type="dxa"/>
          </w:tcPr>
          <w:p w:rsidR="003C2123" w:rsidRDefault="003C2123" w:rsidP="008C554D">
            <w:pPr>
              <w:spacing w:before="60" w:after="60"/>
              <w:ind w:firstLine="0"/>
            </w:pPr>
            <w:r>
              <w:t>Chesterdale</w:t>
            </w:r>
          </w:p>
        </w:tc>
        <w:tc>
          <w:tcPr>
            <w:tcW w:w="1719" w:type="dxa"/>
            <w:vAlign w:val="center"/>
          </w:tcPr>
          <w:p w:rsidR="003C2123" w:rsidRDefault="00243819" w:rsidP="008C554D">
            <w:pPr>
              <w:spacing w:before="60" w:after="60"/>
              <w:ind w:firstLine="0"/>
              <w:jc w:val="center"/>
            </w:pPr>
            <w:r>
              <w:t>3,200</w:t>
            </w:r>
          </w:p>
        </w:tc>
        <w:tc>
          <w:tcPr>
            <w:tcW w:w="1431" w:type="dxa"/>
            <w:vAlign w:val="center"/>
          </w:tcPr>
          <w:p w:rsidR="003C2123" w:rsidRDefault="00243819" w:rsidP="008C554D">
            <w:pPr>
              <w:spacing w:before="60" w:after="60"/>
              <w:ind w:right="144" w:firstLine="0"/>
              <w:jc w:val="right"/>
            </w:pPr>
            <w:r>
              <w:t>$49.68</w:t>
            </w:r>
          </w:p>
        </w:tc>
        <w:tc>
          <w:tcPr>
            <w:tcW w:w="1410" w:type="dxa"/>
            <w:vAlign w:val="center"/>
          </w:tcPr>
          <w:p w:rsidR="003C2123" w:rsidRDefault="00243819" w:rsidP="008C554D">
            <w:pPr>
              <w:spacing w:before="60" w:after="60"/>
              <w:ind w:right="144" w:firstLine="0"/>
              <w:jc w:val="right"/>
            </w:pPr>
            <w:r>
              <w:t>$54.34</w:t>
            </w:r>
          </w:p>
        </w:tc>
        <w:tc>
          <w:tcPr>
            <w:tcW w:w="1791" w:type="dxa"/>
            <w:vAlign w:val="center"/>
          </w:tcPr>
          <w:p w:rsidR="003C2123" w:rsidRDefault="00243819" w:rsidP="008C554D">
            <w:pPr>
              <w:spacing w:before="60" w:after="60"/>
              <w:ind w:right="360" w:firstLine="0"/>
              <w:jc w:val="right"/>
            </w:pPr>
            <w:r>
              <w:t>$52.60</w:t>
            </w:r>
          </w:p>
        </w:tc>
        <w:tc>
          <w:tcPr>
            <w:tcW w:w="1407" w:type="dxa"/>
            <w:vAlign w:val="center"/>
          </w:tcPr>
          <w:p w:rsidR="003C2123" w:rsidRPr="00434D02" w:rsidRDefault="00243819" w:rsidP="008C554D">
            <w:pPr>
              <w:spacing w:before="60" w:after="60"/>
              <w:ind w:right="144" w:firstLine="0"/>
              <w:jc w:val="right"/>
            </w:pPr>
            <w:r w:rsidRPr="00434D02">
              <w:t>5.88%</w:t>
            </w:r>
          </w:p>
        </w:tc>
      </w:tr>
    </w:tbl>
    <w:p w:rsidR="00BF3E5A" w:rsidRDefault="00BF3E5A" w:rsidP="00D95F0D">
      <w:pPr>
        <w:spacing w:line="240" w:lineRule="auto"/>
      </w:pPr>
    </w:p>
    <w:p w:rsidR="00D95F0D" w:rsidRDefault="00D95F0D" w:rsidP="00D95F0D">
      <w:pPr>
        <w:ind w:firstLine="0"/>
      </w:pPr>
      <w:r w:rsidRPr="00BF3E5A">
        <w:t>Source: Settlement Paragraph 11.d. at 5-12.</w:t>
      </w:r>
    </w:p>
    <w:p w:rsidR="00410217" w:rsidRDefault="00410217" w:rsidP="00D95F0D">
      <w:pPr>
        <w:ind w:firstLine="0"/>
      </w:pPr>
    </w:p>
    <w:p w:rsidR="00D95F0D" w:rsidRDefault="003B36D8" w:rsidP="00D4657D">
      <w:pPr>
        <w:rPr>
          <w:rFonts w:cs="Times New Roman"/>
        </w:rPr>
      </w:pPr>
      <w:r>
        <w:t>In its Statement of Support, the OTS s</w:t>
      </w:r>
      <w:r w:rsidR="00A41D5B">
        <w:t>ubmitted</w:t>
      </w:r>
      <w:r>
        <w:t xml:space="preserve"> that the issues identified for investigation in its Prehearing Memorandum have been satisfactorily resolved through discovery and discussions with the Company</w:t>
      </w:r>
      <w:r w:rsidR="00044607">
        <w:t>,</w:t>
      </w:r>
      <w:r>
        <w:t xml:space="preserve"> and </w:t>
      </w:r>
      <w:r w:rsidR="00446521">
        <w:t xml:space="preserve">the resolutions </w:t>
      </w:r>
      <w:r>
        <w:t>are incorporated into the Settlement.</w:t>
      </w:r>
      <w:r w:rsidR="00544C19">
        <w:t xml:space="preserve">  OTS Statement in Support at 7.  The OTS s</w:t>
      </w:r>
      <w:r w:rsidR="00A41D5B">
        <w:t>tated</w:t>
      </w:r>
      <w:r w:rsidR="00544C19">
        <w:t xml:space="preserve"> that the Settlement provides that the customer and volumetric charges </w:t>
      </w:r>
      <w:r w:rsidR="003A6B41">
        <w:t xml:space="preserve">in the Company’s proposed tariffs will be moderated to reflect “the proper balance of the nature of the costs of providing wastewater service.” </w:t>
      </w:r>
      <w:r w:rsidR="000E19D2">
        <w:t xml:space="preserve"> </w:t>
      </w:r>
      <w:r w:rsidR="003A6B41">
        <w:t xml:space="preserve">The OTS averred that </w:t>
      </w:r>
      <w:r w:rsidR="00AF2338">
        <w:t>maintaining the proper customer charge benefits ratepayers by shifting the additional costs associated with the level of use to the associated volumetric charge.</w:t>
      </w:r>
      <w:r w:rsidR="00986E46">
        <w:t xml:space="preserve"> </w:t>
      </w:r>
      <w:r w:rsidR="00AF2338">
        <w:t xml:space="preserve"> </w:t>
      </w:r>
      <w:r w:rsidR="00D4657D">
        <w:t xml:space="preserve">The OTS argued that it </w:t>
      </w:r>
      <w:r w:rsidR="00AF2338">
        <w:rPr>
          <w:rFonts w:cs="Times New Roman"/>
        </w:rPr>
        <w:t>is important to allow the utility to recover the fixed portion of</w:t>
      </w:r>
      <w:r w:rsidR="00D4657D">
        <w:rPr>
          <w:rFonts w:cs="Times New Roman"/>
        </w:rPr>
        <w:t xml:space="preserve"> </w:t>
      </w:r>
      <w:r w:rsidR="00AF2338">
        <w:rPr>
          <w:rFonts w:cs="Times New Roman"/>
        </w:rPr>
        <w:t xml:space="preserve">providing service in </w:t>
      </w:r>
      <w:r w:rsidR="00D4657D">
        <w:rPr>
          <w:rFonts w:cs="Times New Roman"/>
        </w:rPr>
        <w:t>the customer charge</w:t>
      </w:r>
      <w:r w:rsidR="00446521">
        <w:rPr>
          <w:rFonts w:cs="Times New Roman"/>
        </w:rPr>
        <w:t>,</w:t>
      </w:r>
      <w:r w:rsidR="00D4657D">
        <w:rPr>
          <w:rFonts w:cs="Times New Roman"/>
        </w:rPr>
        <w:t xml:space="preserve"> </w:t>
      </w:r>
      <w:r w:rsidR="00AF2338">
        <w:rPr>
          <w:rFonts w:cs="Times New Roman"/>
        </w:rPr>
        <w:t>while protecting ratepayers by ensuring that any costs</w:t>
      </w:r>
      <w:r w:rsidR="00D4657D">
        <w:rPr>
          <w:rFonts w:cs="Times New Roman"/>
        </w:rPr>
        <w:t xml:space="preserve"> </w:t>
      </w:r>
      <w:r w:rsidR="00AF2338">
        <w:rPr>
          <w:rFonts w:cs="Times New Roman"/>
        </w:rPr>
        <w:t xml:space="preserve">not associated with wastewater service have been </w:t>
      </w:r>
      <w:r w:rsidR="00AF2338">
        <w:rPr>
          <w:rFonts w:cs="Times New Roman"/>
        </w:rPr>
        <w:lastRenderedPageBreak/>
        <w:t>eliminated.</w:t>
      </w:r>
      <w:r w:rsidR="00044607">
        <w:rPr>
          <w:rFonts w:cs="Times New Roman"/>
        </w:rPr>
        <w:t xml:space="preserve"> </w:t>
      </w:r>
      <w:r w:rsidR="00AF2338">
        <w:rPr>
          <w:rFonts w:cs="Times New Roman"/>
        </w:rPr>
        <w:t xml:space="preserve"> The </w:t>
      </w:r>
      <w:r w:rsidR="00D4657D">
        <w:rPr>
          <w:rFonts w:cs="Times New Roman"/>
        </w:rPr>
        <w:t xml:space="preserve">OTS concluded that the </w:t>
      </w:r>
      <w:r w:rsidR="00AF2338">
        <w:rPr>
          <w:rFonts w:cs="Times New Roman"/>
        </w:rPr>
        <w:t xml:space="preserve">negotiated terms </w:t>
      </w:r>
      <w:r w:rsidR="00D4657D">
        <w:rPr>
          <w:rFonts w:cs="Times New Roman"/>
        </w:rPr>
        <w:t>of</w:t>
      </w:r>
      <w:r w:rsidR="00AF2338">
        <w:rPr>
          <w:rFonts w:cs="Times New Roman"/>
        </w:rPr>
        <w:t xml:space="preserve"> the</w:t>
      </w:r>
      <w:r w:rsidR="00D4657D">
        <w:rPr>
          <w:rFonts w:cs="Times New Roman"/>
        </w:rPr>
        <w:t xml:space="preserve"> </w:t>
      </w:r>
      <w:r w:rsidR="00AF2338">
        <w:rPr>
          <w:rFonts w:cs="Times New Roman"/>
        </w:rPr>
        <w:t>Settlement Agreement accomplish th</w:t>
      </w:r>
      <w:r w:rsidR="00D4657D">
        <w:rPr>
          <w:rFonts w:cs="Times New Roman"/>
        </w:rPr>
        <w:t xml:space="preserve">ese </w:t>
      </w:r>
      <w:r w:rsidR="00AF2338">
        <w:rPr>
          <w:rFonts w:cs="Times New Roman"/>
        </w:rPr>
        <w:t>goal</w:t>
      </w:r>
      <w:r w:rsidR="00D4657D">
        <w:rPr>
          <w:rFonts w:cs="Times New Roman"/>
        </w:rPr>
        <w:t>s</w:t>
      </w:r>
      <w:r w:rsidR="00AF2338">
        <w:rPr>
          <w:rFonts w:cs="Times New Roman"/>
        </w:rPr>
        <w:t xml:space="preserve"> and </w:t>
      </w:r>
      <w:r w:rsidR="00446521">
        <w:rPr>
          <w:rFonts w:cs="Times New Roman"/>
        </w:rPr>
        <w:t>it</w:t>
      </w:r>
      <w:r w:rsidR="00986E46">
        <w:rPr>
          <w:rFonts w:cs="Times New Roman"/>
        </w:rPr>
        <w:t>,</w:t>
      </w:r>
      <w:r w:rsidR="00446521">
        <w:rPr>
          <w:rFonts w:cs="Times New Roman"/>
        </w:rPr>
        <w:t xml:space="preserve"> therefore</w:t>
      </w:r>
      <w:r w:rsidR="00986E46">
        <w:rPr>
          <w:rFonts w:cs="Times New Roman"/>
        </w:rPr>
        <w:t>,</w:t>
      </w:r>
      <w:r w:rsidR="00446521">
        <w:rPr>
          <w:rFonts w:cs="Times New Roman"/>
        </w:rPr>
        <w:t xml:space="preserve"> </w:t>
      </w:r>
      <w:r w:rsidR="00D4657D">
        <w:rPr>
          <w:rFonts w:cs="Times New Roman"/>
        </w:rPr>
        <w:t xml:space="preserve">recommended that </w:t>
      </w:r>
      <w:r w:rsidR="00CE00CE">
        <w:rPr>
          <w:rFonts w:cs="Times New Roman"/>
        </w:rPr>
        <w:t xml:space="preserve">the </w:t>
      </w:r>
      <w:r w:rsidR="00D4657D">
        <w:rPr>
          <w:rFonts w:cs="Times New Roman"/>
        </w:rPr>
        <w:t xml:space="preserve">Settlement </w:t>
      </w:r>
      <w:r w:rsidR="00AF2338">
        <w:rPr>
          <w:rFonts w:cs="Times New Roman"/>
        </w:rPr>
        <w:t>be approved without modification.</w:t>
      </w:r>
      <w:r w:rsidR="00D4657D">
        <w:rPr>
          <w:rFonts w:cs="Times New Roman"/>
        </w:rPr>
        <w:t xml:space="preserve"> </w:t>
      </w:r>
      <w:r w:rsidR="00044607">
        <w:rPr>
          <w:rFonts w:cs="Times New Roman"/>
        </w:rPr>
        <w:t xml:space="preserve"> </w:t>
      </w:r>
      <w:r w:rsidR="00D4657D" w:rsidRPr="00D4657D">
        <w:rPr>
          <w:rFonts w:cs="Times New Roman"/>
          <w:i/>
        </w:rPr>
        <w:t>Id.</w:t>
      </w:r>
      <w:r w:rsidR="00D4657D">
        <w:rPr>
          <w:rFonts w:cs="Times New Roman"/>
        </w:rPr>
        <w:t xml:space="preserve"> at 6.</w:t>
      </w:r>
    </w:p>
    <w:p w:rsidR="00247273" w:rsidRDefault="00247273" w:rsidP="00D4657D">
      <w:pPr>
        <w:rPr>
          <w:rFonts w:cs="Times New Roman"/>
        </w:rPr>
      </w:pPr>
    </w:p>
    <w:p w:rsidR="00247273" w:rsidRDefault="00247273" w:rsidP="00247273">
      <w:r>
        <w:t xml:space="preserve">The OCA stated that the Settlement attempts to design reasonable allocations for rate increases given the circumstances of each division. </w:t>
      </w:r>
      <w:r w:rsidR="00986E46">
        <w:t xml:space="preserve"> </w:t>
      </w:r>
      <w:r>
        <w:t>The OCA explained that</w:t>
      </w:r>
      <w:r w:rsidR="00446521">
        <w:t>, although</w:t>
      </w:r>
      <w:r>
        <w:t xml:space="preserve"> this produces inconsistent increases and rates from one division to the next, it anticipates that this pricing movement sets the stage for avoiding rate shock </w:t>
      </w:r>
      <w:r w:rsidR="00B35D25">
        <w:t>as the Company migrates toward</w:t>
      </w:r>
      <w:r>
        <w:t xml:space="preserve"> full consolidation of the LWW</w:t>
      </w:r>
      <w:r w:rsidR="00D65C86">
        <w:t>-SE</w:t>
      </w:r>
      <w:r>
        <w:t xml:space="preserve"> </w:t>
      </w:r>
      <w:r w:rsidR="00D65C86">
        <w:t>d</w:t>
      </w:r>
      <w:r w:rsidR="005731E9">
        <w:t>ivision</w:t>
      </w:r>
      <w:r>
        <w:t>s into one single-tariff rate</w:t>
      </w:r>
      <w:r w:rsidR="00B35D25">
        <w:t>.</w:t>
      </w:r>
      <w:r>
        <w:t xml:space="preserve">  OCA Statement in Support at 4.</w:t>
      </w:r>
    </w:p>
    <w:p w:rsidR="00CC5D96" w:rsidRDefault="00CC5D96" w:rsidP="00247273"/>
    <w:p w:rsidR="005D02CB" w:rsidRDefault="00CC5D96" w:rsidP="005D02CB">
      <w:pPr>
        <w:rPr>
          <w:rFonts w:cs="Times New Roman"/>
        </w:rPr>
      </w:pPr>
      <w:r>
        <w:t xml:space="preserve">As part of their recommendation to adopt the </w:t>
      </w:r>
      <w:r w:rsidR="002E387E">
        <w:t xml:space="preserve">rates set forth in the Settlement, the ALJs </w:t>
      </w:r>
      <w:r w:rsidR="00CE00CE">
        <w:t>note</w:t>
      </w:r>
      <w:r w:rsidR="002E387E">
        <w:t xml:space="preserve"> that the requested revenue increase represents</w:t>
      </w:r>
      <w:r w:rsidR="005D02CB">
        <w:t xml:space="preserve"> an amount which would be within the range of possible outcomes</w:t>
      </w:r>
      <w:r w:rsidR="00D65C86">
        <w:t xml:space="preserve"> has the case been fully litigated</w:t>
      </w:r>
      <w:r w:rsidR="005D02CB">
        <w:t xml:space="preserve">. </w:t>
      </w:r>
      <w:r w:rsidR="00D65C86">
        <w:t xml:space="preserve"> </w:t>
      </w:r>
      <w:r w:rsidR="005D02CB">
        <w:t xml:space="preserve">The ALJs </w:t>
      </w:r>
      <w:r w:rsidR="005D02CB" w:rsidRPr="00FB6881">
        <w:rPr>
          <w:rFonts w:cs="Times New Roman"/>
        </w:rPr>
        <w:t>f</w:t>
      </w:r>
      <w:r w:rsidR="005D02CB">
        <w:rPr>
          <w:rFonts w:cs="Times New Roman"/>
        </w:rPr>
        <w:t>ound</w:t>
      </w:r>
      <w:r w:rsidR="005D02CB" w:rsidRPr="00FB6881">
        <w:rPr>
          <w:rFonts w:cs="Times New Roman"/>
        </w:rPr>
        <w:t xml:space="preserve"> that the increased level of revenues agreed to by the </w:t>
      </w:r>
      <w:r w:rsidR="00986E46">
        <w:rPr>
          <w:rFonts w:cs="Times New Roman"/>
        </w:rPr>
        <w:t>P</w:t>
      </w:r>
      <w:r w:rsidR="005D02CB" w:rsidRPr="00FB6881">
        <w:rPr>
          <w:rFonts w:cs="Times New Roman"/>
        </w:rPr>
        <w:t xml:space="preserve">arties allows the recovery of prudently incurred expenses, provides the </w:t>
      </w:r>
      <w:r w:rsidR="00986E46">
        <w:rPr>
          <w:rFonts w:cs="Times New Roman"/>
        </w:rPr>
        <w:t>C</w:t>
      </w:r>
      <w:r w:rsidR="005D02CB" w:rsidRPr="00FB6881">
        <w:rPr>
          <w:rFonts w:cs="Times New Roman"/>
        </w:rPr>
        <w:t>ompany with the opportunity to earn a reasonable return on the value of assets used and useful in serving the public,</w:t>
      </w:r>
      <w:r w:rsidR="00D65C86">
        <w:rPr>
          <w:rFonts w:cs="Times New Roman"/>
        </w:rPr>
        <w:t xml:space="preserve"> and</w:t>
      </w:r>
      <w:r w:rsidR="005D02CB" w:rsidRPr="00FB6881">
        <w:rPr>
          <w:rFonts w:cs="Times New Roman"/>
        </w:rPr>
        <w:t xml:space="preserve"> results in rates that are just and reasonable</w:t>
      </w:r>
      <w:r w:rsidR="00CE00CE">
        <w:rPr>
          <w:rFonts w:cs="Times New Roman"/>
        </w:rPr>
        <w:t>.  The ALJs concluded that the Settlement</w:t>
      </w:r>
      <w:r w:rsidR="00986E46">
        <w:rPr>
          <w:rFonts w:cs="Times New Roman"/>
        </w:rPr>
        <w:t>,</w:t>
      </w:r>
      <w:r w:rsidR="00CE00CE">
        <w:rPr>
          <w:rFonts w:cs="Times New Roman"/>
        </w:rPr>
        <w:t xml:space="preserve"> </w:t>
      </w:r>
      <w:r w:rsidR="005D02CB" w:rsidRPr="00FB6881">
        <w:rPr>
          <w:rFonts w:cs="Times New Roman"/>
        </w:rPr>
        <w:t>therefore</w:t>
      </w:r>
      <w:r w:rsidR="00986E46">
        <w:rPr>
          <w:rFonts w:cs="Times New Roman"/>
        </w:rPr>
        <w:t>,</w:t>
      </w:r>
      <w:r w:rsidR="005D02CB" w:rsidRPr="00FB6881">
        <w:rPr>
          <w:rFonts w:cs="Times New Roman"/>
        </w:rPr>
        <w:t xml:space="preserve"> appropriately balances the interests of the </w:t>
      </w:r>
      <w:r w:rsidR="00CE00CE">
        <w:rPr>
          <w:rFonts w:cs="Times New Roman"/>
        </w:rPr>
        <w:t>C</w:t>
      </w:r>
      <w:r w:rsidR="005D02CB" w:rsidRPr="00FB6881">
        <w:rPr>
          <w:rFonts w:cs="Times New Roman"/>
        </w:rPr>
        <w:t>ompany, its investors and its customers.</w:t>
      </w:r>
      <w:r w:rsidR="00986E46">
        <w:rPr>
          <w:rFonts w:cs="Times New Roman"/>
        </w:rPr>
        <w:t xml:space="preserve"> </w:t>
      </w:r>
      <w:r w:rsidR="005D02CB">
        <w:rPr>
          <w:rFonts w:cs="Times New Roman"/>
        </w:rPr>
        <w:t xml:space="preserve"> R.D. at 17. </w:t>
      </w:r>
    </w:p>
    <w:p w:rsidR="005D02CB" w:rsidRDefault="005D02CB" w:rsidP="005D02CB">
      <w:pPr>
        <w:rPr>
          <w:rFonts w:cs="Times New Roman"/>
        </w:rPr>
      </w:pPr>
    </w:p>
    <w:p w:rsidR="005D02CB" w:rsidRPr="00C174CC" w:rsidRDefault="00CE00CE" w:rsidP="005D02CB">
      <w:pPr>
        <w:rPr>
          <w:rFonts w:cs="Times New Roman"/>
        </w:rPr>
      </w:pPr>
      <w:r>
        <w:rPr>
          <w:rFonts w:cs="Times New Roman"/>
        </w:rPr>
        <w:t>On review, w</w:t>
      </w:r>
      <w:r w:rsidR="00C174CC" w:rsidRPr="00C174CC">
        <w:rPr>
          <w:rFonts w:cs="Times New Roman"/>
        </w:rPr>
        <w:t>e con</w:t>
      </w:r>
      <w:r w:rsidR="00C174CC">
        <w:rPr>
          <w:rFonts w:cs="Times New Roman"/>
        </w:rPr>
        <w:t>c</w:t>
      </w:r>
      <w:r w:rsidR="00C174CC" w:rsidRPr="00C174CC">
        <w:rPr>
          <w:rFonts w:cs="Times New Roman"/>
        </w:rPr>
        <w:t xml:space="preserve">ur </w:t>
      </w:r>
      <w:r w:rsidR="00C174CC">
        <w:rPr>
          <w:rFonts w:cs="Times New Roman"/>
        </w:rPr>
        <w:t xml:space="preserve">with the ALJs and the Parties that rates set forth in the Settlement should be adopted.  </w:t>
      </w:r>
      <w:r w:rsidR="003F2334">
        <w:rPr>
          <w:rFonts w:cs="Times New Roman"/>
        </w:rPr>
        <w:t>Aside from the specific issues included in the S</w:t>
      </w:r>
      <w:r w:rsidR="00A6479B">
        <w:rPr>
          <w:rFonts w:cs="Times New Roman"/>
        </w:rPr>
        <w:t>ettlement</w:t>
      </w:r>
      <w:r w:rsidR="003F2334">
        <w:rPr>
          <w:rFonts w:cs="Times New Roman"/>
        </w:rPr>
        <w:t xml:space="preserve">, </w:t>
      </w:r>
      <w:r w:rsidR="00D65C86">
        <w:rPr>
          <w:rFonts w:cs="Times New Roman"/>
        </w:rPr>
        <w:t xml:space="preserve">discussed </w:t>
      </w:r>
      <w:r w:rsidR="00D65C86" w:rsidRPr="00D65C86">
        <w:rPr>
          <w:rFonts w:cs="Times New Roman"/>
          <w:i/>
        </w:rPr>
        <w:t>infra</w:t>
      </w:r>
      <w:r w:rsidR="00D65C86">
        <w:rPr>
          <w:rFonts w:cs="Times New Roman"/>
        </w:rPr>
        <w:t xml:space="preserve">, </w:t>
      </w:r>
      <w:r w:rsidR="003F2334">
        <w:rPr>
          <w:rFonts w:cs="Times New Roman"/>
        </w:rPr>
        <w:t xml:space="preserve">a settlement </w:t>
      </w:r>
      <w:r w:rsidR="00A6479B">
        <w:rPr>
          <w:rFonts w:cs="Times New Roman"/>
        </w:rPr>
        <w:t>of this nature does not address ratemaking issues other than proposed final revenue requirements and proposed final rates</w:t>
      </w:r>
      <w:r w:rsidR="003F2334">
        <w:rPr>
          <w:rFonts w:cs="Times New Roman"/>
        </w:rPr>
        <w:t xml:space="preserve">.  However, </w:t>
      </w:r>
      <w:r w:rsidR="00A6479B">
        <w:rPr>
          <w:rFonts w:cs="Times New Roman"/>
        </w:rPr>
        <w:t xml:space="preserve">our review of the </w:t>
      </w:r>
      <w:r w:rsidR="003F2334">
        <w:rPr>
          <w:rFonts w:cs="Times New Roman"/>
        </w:rPr>
        <w:t xml:space="preserve">information </w:t>
      </w:r>
      <w:r w:rsidR="00A6479B">
        <w:rPr>
          <w:rFonts w:cs="Times New Roman"/>
        </w:rPr>
        <w:t xml:space="preserve">submitted </w:t>
      </w:r>
      <w:r w:rsidR="003F2334">
        <w:rPr>
          <w:rFonts w:cs="Times New Roman"/>
        </w:rPr>
        <w:t>in support of the proposed rates</w:t>
      </w:r>
      <w:r w:rsidR="00B35D25">
        <w:rPr>
          <w:rFonts w:cs="Times New Roman"/>
        </w:rPr>
        <w:t>,</w:t>
      </w:r>
      <w:r w:rsidR="003F2334">
        <w:rPr>
          <w:rFonts w:cs="Times New Roman"/>
        </w:rPr>
        <w:t xml:space="preserve"> and the other </w:t>
      </w:r>
      <w:r w:rsidR="008C697A">
        <w:rPr>
          <w:rFonts w:cs="Times New Roman"/>
        </w:rPr>
        <w:t>information develop</w:t>
      </w:r>
      <w:r w:rsidR="00B35D25">
        <w:rPr>
          <w:rFonts w:cs="Times New Roman"/>
        </w:rPr>
        <w:t>ed</w:t>
      </w:r>
      <w:r w:rsidR="008C697A">
        <w:rPr>
          <w:rFonts w:cs="Times New Roman"/>
        </w:rPr>
        <w:t xml:space="preserve"> in the record of this proceeding</w:t>
      </w:r>
      <w:r w:rsidR="00B35D25">
        <w:rPr>
          <w:rFonts w:cs="Times New Roman"/>
        </w:rPr>
        <w:t>,</w:t>
      </w:r>
      <w:r w:rsidR="008C697A">
        <w:rPr>
          <w:rFonts w:cs="Times New Roman"/>
        </w:rPr>
        <w:t xml:space="preserve"> supports our conclusion </w:t>
      </w:r>
      <w:r w:rsidR="00B35D25">
        <w:rPr>
          <w:rFonts w:cs="Times New Roman"/>
        </w:rPr>
        <w:t xml:space="preserve">that </w:t>
      </w:r>
      <w:r w:rsidR="008C697A">
        <w:rPr>
          <w:rFonts w:cs="Times New Roman"/>
        </w:rPr>
        <w:t xml:space="preserve">the </w:t>
      </w:r>
      <w:r w:rsidR="00C26D61">
        <w:rPr>
          <w:rFonts w:cs="Times New Roman"/>
        </w:rPr>
        <w:t xml:space="preserve">level of </w:t>
      </w:r>
      <w:r w:rsidR="008C697A">
        <w:rPr>
          <w:rFonts w:cs="Times New Roman"/>
        </w:rPr>
        <w:t>revenue</w:t>
      </w:r>
      <w:r w:rsidR="00C26D61">
        <w:rPr>
          <w:rFonts w:cs="Times New Roman"/>
        </w:rPr>
        <w:t xml:space="preserve">s and proposed rates included in the Settlement are just reasonable and in the public interest. </w:t>
      </w:r>
      <w:r w:rsidR="008C697A">
        <w:rPr>
          <w:rFonts w:cs="Times New Roman"/>
        </w:rPr>
        <w:t xml:space="preserve"> </w:t>
      </w:r>
    </w:p>
    <w:p w:rsidR="00CC5D96" w:rsidRDefault="00CC5D96" w:rsidP="00247273"/>
    <w:p w:rsidR="00E863DB" w:rsidRDefault="00DD0E9F" w:rsidP="00220CA6">
      <w:pPr>
        <w:pStyle w:val="Heading3"/>
      </w:pPr>
      <w:r w:rsidRPr="00DD0E9F">
        <w:t>Rate Consolidation</w:t>
      </w:r>
    </w:p>
    <w:p w:rsidR="00E34784" w:rsidRPr="00E34784" w:rsidRDefault="00E34784" w:rsidP="00E34784"/>
    <w:p w:rsidR="00DD0E9F" w:rsidRPr="00E34784" w:rsidRDefault="00593DFE" w:rsidP="00583A1D">
      <w:r>
        <w:t xml:space="preserve">Paragraph </w:t>
      </w:r>
      <w:r w:rsidRPr="00FB6881">
        <w:t>11</w:t>
      </w:r>
      <w:r w:rsidR="00060338">
        <w:t>.b.</w:t>
      </w:r>
      <w:r>
        <w:t xml:space="preserve"> of </w:t>
      </w:r>
      <w:r w:rsidRPr="00FB6881">
        <w:t xml:space="preserve">the </w:t>
      </w:r>
      <w:r>
        <w:t>S</w:t>
      </w:r>
      <w:r w:rsidRPr="00FB6881">
        <w:t>ettlement provides that, “</w:t>
      </w:r>
      <w:r w:rsidR="008C7911">
        <w:t>[t]</w:t>
      </w:r>
      <w:r w:rsidRPr="00FB6881">
        <w:t>he LWW-S</w:t>
      </w:r>
      <w:r w:rsidR="005731E9">
        <w:t>E</w:t>
      </w:r>
      <w:r w:rsidRPr="00FB6881">
        <w:t xml:space="preserve"> will have a single cost of service and one revenue requirement for the thirteen </w:t>
      </w:r>
      <w:r w:rsidR="005731E9">
        <w:t>divisions</w:t>
      </w:r>
      <w:r w:rsidRPr="00FB6881">
        <w:t xml:space="preserve"> included in the filing on a going forward basis</w:t>
      </w:r>
      <w:r w:rsidR="006131A5">
        <w:t>.</w:t>
      </w:r>
      <w:r w:rsidR="0024078F">
        <w:t xml:space="preserve">”  Settlement at 4. </w:t>
      </w:r>
      <w:r w:rsidRPr="00FB6881">
        <w:t xml:space="preserve"> </w:t>
      </w:r>
      <w:r w:rsidR="005731E9">
        <w:t xml:space="preserve">The Company </w:t>
      </w:r>
      <w:r w:rsidRPr="00FB6881">
        <w:t xml:space="preserve">explained that consolidation of the thirteen </w:t>
      </w:r>
      <w:r w:rsidR="005731E9">
        <w:t>divisions</w:t>
      </w:r>
      <w:r w:rsidRPr="00FB6881">
        <w:t xml:space="preserve"> will align the accounting and, ultimately, allow movement toward a single rate structure </w:t>
      </w:r>
      <w:r w:rsidR="005731E9">
        <w:t>for LWW-SE.</w:t>
      </w:r>
      <w:r w:rsidRPr="00FB6881">
        <w:t xml:space="preserve">  </w:t>
      </w:r>
      <w:r w:rsidR="005731E9">
        <w:t xml:space="preserve">The Company </w:t>
      </w:r>
      <w:r w:rsidR="00583A1D">
        <w:t xml:space="preserve">stated that </w:t>
      </w:r>
      <w:r w:rsidRPr="00FB6881">
        <w:t>it</w:t>
      </w:r>
      <w:r w:rsidR="00583A1D">
        <w:t xml:space="preserve">s </w:t>
      </w:r>
      <w:r w:rsidRPr="00FB6881">
        <w:t xml:space="preserve">goal </w:t>
      </w:r>
      <w:r w:rsidR="00583A1D">
        <w:t xml:space="preserve">is </w:t>
      </w:r>
      <w:r w:rsidRPr="00FB6881">
        <w:t xml:space="preserve">to adopt rates that reflect a unified rate structure for its multiple wastewater </w:t>
      </w:r>
      <w:r w:rsidR="006131A5">
        <w:t>divisions</w:t>
      </w:r>
      <w:r w:rsidRPr="00FB6881">
        <w:t xml:space="preserve">.  </w:t>
      </w:r>
      <w:r w:rsidR="00583A1D">
        <w:t>LWW-SE also explained that</w:t>
      </w:r>
      <w:r w:rsidR="002F4016">
        <w:t>,</w:t>
      </w:r>
      <w:r w:rsidR="00583A1D">
        <w:t xml:space="preserve"> under</w:t>
      </w:r>
      <w:r w:rsidRPr="00FB6881">
        <w:t xml:space="preserve"> consolidated pricing, customers pay a utility the same rate for similar service, regardless of the physical location of their service area.  </w:t>
      </w:r>
      <w:r w:rsidR="006E0728">
        <w:t xml:space="preserve">LWW-SE averred, </w:t>
      </w:r>
      <w:r w:rsidR="006E0728" w:rsidRPr="006E0728">
        <w:rPr>
          <w:i/>
        </w:rPr>
        <w:t>inter alia</w:t>
      </w:r>
      <w:r w:rsidR="006E0728">
        <w:t xml:space="preserve">, that many of its stand-alone </w:t>
      </w:r>
      <w:r w:rsidR="005731E9">
        <w:t xml:space="preserve">divisions </w:t>
      </w:r>
      <w:r w:rsidR="006E0728">
        <w:t xml:space="preserve">need major capital improvements </w:t>
      </w:r>
      <w:r w:rsidR="00AE77A0">
        <w:t xml:space="preserve">and </w:t>
      </w:r>
      <w:r w:rsidR="002F4016">
        <w:t xml:space="preserve">that </w:t>
      </w:r>
      <w:r w:rsidR="00AE77A0">
        <w:t xml:space="preserve">a </w:t>
      </w:r>
      <w:r w:rsidRPr="00FB6881">
        <w:t xml:space="preserve">consolidated rate structure can </w:t>
      </w:r>
      <w:r w:rsidR="002F4016">
        <w:t xml:space="preserve">do the following: (1) </w:t>
      </w:r>
      <w:r w:rsidR="00AE77A0">
        <w:t>minimize rate shock</w:t>
      </w:r>
      <w:r w:rsidR="002F4016">
        <w:t>; (2)</w:t>
      </w:r>
      <w:r w:rsidR="00AE77A0">
        <w:t xml:space="preserve"> </w:t>
      </w:r>
      <w:r w:rsidRPr="00FB6881">
        <w:t>protect against unaffordable rates</w:t>
      </w:r>
      <w:r w:rsidR="002F4016">
        <w:t>; (3)</w:t>
      </w:r>
      <w:r w:rsidRPr="00FB6881">
        <w:t xml:space="preserve"> address small system viability issues</w:t>
      </w:r>
      <w:r w:rsidR="002F4016">
        <w:t>;</w:t>
      </w:r>
      <w:r w:rsidRPr="00FB6881">
        <w:t xml:space="preserve"> and </w:t>
      </w:r>
      <w:r w:rsidR="002F4016">
        <w:t xml:space="preserve">(4) </w:t>
      </w:r>
      <w:r w:rsidRPr="00FB6881">
        <w:t>control administrative costs</w:t>
      </w:r>
      <w:r w:rsidR="00AE77A0">
        <w:t>.</w:t>
      </w:r>
      <w:r w:rsidRPr="00FB6881">
        <w:t xml:space="preserve"> </w:t>
      </w:r>
      <w:r w:rsidR="00E34784">
        <w:t xml:space="preserve"> </w:t>
      </w:r>
      <w:r w:rsidR="00AE77A0">
        <w:t>LWW-SE Statement of Support in Support at</w:t>
      </w:r>
      <w:r w:rsidR="00E34784">
        <w:t> </w:t>
      </w:r>
      <w:r w:rsidR="00AE77A0">
        <w:t xml:space="preserve">4-5. </w:t>
      </w:r>
    </w:p>
    <w:p w:rsidR="00DD0E9F" w:rsidRPr="00E34784" w:rsidRDefault="00DD0E9F" w:rsidP="008C7911">
      <w:pPr>
        <w:spacing w:line="240" w:lineRule="auto"/>
      </w:pPr>
    </w:p>
    <w:p w:rsidR="00773B0A" w:rsidRPr="008C7911" w:rsidRDefault="00773B0A" w:rsidP="00773B0A">
      <w:pPr>
        <w:pStyle w:val="BodyText2"/>
        <w:spacing w:after="0" w:line="360" w:lineRule="auto"/>
        <w:ind w:firstLine="1440"/>
        <w:rPr>
          <w:bCs/>
          <w:i/>
          <w:sz w:val="26"/>
          <w:szCs w:val="26"/>
        </w:rPr>
      </w:pPr>
      <w:r w:rsidRPr="00724D39">
        <w:rPr>
          <w:sz w:val="26"/>
          <w:szCs w:val="26"/>
        </w:rPr>
        <w:t>The ALJs noted that a similar rate consolidation was approved by the Commission with respect to LWW’s Northeast Division</w:t>
      </w:r>
      <w:r w:rsidR="008C7911">
        <w:rPr>
          <w:sz w:val="26"/>
          <w:szCs w:val="26"/>
        </w:rPr>
        <w:t xml:space="preserve"> in 2009.  </w:t>
      </w:r>
      <w:r w:rsidR="008C7911">
        <w:rPr>
          <w:i/>
          <w:sz w:val="26"/>
          <w:szCs w:val="26"/>
        </w:rPr>
        <w:t>See</w:t>
      </w:r>
      <w:r w:rsidRPr="00724D39">
        <w:rPr>
          <w:sz w:val="26"/>
          <w:szCs w:val="26"/>
        </w:rPr>
        <w:t xml:space="preserve"> </w:t>
      </w:r>
      <w:r w:rsidRPr="00724D39">
        <w:rPr>
          <w:i/>
          <w:sz w:val="26"/>
          <w:szCs w:val="26"/>
        </w:rPr>
        <w:t>P</w:t>
      </w:r>
      <w:r w:rsidR="002F4016">
        <w:rPr>
          <w:i/>
          <w:sz w:val="26"/>
          <w:szCs w:val="26"/>
        </w:rPr>
        <w:t>a. PUC</w:t>
      </w:r>
      <w:r w:rsidRPr="00724D39">
        <w:rPr>
          <w:i/>
          <w:sz w:val="26"/>
          <w:szCs w:val="26"/>
        </w:rPr>
        <w:t xml:space="preserve"> v. </w:t>
      </w:r>
      <w:r w:rsidRPr="00724D39">
        <w:rPr>
          <w:bCs/>
          <w:i/>
          <w:sz w:val="26"/>
          <w:szCs w:val="26"/>
        </w:rPr>
        <w:t xml:space="preserve">Little Washington Wastewater </w:t>
      </w:r>
      <w:r w:rsidR="008C7911">
        <w:rPr>
          <w:bCs/>
          <w:i/>
          <w:sz w:val="26"/>
          <w:szCs w:val="26"/>
        </w:rPr>
        <w:t>–</w:t>
      </w:r>
      <w:r w:rsidRPr="00724D39">
        <w:rPr>
          <w:bCs/>
          <w:i/>
          <w:sz w:val="26"/>
          <w:szCs w:val="26"/>
        </w:rPr>
        <w:t xml:space="preserve"> Northeast PA Consolidated</w:t>
      </w:r>
      <w:r w:rsidRPr="00724D39">
        <w:rPr>
          <w:bCs/>
          <w:sz w:val="26"/>
          <w:szCs w:val="26"/>
        </w:rPr>
        <w:t>, Docket No. R</w:t>
      </w:r>
      <w:r w:rsidRPr="00724D39">
        <w:rPr>
          <w:bCs/>
          <w:sz w:val="26"/>
          <w:szCs w:val="26"/>
        </w:rPr>
        <w:noBreakHyphen/>
        <w:t xml:space="preserve">2008-2081738, </w:t>
      </w:r>
      <w:r w:rsidR="002F4016">
        <w:rPr>
          <w:bCs/>
          <w:sz w:val="26"/>
          <w:szCs w:val="26"/>
        </w:rPr>
        <w:t>(</w:t>
      </w:r>
      <w:r w:rsidRPr="00724D39">
        <w:rPr>
          <w:bCs/>
          <w:sz w:val="26"/>
          <w:szCs w:val="26"/>
        </w:rPr>
        <w:t xml:space="preserve">Opinion and Order entered </w:t>
      </w:r>
      <w:r w:rsidRPr="00724D39">
        <w:rPr>
          <w:sz w:val="26"/>
          <w:szCs w:val="26"/>
        </w:rPr>
        <w:t>September 24, 2009</w:t>
      </w:r>
      <w:r w:rsidR="002F4016">
        <w:rPr>
          <w:sz w:val="26"/>
          <w:szCs w:val="26"/>
        </w:rPr>
        <w:t>)</w:t>
      </w:r>
      <w:r w:rsidRPr="00724D39">
        <w:rPr>
          <w:sz w:val="26"/>
          <w:szCs w:val="26"/>
        </w:rPr>
        <w:t xml:space="preserve">.  The ALJs also </w:t>
      </w:r>
      <w:r w:rsidR="005D04A9" w:rsidRPr="00724D39">
        <w:rPr>
          <w:sz w:val="26"/>
          <w:szCs w:val="26"/>
        </w:rPr>
        <w:t>opined that t</w:t>
      </w:r>
      <w:r w:rsidRPr="00724D39">
        <w:rPr>
          <w:sz w:val="26"/>
          <w:szCs w:val="26"/>
        </w:rPr>
        <w:t xml:space="preserve">he proposed consolidation </w:t>
      </w:r>
      <w:r w:rsidR="005D04A9" w:rsidRPr="00724D39">
        <w:rPr>
          <w:sz w:val="26"/>
          <w:szCs w:val="26"/>
        </w:rPr>
        <w:t xml:space="preserve">of rates </w:t>
      </w:r>
      <w:r w:rsidRPr="00724D39">
        <w:rPr>
          <w:sz w:val="26"/>
          <w:szCs w:val="26"/>
        </w:rPr>
        <w:t>promotes the Commission’s general policy of encouraging single</w:t>
      </w:r>
      <w:r w:rsidR="008C7911">
        <w:rPr>
          <w:sz w:val="26"/>
          <w:szCs w:val="26"/>
        </w:rPr>
        <w:t>-</w:t>
      </w:r>
      <w:r w:rsidRPr="00724D39">
        <w:rPr>
          <w:sz w:val="26"/>
          <w:szCs w:val="26"/>
        </w:rPr>
        <w:t>tariff pricing</w:t>
      </w:r>
      <w:r w:rsidR="005D04A9" w:rsidRPr="00724D39">
        <w:rPr>
          <w:sz w:val="26"/>
          <w:szCs w:val="26"/>
        </w:rPr>
        <w:t xml:space="preserve"> </w:t>
      </w:r>
      <w:r w:rsidR="002F4016">
        <w:rPr>
          <w:sz w:val="26"/>
          <w:szCs w:val="26"/>
        </w:rPr>
        <w:t xml:space="preserve">as </w:t>
      </w:r>
      <w:r w:rsidR="005D04A9" w:rsidRPr="00724D39">
        <w:rPr>
          <w:sz w:val="26"/>
          <w:szCs w:val="26"/>
        </w:rPr>
        <w:t>set forth at</w:t>
      </w:r>
      <w:r w:rsidR="006131A5">
        <w:rPr>
          <w:sz w:val="26"/>
          <w:szCs w:val="26"/>
        </w:rPr>
        <w:t xml:space="preserve"> </w:t>
      </w:r>
      <w:r w:rsidR="005D04A9" w:rsidRPr="00724D39">
        <w:rPr>
          <w:sz w:val="26"/>
          <w:szCs w:val="26"/>
        </w:rPr>
        <w:t>52 Pa. Code § 69.711(a)(6)</w:t>
      </w:r>
      <w:r w:rsidR="00724D39" w:rsidRPr="00724D39">
        <w:rPr>
          <w:sz w:val="26"/>
          <w:szCs w:val="26"/>
        </w:rPr>
        <w:t>.</w:t>
      </w:r>
      <w:r w:rsidR="005D04A9" w:rsidRPr="00724D39">
        <w:rPr>
          <w:sz w:val="26"/>
          <w:szCs w:val="26"/>
        </w:rPr>
        <w:t xml:space="preserve"> </w:t>
      </w:r>
      <w:r w:rsidR="00724D39" w:rsidRPr="00724D39">
        <w:rPr>
          <w:sz w:val="26"/>
          <w:szCs w:val="26"/>
        </w:rPr>
        <w:t xml:space="preserve"> </w:t>
      </w:r>
      <w:r w:rsidR="005D04A9" w:rsidRPr="00724D39">
        <w:rPr>
          <w:sz w:val="26"/>
          <w:szCs w:val="26"/>
        </w:rPr>
        <w:t>The ALJ</w:t>
      </w:r>
      <w:r w:rsidR="00E246AC">
        <w:rPr>
          <w:sz w:val="26"/>
          <w:szCs w:val="26"/>
        </w:rPr>
        <w:t>s</w:t>
      </w:r>
      <w:r w:rsidR="005D04A9" w:rsidRPr="00724D39">
        <w:rPr>
          <w:sz w:val="26"/>
          <w:szCs w:val="26"/>
        </w:rPr>
        <w:t xml:space="preserve"> stated that t</w:t>
      </w:r>
      <w:r w:rsidRPr="00724D39">
        <w:rPr>
          <w:sz w:val="26"/>
          <w:szCs w:val="26"/>
        </w:rPr>
        <w:t xml:space="preserve">he Commission discussed the </w:t>
      </w:r>
      <w:r w:rsidR="006131A5">
        <w:rPr>
          <w:sz w:val="26"/>
          <w:szCs w:val="26"/>
        </w:rPr>
        <w:t xml:space="preserve">following </w:t>
      </w:r>
      <w:r w:rsidRPr="00724D39">
        <w:rPr>
          <w:sz w:val="26"/>
          <w:szCs w:val="26"/>
        </w:rPr>
        <w:t>benefits of single</w:t>
      </w:r>
      <w:r w:rsidR="008C7911">
        <w:rPr>
          <w:sz w:val="26"/>
          <w:szCs w:val="26"/>
        </w:rPr>
        <w:t>-</w:t>
      </w:r>
      <w:r w:rsidRPr="00724D39">
        <w:rPr>
          <w:sz w:val="26"/>
          <w:szCs w:val="26"/>
        </w:rPr>
        <w:t xml:space="preserve">tariff pricing in </w:t>
      </w:r>
      <w:r w:rsidRPr="00724D39">
        <w:rPr>
          <w:i/>
          <w:iCs/>
          <w:sz w:val="26"/>
          <w:szCs w:val="26"/>
        </w:rPr>
        <w:t xml:space="preserve">Pa. PUC v. Western Pennsylvania Water Co., </w:t>
      </w:r>
      <w:r w:rsidRPr="00B41DEF">
        <w:rPr>
          <w:iCs/>
          <w:sz w:val="26"/>
          <w:szCs w:val="26"/>
        </w:rPr>
        <w:t>72 PUR 4th 103, 147-48 (1986)</w:t>
      </w:r>
      <w:r w:rsidRPr="00724D39">
        <w:rPr>
          <w:i/>
          <w:iCs/>
          <w:sz w:val="26"/>
          <w:szCs w:val="26"/>
        </w:rPr>
        <w:t>:</w:t>
      </w:r>
    </w:p>
    <w:p w:rsidR="00773B0A" w:rsidRPr="00724D39" w:rsidRDefault="00773B0A" w:rsidP="005D04A9">
      <w:pPr>
        <w:pStyle w:val="BodyText2"/>
        <w:spacing w:after="0" w:line="240" w:lineRule="auto"/>
        <w:ind w:firstLine="1440"/>
        <w:rPr>
          <w:i/>
          <w:iCs/>
          <w:sz w:val="26"/>
          <w:szCs w:val="26"/>
        </w:rPr>
      </w:pPr>
    </w:p>
    <w:p w:rsidR="00773B0A" w:rsidRPr="00724D39" w:rsidRDefault="00773B0A" w:rsidP="00773B0A">
      <w:pPr>
        <w:pStyle w:val="BodyText2"/>
        <w:tabs>
          <w:tab w:val="left" w:pos="2160"/>
        </w:tabs>
        <w:spacing w:after="0" w:line="240" w:lineRule="auto"/>
        <w:ind w:left="1440" w:right="1440"/>
        <w:rPr>
          <w:sz w:val="26"/>
          <w:szCs w:val="26"/>
        </w:rPr>
      </w:pPr>
      <w:r w:rsidRPr="00724D39">
        <w:rPr>
          <w:sz w:val="26"/>
          <w:szCs w:val="26"/>
        </w:rPr>
        <w:tab/>
        <w:t xml:space="preserve">1. </w:t>
      </w:r>
      <w:r w:rsidRPr="00724D39">
        <w:rPr>
          <w:sz w:val="26"/>
          <w:szCs w:val="26"/>
        </w:rPr>
        <w:tab/>
        <w:t xml:space="preserve">A larger rate and revenue base ameliorates the </w:t>
      </w:r>
      <w:r w:rsidR="00E246AC">
        <w:rPr>
          <w:sz w:val="26"/>
          <w:szCs w:val="26"/>
        </w:rPr>
        <w:t>im</w:t>
      </w:r>
      <w:r w:rsidRPr="00724D39">
        <w:rPr>
          <w:sz w:val="26"/>
          <w:szCs w:val="26"/>
        </w:rPr>
        <w:t>pact of major capital additions needed from time to time in every service area;</w:t>
      </w:r>
    </w:p>
    <w:p w:rsidR="00773B0A" w:rsidRPr="00724D39" w:rsidRDefault="00773B0A" w:rsidP="00773B0A">
      <w:pPr>
        <w:pStyle w:val="BodyText2"/>
        <w:tabs>
          <w:tab w:val="left" w:pos="2160"/>
        </w:tabs>
        <w:spacing w:after="0" w:line="240" w:lineRule="auto"/>
        <w:ind w:left="1440" w:right="1440"/>
        <w:rPr>
          <w:sz w:val="26"/>
          <w:szCs w:val="26"/>
        </w:rPr>
      </w:pPr>
    </w:p>
    <w:p w:rsidR="00773B0A" w:rsidRPr="00724D39" w:rsidRDefault="00773B0A" w:rsidP="00773B0A">
      <w:pPr>
        <w:pStyle w:val="BodyText2"/>
        <w:tabs>
          <w:tab w:val="left" w:pos="2160"/>
        </w:tabs>
        <w:spacing w:after="0" w:line="240" w:lineRule="auto"/>
        <w:ind w:left="1440" w:right="1440"/>
        <w:rPr>
          <w:sz w:val="26"/>
          <w:szCs w:val="26"/>
        </w:rPr>
      </w:pPr>
      <w:r w:rsidRPr="00724D39">
        <w:rPr>
          <w:sz w:val="26"/>
          <w:szCs w:val="26"/>
        </w:rPr>
        <w:lastRenderedPageBreak/>
        <w:tab/>
        <w:t xml:space="preserve">2. </w:t>
      </w:r>
      <w:r w:rsidRPr="00724D39">
        <w:rPr>
          <w:sz w:val="26"/>
          <w:szCs w:val="26"/>
        </w:rPr>
        <w:tab/>
        <w:t>A larger revenue base promotes flexibility in timing and financing major capital additions;</w:t>
      </w:r>
    </w:p>
    <w:p w:rsidR="00773B0A" w:rsidRPr="00724D39" w:rsidRDefault="00773B0A" w:rsidP="00773B0A">
      <w:pPr>
        <w:pStyle w:val="BodyText2"/>
        <w:tabs>
          <w:tab w:val="left" w:pos="2160"/>
        </w:tabs>
        <w:spacing w:after="0" w:line="240" w:lineRule="auto"/>
        <w:ind w:left="1440" w:right="1440"/>
        <w:rPr>
          <w:sz w:val="26"/>
          <w:szCs w:val="26"/>
        </w:rPr>
      </w:pPr>
    </w:p>
    <w:p w:rsidR="00773B0A" w:rsidRPr="00724D39" w:rsidRDefault="00773B0A" w:rsidP="00773B0A">
      <w:pPr>
        <w:pStyle w:val="BodyText2"/>
        <w:tabs>
          <w:tab w:val="left" w:pos="2160"/>
        </w:tabs>
        <w:spacing w:after="0" w:line="240" w:lineRule="auto"/>
        <w:ind w:left="1440" w:right="1440"/>
        <w:rPr>
          <w:sz w:val="26"/>
          <w:szCs w:val="26"/>
        </w:rPr>
      </w:pPr>
      <w:r w:rsidRPr="00724D39">
        <w:rPr>
          <w:sz w:val="26"/>
          <w:szCs w:val="26"/>
        </w:rPr>
        <w:tab/>
        <w:t xml:space="preserve">3. </w:t>
      </w:r>
      <w:r w:rsidRPr="00724D39">
        <w:rPr>
          <w:sz w:val="26"/>
          <w:szCs w:val="26"/>
        </w:rPr>
        <w:tab/>
        <w:t>The impact of instability resulting from changes in sales volumes is mitigated when the effect of such volumetric factors is spread over a larger economic base; and</w:t>
      </w:r>
    </w:p>
    <w:p w:rsidR="00773B0A" w:rsidRPr="00724D39" w:rsidRDefault="00773B0A" w:rsidP="00773B0A">
      <w:pPr>
        <w:pStyle w:val="BodyText2"/>
        <w:tabs>
          <w:tab w:val="left" w:pos="2160"/>
        </w:tabs>
        <w:spacing w:after="0" w:line="240" w:lineRule="auto"/>
        <w:ind w:left="1440" w:right="1440"/>
        <w:rPr>
          <w:sz w:val="26"/>
          <w:szCs w:val="26"/>
        </w:rPr>
      </w:pPr>
    </w:p>
    <w:p w:rsidR="00773B0A" w:rsidRPr="00724D39" w:rsidRDefault="00773B0A" w:rsidP="00773B0A">
      <w:pPr>
        <w:pStyle w:val="BodyText2"/>
        <w:tabs>
          <w:tab w:val="left" w:pos="2160"/>
        </w:tabs>
        <w:spacing w:after="0" w:line="240" w:lineRule="auto"/>
        <w:ind w:left="1440" w:right="1440"/>
        <w:rPr>
          <w:sz w:val="26"/>
          <w:szCs w:val="26"/>
        </w:rPr>
      </w:pPr>
      <w:r w:rsidRPr="00724D39">
        <w:rPr>
          <w:sz w:val="26"/>
          <w:szCs w:val="26"/>
        </w:rPr>
        <w:tab/>
        <w:t xml:space="preserve">4. </w:t>
      </w:r>
      <w:r w:rsidRPr="00724D39">
        <w:rPr>
          <w:sz w:val="26"/>
          <w:szCs w:val="26"/>
        </w:rPr>
        <w:tab/>
        <w:t>The reduction of the number of accounting units and the number of individual rate filings results in administrative efficiency with a potential to reduce costs to ratepayers.</w:t>
      </w:r>
    </w:p>
    <w:p w:rsidR="00773B0A" w:rsidRDefault="00773B0A" w:rsidP="00724D39">
      <w:pPr>
        <w:pStyle w:val="BodyText2"/>
        <w:spacing w:after="0" w:line="240" w:lineRule="auto"/>
        <w:ind w:firstLine="1440"/>
        <w:rPr>
          <w:sz w:val="26"/>
          <w:szCs w:val="26"/>
        </w:rPr>
      </w:pPr>
    </w:p>
    <w:p w:rsidR="00724D39" w:rsidRDefault="001D43CD" w:rsidP="00724D39">
      <w:pPr>
        <w:pStyle w:val="BodyText2"/>
        <w:spacing w:after="0" w:line="360" w:lineRule="auto"/>
        <w:rPr>
          <w:sz w:val="26"/>
          <w:szCs w:val="26"/>
        </w:rPr>
      </w:pPr>
      <w:r>
        <w:rPr>
          <w:sz w:val="26"/>
          <w:szCs w:val="26"/>
        </w:rPr>
        <w:t>R.D. at 17-18.</w:t>
      </w:r>
    </w:p>
    <w:p w:rsidR="001D43CD" w:rsidRPr="00724D39" w:rsidRDefault="001D43CD" w:rsidP="0068033A">
      <w:pPr>
        <w:pStyle w:val="BodyText2"/>
        <w:spacing w:after="0" w:line="240" w:lineRule="auto"/>
        <w:rPr>
          <w:sz w:val="26"/>
          <w:szCs w:val="26"/>
        </w:rPr>
      </w:pPr>
    </w:p>
    <w:p w:rsidR="00773B0A" w:rsidRDefault="00E246AC" w:rsidP="0068033A">
      <w:pPr>
        <w:pStyle w:val="BodyText2"/>
        <w:spacing w:after="0" w:line="360" w:lineRule="auto"/>
        <w:ind w:firstLine="1440"/>
        <w:rPr>
          <w:sz w:val="26"/>
          <w:szCs w:val="26"/>
        </w:rPr>
      </w:pPr>
      <w:r>
        <w:rPr>
          <w:sz w:val="26"/>
          <w:szCs w:val="26"/>
        </w:rPr>
        <w:t xml:space="preserve">For all of the reasons presented </w:t>
      </w:r>
      <w:r w:rsidRPr="00E246AC">
        <w:rPr>
          <w:i/>
          <w:sz w:val="26"/>
          <w:szCs w:val="26"/>
        </w:rPr>
        <w:t>supra</w:t>
      </w:r>
      <w:r>
        <w:rPr>
          <w:sz w:val="26"/>
          <w:szCs w:val="26"/>
        </w:rPr>
        <w:t xml:space="preserve">, we concur that a gradual </w:t>
      </w:r>
      <w:r w:rsidR="0068033A">
        <w:rPr>
          <w:sz w:val="26"/>
          <w:szCs w:val="26"/>
        </w:rPr>
        <w:t xml:space="preserve">progression toward rate consolidation for the thirteen LWW-SE </w:t>
      </w:r>
      <w:r w:rsidR="005731E9">
        <w:rPr>
          <w:sz w:val="26"/>
          <w:szCs w:val="26"/>
        </w:rPr>
        <w:t>divisions</w:t>
      </w:r>
      <w:r w:rsidR="0068033A">
        <w:rPr>
          <w:sz w:val="26"/>
          <w:szCs w:val="26"/>
        </w:rPr>
        <w:t xml:space="preserve"> is in the public interest</w:t>
      </w:r>
      <w:r w:rsidR="0068033A" w:rsidRPr="00AE3DF9">
        <w:rPr>
          <w:sz w:val="26"/>
          <w:szCs w:val="26"/>
        </w:rPr>
        <w:t>.</w:t>
      </w:r>
      <w:r w:rsidR="008A5DC3">
        <w:rPr>
          <w:rStyle w:val="FootnoteReference"/>
          <w:sz w:val="26"/>
          <w:szCs w:val="26"/>
        </w:rPr>
        <w:footnoteReference w:id="4"/>
      </w:r>
      <w:r w:rsidR="0068033A" w:rsidRPr="00AE3DF9">
        <w:rPr>
          <w:sz w:val="26"/>
          <w:szCs w:val="26"/>
        </w:rPr>
        <w:t xml:space="preserve"> </w:t>
      </w:r>
      <w:r w:rsidRPr="00AE3DF9">
        <w:rPr>
          <w:sz w:val="26"/>
          <w:szCs w:val="26"/>
        </w:rPr>
        <w:t xml:space="preserve"> </w:t>
      </w:r>
      <w:r w:rsidR="00AE3DF9" w:rsidRPr="00AE3DF9">
        <w:rPr>
          <w:sz w:val="26"/>
          <w:szCs w:val="26"/>
        </w:rPr>
        <w:t xml:space="preserve">We note that the </w:t>
      </w:r>
      <w:r w:rsidR="00B41DEF">
        <w:rPr>
          <w:sz w:val="26"/>
          <w:szCs w:val="26"/>
        </w:rPr>
        <w:t xml:space="preserve">instant </w:t>
      </w:r>
      <w:r w:rsidR="00AE3DF9" w:rsidRPr="00AE3DF9">
        <w:rPr>
          <w:sz w:val="26"/>
          <w:szCs w:val="26"/>
        </w:rPr>
        <w:t xml:space="preserve">Settlement only provides for a single cost of service and </w:t>
      </w:r>
      <w:r w:rsidR="00B41DEF">
        <w:rPr>
          <w:sz w:val="26"/>
          <w:szCs w:val="26"/>
        </w:rPr>
        <w:t>single</w:t>
      </w:r>
      <w:r w:rsidR="00AE3DF9" w:rsidRPr="00AE3DF9">
        <w:rPr>
          <w:sz w:val="26"/>
          <w:szCs w:val="26"/>
        </w:rPr>
        <w:t xml:space="preserve"> revenue requirement for the thirteen </w:t>
      </w:r>
      <w:r w:rsidR="005731E9">
        <w:rPr>
          <w:sz w:val="26"/>
          <w:szCs w:val="26"/>
        </w:rPr>
        <w:t>divisions</w:t>
      </w:r>
      <w:r w:rsidR="00AE3DF9" w:rsidRPr="00AE3DF9">
        <w:rPr>
          <w:sz w:val="26"/>
          <w:szCs w:val="26"/>
        </w:rPr>
        <w:t xml:space="preserve"> on a going forward basis</w:t>
      </w:r>
      <w:r w:rsidR="00D502DE">
        <w:rPr>
          <w:sz w:val="26"/>
          <w:szCs w:val="26"/>
        </w:rPr>
        <w:t xml:space="preserve">. </w:t>
      </w:r>
      <w:r w:rsidR="00B41DEF">
        <w:rPr>
          <w:sz w:val="26"/>
          <w:szCs w:val="26"/>
        </w:rPr>
        <w:t xml:space="preserve"> </w:t>
      </w:r>
      <w:r w:rsidR="00DB3E31">
        <w:rPr>
          <w:sz w:val="26"/>
          <w:szCs w:val="26"/>
        </w:rPr>
        <w:t>Consequently, f</w:t>
      </w:r>
      <w:r w:rsidR="00D502DE">
        <w:rPr>
          <w:sz w:val="26"/>
          <w:szCs w:val="26"/>
        </w:rPr>
        <w:t xml:space="preserve">uture steps toward rate consolidation will </w:t>
      </w:r>
      <w:r w:rsidR="00DB3E31">
        <w:rPr>
          <w:sz w:val="26"/>
          <w:szCs w:val="26"/>
        </w:rPr>
        <w:t xml:space="preserve">be </w:t>
      </w:r>
      <w:r w:rsidR="00D502DE">
        <w:rPr>
          <w:sz w:val="26"/>
          <w:szCs w:val="26"/>
        </w:rPr>
        <w:t xml:space="preserve">addressed by the Commission and the Parties </w:t>
      </w:r>
      <w:r w:rsidR="00636915">
        <w:rPr>
          <w:sz w:val="26"/>
          <w:szCs w:val="26"/>
        </w:rPr>
        <w:t xml:space="preserve">as part of </w:t>
      </w:r>
      <w:r w:rsidR="00D502DE">
        <w:rPr>
          <w:sz w:val="26"/>
          <w:szCs w:val="26"/>
        </w:rPr>
        <w:t xml:space="preserve">subsequent </w:t>
      </w:r>
      <w:r w:rsidR="00DB3E31">
        <w:rPr>
          <w:sz w:val="26"/>
          <w:szCs w:val="26"/>
        </w:rPr>
        <w:t xml:space="preserve">LWW-SE </w:t>
      </w:r>
      <w:r w:rsidR="00D502DE">
        <w:rPr>
          <w:sz w:val="26"/>
          <w:szCs w:val="26"/>
        </w:rPr>
        <w:t xml:space="preserve">rate filings. </w:t>
      </w:r>
    </w:p>
    <w:p w:rsidR="00AB6E51" w:rsidRDefault="00AB6E51" w:rsidP="0068033A">
      <w:pPr>
        <w:pStyle w:val="BodyText2"/>
        <w:spacing w:after="0" w:line="360" w:lineRule="auto"/>
        <w:ind w:firstLine="1440"/>
        <w:rPr>
          <w:sz w:val="26"/>
          <w:szCs w:val="26"/>
        </w:rPr>
      </w:pPr>
    </w:p>
    <w:p w:rsidR="00AB6E51" w:rsidRDefault="00D721D4" w:rsidP="00D721D4">
      <w:pPr>
        <w:pStyle w:val="Heading3"/>
      </w:pPr>
      <w:r>
        <w:t>Malodor Remediation</w:t>
      </w:r>
    </w:p>
    <w:p w:rsidR="00D609B0" w:rsidRDefault="00D609B0" w:rsidP="00D609B0">
      <w:pPr>
        <w:spacing w:line="240" w:lineRule="auto"/>
      </w:pPr>
    </w:p>
    <w:p w:rsidR="009A0CD4" w:rsidRDefault="00861F78" w:rsidP="00D721D4">
      <w:r>
        <w:t>Paragraph 11</w:t>
      </w:r>
      <w:r w:rsidR="00636915">
        <w:t>.</w:t>
      </w:r>
      <w:r>
        <w:t>c</w:t>
      </w:r>
      <w:r w:rsidR="00636915">
        <w:t>.</w:t>
      </w:r>
      <w:r>
        <w:t xml:space="preserve"> of the Settlement includes </w:t>
      </w:r>
      <w:r w:rsidR="00FE76BA">
        <w:t xml:space="preserve">the following </w:t>
      </w:r>
      <w:r>
        <w:t>provisions to address odor complaints in the Little Washi</w:t>
      </w:r>
      <w:r w:rsidR="00F96F7C">
        <w:t>ngton and Twin Hills Divisions:</w:t>
      </w:r>
    </w:p>
    <w:p w:rsidR="009A0CD4" w:rsidRDefault="009A0CD4" w:rsidP="00D3650A">
      <w:pPr>
        <w:spacing w:line="240" w:lineRule="auto"/>
      </w:pPr>
    </w:p>
    <w:p w:rsidR="009A0CD4" w:rsidRDefault="00D3650A" w:rsidP="00D3650A">
      <w:pPr>
        <w:spacing w:line="240" w:lineRule="auto"/>
        <w:ind w:left="1440" w:right="1440" w:firstLine="720"/>
      </w:pPr>
      <w:r>
        <w:t>c.</w:t>
      </w:r>
      <w:r>
        <w:tab/>
      </w:r>
      <w:r w:rsidR="009A0CD4">
        <w:t xml:space="preserve">LWW-Southeast will further investigate odor complaints in the Little Washington and Twin Hills Divisions. </w:t>
      </w:r>
      <w:r w:rsidR="00DA19F3">
        <w:t xml:space="preserve"> T</w:t>
      </w:r>
      <w:r w:rsidR="009A0CD4">
        <w:t>he Company will contact an expert with experience in controlling wastewater odors for assistance in resolving this issue in the</w:t>
      </w:r>
      <w:r>
        <w:t xml:space="preserve"> </w:t>
      </w:r>
      <w:r w:rsidR="009A0CD4">
        <w:t>Little Washington Division and will provide a malodor remediation progress report to the OCA within 90 days and at 180 days after the Commission</w:t>
      </w:r>
      <w:r w:rsidR="00DA19F3">
        <w:t>’</w:t>
      </w:r>
      <w:r w:rsidR="009A0CD4">
        <w:t xml:space="preserve">s entered order approving the Settlement. </w:t>
      </w:r>
      <w:r w:rsidR="00596D34">
        <w:t xml:space="preserve"> </w:t>
      </w:r>
      <w:r w:rsidR="009A0CD4">
        <w:t xml:space="preserve">In the Twin Hills </w:t>
      </w:r>
      <w:r w:rsidR="009A0CD4">
        <w:lastRenderedPageBreak/>
        <w:t xml:space="preserve">Division, a customer that resides approximately 750 feet from the plant complained about odor. </w:t>
      </w:r>
      <w:r w:rsidR="00596D34">
        <w:t xml:space="preserve"> </w:t>
      </w:r>
      <w:r w:rsidR="009A0CD4">
        <w:t>The Company will contact customers nearby the</w:t>
      </w:r>
      <w:r>
        <w:t xml:space="preserve"> </w:t>
      </w:r>
      <w:r w:rsidR="009A0CD4">
        <w:t xml:space="preserve">plant and request that they advise the Company when there are any odor issues so the Company can determine the source of any such odors. </w:t>
      </w:r>
      <w:r w:rsidR="00596D34">
        <w:t xml:space="preserve"> </w:t>
      </w:r>
      <w:r w:rsidR="009A0CD4">
        <w:t>If the Company cannot correct the issue, the Company will contact an expert for advice in resolving an</w:t>
      </w:r>
      <w:r w:rsidR="005E4065">
        <w:t>y</w:t>
      </w:r>
      <w:r w:rsidR="009A0CD4">
        <w:t xml:space="preserve"> possible odor</w:t>
      </w:r>
      <w:r>
        <w:t xml:space="preserve"> </w:t>
      </w:r>
      <w:r w:rsidR="009A0CD4">
        <w:t>issues.</w:t>
      </w:r>
    </w:p>
    <w:p w:rsidR="009A0CD4" w:rsidRDefault="009A0CD4" w:rsidP="00D53331">
      <w:pPr>
        <w:spacing w:line="240" w:lineRule="auto"/>
      </w:pPr>
    </w:p>
    <w:p w:rsidR="00D53331" w:rsidRDefault="00596D34" w:rsidP="00D53331">
      <w:pPr>
        <w:spacing w:line="240" w:lineRule="auto"/>
        <w:ind w:firstLine="0"/>
      </w:pPr>
      <w:r>
        <w:t>Settlement at 4-5.</w:t>
      </w:r>
    </w:p>
    <w:p w:rsidR="00D53331" w:rsidRDefault="00D53331" w:rsidP="00636915">
      <w:pPr>
        <w:ind w:firstLine="0"/>
      </w:pPr>
    </w:p>
    <w:p w:rsidR="00D721D4" w:rsidRDefault="002E086A" w:rsidP="00F8546E">
      <w:r>
        <w:t>The proposed r</w:t>
      </w:r>
      <w:r w:rsidR="00114157">
        <w:t xml:space="preserve">esolution of the odor complaint at the Little Washington Division </w:t>
      </w:r>
      <w:r>
        <w:t xml:space="preserve">has been </w:t>
      </w:r>
      <w:r w:rsidR="001B42D1">
        <w:t xml:space="preserve">challenged </w:t>
      </w:r>
      <w:r>
        <w:t xml:space="preserve">in </w:t>
      </w:r>
      <w:r w:rsidR="007769D1">
        <w:t xml:space="preserve">the </w:t>
      </w:r>
      <w:r w:rsidR="001B42D1">
        <w:t xml:space="preserve">Exceptions of Complainant </w:t>
      </w:r>
      <w:r w:rsidR="008A5DC3">
        <w:t xml:space="preserve">Arnold </w:t>
      </w:r>
      <w:r w:rsidR="00443347">
        <w:t>Kring</w:t>
      </w:r>
      <w:r w:rsidR="001B42D1">
        <w:t xml:space="preserve">. </w:t>
      </w:r>
      <w:r w:rsidR="00F8546E">
        <w:t xml:space="preserve"> Accordingly</w:t>
      </w:r>
      <w:r w:rsidR="007769D1">
        <w:t>,</w:t>
      </w:r>
      <w:r w:rsidR="00F8546E">
        <w:t xml:space="preserve"> </w:t>
      </w:r>
      <w:r w:rsidR="00443347">
        <w:t>the merits of this component of the Settlement will be address</w:t>
      </w:r>
      <w:r w:rsidR="00596D34">
        <w:t>ed</w:t>
      </w:r>
      <w:r w:rsidR="00443347">
        <w:t xml:space="preserve"> in our discussion of the Exceptions, </w:t>
      </w:r>
      <w:r w:rsidR="00443347" w:rsidRPr="00443347">
        <w:rPr>
          <w:i/>
        </w:rPr>
        <w:t>infra</w:t>
      </w:r>
      <w:r w:rsidR="00443347">
        <w:t xml:space="preserve">. </w:t>
      </w:r>
    </w:p>
    <w:p w:rsidR="00DA2827" w:rsidRDefault="00DA2827" w:rsidP="00D721D4"/>
    <w:p w:rsidR="00DA2827" w:rsidRDefault="001C0EB8" w:rsidP="00DA2827">
      <w:pPr>
        <w:pStyle w:val="Heading3"/>
      </w:pPr>
      <w:r>
        <w:t>Stay Out</w:t>
      </w:r>
    </w:p>
    <w:p w:rsidR="00DA2827" w:rsidRDefault="00DA2827" w:rsidP="00290726">
      <w:pPr>
        <w:spacing w:line="240" w:lineRule="auto"/>
      </w:pPr>
    </w:p>
    <w:p w:rsidR="00062CAE" w:rsidRDefault="00062CAE" w:rsidP="00DA2827">
      <w:pPr>
        <w:rPr>
          <w:szCs w:val="24"/>
        </w:rPr>
      </w:pPr>
      <w:r>
        <w:rPr>
          <w:szCs w:val="24"/>
        </w:rPr>
        <w:t xml:space="preserve">Paragraphs </w:t>
      </w:r>
      <w:r w:rsidR="00DA2827" w:rsidRPr="00FB6881">
        <w:rPr>
          <w:szCs w:val="24"/>
        </w:rPr>
        <w:t>11</w:t>
      </w:r>
      <w:r w:rsidR="00114157">
        <w:rPr>
          <w:szCs w:val="24"/>
        </w:rPr>
        <w:t>.</w:t>
      </w:r>
      <w:r w:rsidR="00DA2827" w:rsidRPr="00FB6881">
        <w:rPr>
          <w:szCs w:val="24"/>
        </w:rPr>
        <w:t>f</w:t>
      </w:r>
      <w:r w:rsidR="00114157">
        <w:rPr>
          <w:szCs w:val="24"/>
        </w:rPr>
        <w:t xml:space="preserve">. and </w:t>
      </w:r>
      <w:r w:rsidR="00DA2827" w:rsidRPr="00FB6881">
        <w:rPr>
          <w:szCs w:val="24"/>
        </w:rPr>
        <w:t>i</w:t>
      </w:r>
      <w:r w:rsidR="00114157">
        <w:rPr>
          <w:szCs w:val="24"/>
        </w:rPr>
        <w:t>.</w:t>
      </w:r>
      <w:r w:rsidR="00DA2827" w:rsidRPr="00FB6881">
        <w:rPr>
          <w:szCs w:val="24"/>
        </w:rPr>
        <w:t xml:space="preserve"> </w:t>
      </w:r>
      <w:r>
        <w:rPr>
          <w:szCs w:val="24"/>
        </w:rPr>
        <w:t xml:space="preserve">of the Settlement </w:t>
      </w:r>
      <w:r w:rsidR="00DA2827" w:rsidRPr="00FB6881">
        <w:rPr>
          <w:szCs w:val="24"/>
        </w:rPr>
        <w:t xml:space="preserve">provide that </w:t>
      </w:r>
      <w:r>
        <w:rPr>
          <w:szCs w:val="24"/>
        </w:rPr>
        <w:t xml:space="preserve">LWW-SE </w:t>
      </w:r>
      <w:r w:rsidR="00DA2827" w:rsidRPr="00FB6881">
        <w:rPr>
          <w:szCs w:val="24"/>
        </w:rPr>
        <w:t xml:space="preserve">will not file for another base rate increase before November 1, 2012, provided that, in the interim, the </w:t>
      </w:r>
      <w:r w:rsidR="00114157">
        <w:rPr>
          <w:szCs w:val="24"/>
        </w:rPr>
        <w:t>C</w:t>
      </w:r>
      <w:r w:rsidR="00DA2827" w:rsidRPr="00FB6881">
        <w:rPr>
          <w:szCs w:val="24"/>
        </w:rPr>
        <w:t xml:space="preserve">ompany’s rates are not directly and substantially affected by changes in regulatory or legislative requirements.  </w:t>
      </w:r>
      <w:r>
        <w:rPr>
          <w:szCs w:val="24"/>
        </w:rPr>
        <w:t>Settlement at 12-13.</w:t>
      </w:r>
    </w:p>
    <w:p w:rsidR="00062CAE" w:rsidRDefault="00062CAE" w:rsidP="00DA2827">
      <w:pPr>
        <w:rPr>
          <w:szCs w:val="24"/>
        </w:rPr>
      </w:pPr>
    </w:p>
    <w:p w:rsidR="00DA2827" w:rsidRDefault="003156C9" w:rsidP="00DA2827">
      <w:pPr>
        <w:rPr>
          <w:szCs w:val="24"/>
        </w:rPr>
      </w:pPr>
      <w:r>
        <w:rPr>
          <w:szCs w:val="24"/>
        </w:rPr>
        <w:t xml:space="preserve">The OCA stated that this approximate </w:t>
      </w:r>
      <w:r w:rsidR="005E4065">
        <w:rPr>
          <w:szCs w:val="24"/>
        </w:rPr>
        <w:t>eighteen</w:t>
      </w:r>
      <w:r>
        <w:rPr>
          <w:szCs w:val="24"/>
        </w:rPr>
        <w:t xml:space="preserve">-month stay-out period will provide </w:t>
      </w:r>
      <w:r w:rsidR="00DA2827" w:rsidRPr="00FB6881">
        <w:rPr>
          <w:szCs w:val="24"/>
        </w:rPr>
        <w:t>an extended period of rate stability</w:t>
      </w:r>
      <w:r>
        <w:rPr>
          <w:szCs w:val="24"/>
        </w:rPr>
        <w:t xml:space="preserve"> for LWW-SE’s customers</w:t>
      </w:r>
      <w:r w:rsidR="00EE3A58">
        <w:rPr>
          <w:szCs w:val="24"/>
        </w:rPr>
        <w:t xml:space="preserve"> and </w:t>
      </w:r>
      <w:r w:rsidR="00DA2827" w:rsidRPr="00FB6881">
        <w:rPr>
          <w:szCs w:val="24"/>
        </w:rPr>
        <w:t>will encourage efficient investment and o</w:t>
      </w:r>
      <w:r w:rsidR="00DA2827">
        <w:rPr>
          <w:szCs w:val="24"/>
        </w:rPr>
        <w:t xml:space="preserve">peration on the part of </w:t>
      </w:r>
      <w:r w:rsidR="00114157">
        <w:rPr>
          <w:szCs w:val="24"/>
        </w:rPr>
        <w:t>the Company</w:t>
      </w:r>
      <w:r w:rsidR="00DA2827">
        <w:rPr>
          <w:szCs w:val="24"/>
        </w:rPr>
        <w:t xml:space="preserve">.  </w:t>
      </w:r>
      <w:r w:rsidR="00EE3A58">
        <w:rPr>
          <w:szCs w:val="24"/>
        </w:rPr>
        <w:t xml:space="preserve">The OCA </w:t>
      </w:r>
      <w:r w:rsidR="005E4065">
        <w:rPr>
          <w:szCs w:val="24"/>
        </w:rPr>
        <w:t xml:space="preserve">also </w:t>
      </w:r>
      <w:r w:rsidR="00EE3A58">
        <w:rPr>
          <w:szCs w:val="24"/>
        </w:rPr>
        <w:t xml:space="preserve">averred that </w:t>
      </w:r>
      <w:r w:rsidR="00DA2827" w:rsidRPr="00FB6881">
        <w:rPr>
          <w:szCs w:val="24"/>
        </w:rPr>
        <w:t xml:space="preserve">this stay-out period will </w:t>
      </w:r>
      <w:r w:rsidR="00EE3A58">
        <w:rPr>
          <w:szCs w:val="24"/>
        </w:rPr>
        <w:t xml:space="preserve">also </w:t>
      </w:r>
      <w:r w:rsidR="00DA2827" w:rsidRPr="00FB6881">
        <w:rPr>
          <w:szCs w:val="24"/>
        </w:rPr>
        <w:t xml:space="preserve">assist in the synchronization of the filing periods for all the individual </w:t>
      </w:r>
      <w:r w:rsidR="00114157">
        <w:rPr>
          <w:szCs w:val="24"/>
        </w:rPr>
        <w:t>d</w:t>
      </w:r>
      <w:r w:rsidR="005731E9">
        <w:rPr>
          <w:szCs w:val="24"/>
        </w:rPr>
        <w:t>ivisions</w:t>
      </w:r>
      <w:r w:rsidR="00DA2827" w:rsidRPr="00FB6881">
        <w:rPr>
          <w:szCs w:val="24"/>
        </w:rPr>
        <w:t xml:space="preserve"> within </w:t>
      </w:r>
      <w:r w:rsidR="00EE3A58">
        <w:rPr>
          <w:szCs w:val="24"/>
        </w:rPr>
        <w:t>LWW-SE</w:t>
      </w:r>
      <w:r w:rsidR="00DA2827" w:rsidRPr="00FB6881">
        <w:rPr>
          <w:szCs w:val="24"/>
        </w:rPr>
        <w:t>.</w:t>
      </w:r>
      <w:r w:rsidR="00EE3A58">
        <w:rPr>
          <w:szCs w:val="24"/>
        </w:rPr>
        <w:t xml:space="preserve">  OCA Statement in Support at 3.</w:t>
      </w:r>
    </w:p>
    <w:p w:rsidR="00EE3A58" w:rsidRDefault="00EE3A58" w:rsidP="00DA2827">
      <w:pPr>
        <w:rPr>
          <w:szCs w:val="24"/>
        </w:rPr>
      </w:pPr>
    </w:p>
    <w:p w:rsidR="00EE3A58" w:rsidRDefault="005E4065" w:rsidP="00DA2827">
      <w:pPr>
        <w:rPr>
          <w:szCs w:val="24"/>
        </w:rPr>
      </w:pPr>
      <w:r>
        <w:rPr>
          <w:szCs w:val="24"/>
        </w:rPr>
        <w:t>On review, w</w:t>
      </w:r>
      <w:r w:rsidR="00CD6C00">
        <w:rPr>
          <w:szCs w:val="24"/>
        </w:rPr>
        <w:t xml:space="preserve">e concur with the OCA.  The stay-out </w:t>
      </w:r>
      <w:r>
        <w:rPr>
          <w:szCs w:val="24"/>
        </w:rPr>
        <w:t xml:space="preserve">period </w:t>
      </w:r>
      <w:r w:rsidR="00CD6C00">
        <w:rPr>
          <w:szCs w:val="24"/>
        </w:rPr>
        <w:t xml:space="preserve">provides an important degree of rate stability for LWW-SE’s ratepayers </w:t>
      </w:r>
      <w:r w:rsidR="006340C5">
        <w:rPr>
          <w:szCs w:val="24"/>
        </w:rPr>
        <w:t xml:space="preserve">and </w:t>
      </w:r>
      <w:r>
        <w:rPr>
          <w:szCs w:val="24"/>
        </w:rPr>
        <w:t xml:space="preserve">also </w:t>
      </w:r>
      <w:r w:rsidR="006340C5">
        <w:rPr>
          <w:szCs w:val="24"/>
        </w:rPr>
        <w:t xml:space="preserve">helps ensure that the migration to consolidated rates </w:t>
      </w:r>
      <w:r>
        <w:rPr>
          <w:szCs w:val="24"/>
        </w:rPr>
        <w:t xml:space="preserve">will </w:t>
      </w:r>
      <w:r w:rsidR="001C0EB8">
        <w:rPr>
          <w:szCs w:val="24"/>
        </w:rPr>
        <w:t xml:space="preserve">occur at a reasonable pace. </w:t>
      </w:r>
    </w:p>
    <w:p w:rsidR="00EE3A58" w:rsidRDefault="00EE3A58" w:rsidP="00DA2827"/>
    <w:p w:rsidR="0086203F" w:rsidRDefault="000270C1" w:rsidP="00F8546E">
      <w:pPr>
        <w:pStyle w:val="Heading3"/>
      </w:pPr>
      <w:r>
        <w:lastRenderedPageBreak/>
        <w:t>Volume</w:t>
      </w:r>
      <w:r w:rsidR="001C0EB8">
        <w:t>tric Billing for New Daleville</w:t>
      </w:r>
    </w:p>
    <w:p w:rsidR="000270C1" w:rsidRDefault="000270C1" w:rsidP="00F8546E">
      <w:pPr>
        <w:keepNext/>
        <w:spacing w:line="240" w:lineRule="auto"/>
      </w:pPr>
    </w:p>
    <w:p w:rsidR="00441945" w:rsidRDefault="00DC5538" w:rsidP="00F8546E">
      <w:pPr>
        <w:keepNext/>
      </w:pPr>
      <w:r>
        <w:t xml:space="preserve">As indicated, </w:t>
      </w:r>
      <w:r w:rsidRPr="00DC5538">
        <w:rPr>
          <w:i/>
        </w:rPr>
        <w:t>supra</w:t>
      </w:r>
      <w:r>
        <w:t xml:space="preserve">, </w:t>
      </w:r>
      <w:r w:rsidR="00F45E0D">
        <w:t xml:space="preserve">under the proposed Settlement, </w:t>
      </w:r>
      <w:r>
        <w:t xml:space="preserve">customers in the New Daleville </w:t>
      </w:r>
      <w:r w:rsidR="005731E9">
        <w:t>division</w:t>
      </w:r>
      <w:r>
        <w:t xml:space="preserve"> </w:t>
      </w:r>
      <w:r w:rsidR="00F45E0D">
        <w:t xml:space="preserve">would </w:t>
      </w:r>
      <w:r>
        <w:t>pay a flat rate of $</w:t>
      </w:r>
      <w:r w:rsidR="00F45E0D">
        <w:t>70.64</w:t>
      </w:r>
      <w:r>
        <w:t xml:space="preserve"> </w:t>
      </w:r>
      <w:r w:rsidR="00F45E0D">
        <w:t xml:space="preserve">per month for wastewater service.  </w:t>
      </w:r>
      <w:r w:rsidR="001F5172">
        <w:t>LWW-SE is currently unable to bill New Daleville customers on a volumetric basis because they receive water service from a utility other than LWW-SE</w:t>
      </w:r>
      <w:r w:rsidR="00E432CC">
        <w:t>’s</w:t>
      </w:r>
      <w:r w:rsidR="001F5172">
        <w:t xml:space="preserve"> affiliate, Aqua Pennsylvania.  </w:t>
      </w:r>
      <w:r w:rsidR="00AE5744">
        <w:t>LWW-SE explained that</w:t>
      </w:r>
      <w:r w:rsidR="00635D67">
        <w:t>,</w:t>
      </w:r>
      <w:r w:rsidR="00AE5744">
        <w:t xml:space="preserve"> as part of the Settlement (Paragraph </w:t>
      </w:r>
      <w:r w:rsidR="00441945">
        <w:t>11.h.)</w:t>
      </w:r>
      <w:r w:rsidR="004D569A">
        <w:t>,</w:t>
      </w:r>
      <w:r w:rsidR="00441945">
        <w:t xml:space="preserve"> it has agreed to propose a volumetric rate for the </w:t>
      </w:r>
      <w:r w:rsidR="00635D67">
        <w:t>N</w:t>
      </w:r>
      <w:r w:rsidR="00441945">
        <w:t xml:space="preserve">ew Daleville </w:t>
      </w:r>
      <w:r w:rsidR="00635D67">
        <w:t>D</w:t>
      </w:r>
      <w:r w:rsidR="005731E9">
        <w:t>ivision</w:t>
      </w:r>
      <w:r w:rsidR="00441945">
        <w:t xml:space="preserve"> in its next rate filing, assuming that the water provider will share the volumetric reads</w:t>
      </w:r>
      <w:r w:rsidR="004D569A">
        <w:t xml:space="preserve"> with the Company</w:t>
      </w:r>
      <w:r w:rsidR="00441945">
        <w:t xml:space="preserve">. NWW-SE </w:t>
      </w:r>
      <w:r w:rsidR="00AE5744">
        <w:t>Statement in Su</w:t>
      </w:r>
      <w:r w:rsidR="00441945">
        <w:t xml:space="preserve">pport at 6. </w:t>
      </w:r>
    </w:p>
    <w:p w:rsidR="00441945" w:rsidRDefault="00441945" w:rsidP="000270C1"/>
    <w:p w:rsidR="000270C1" w:rsidRPr="000270C1" w:rsidRDefault="0039697D" w:rsidP="000270C1">
      <w:r>
        <w:t xml:space="preserve">The ALJs conclude that there is no question that volumetric billing is preferable to flat rate billing, as it provides better price signals and promotes conservation.  R.D. at 20.  We agree.  In addition to </w:t>
      </w:r>
      <w:r w:rsidR="008C5A94">
        <w:t>encouraging the conservation of water and wastewater services, volumetric billing also results in a more equitable distribution of the variable costs of wastewater service</w:t>
      </w:r>
      <w:r w:rsidR="004D569A">
        <w:t xml:space="preserve"> among ratepayers</w:t>
      </w:r>
      <w:r w:rsidR="00B61A59">
        <w:t>.</w:t>
      </w:r>
    </w:p>
    <w:p w:rsidR="00744041" w:rsidRDefault="00744041" w:rsidP="00D721D4"/>
    <w:p w:rsidR="00E432CC" w:rsidRDefault="00E432CC" w:rsidP="00494E4B">
      <w:pPr>
        <w:pStyle w:val="Heading2"/>
      </w:pPr>
      <w:r>
        <w:t>Exceptions to the Recommended Decision</w:t>
      </w:r>
    </w:p>
    <w:p w:rsidR="00494E4B" w:rsidRDefault="00494E4B" w:rsidP="00494E4B">
      <w:pPr>
        <w:keepNext/>
        <w:spacing w:line="240" w:lineRule="auto"/>
      </w:pPr>
    </w:p>
    <w:p w:rsidR="00494E4B" w:rsidRDefault="00494E4B" w:rsidP="00494E4B">
      <w:pPr>
        <w:keepNext/>
      </w:pPr>
      <w:r>
        <w:t xml:space="preserve">Initially, we are reminded that we are not required to consider expressly or at great length each and every contention raised by a party to our proceedings.  </w:t>
      </w:r>
      <w:r>
        <w:rPr>
          <w:i/>
        </w:rPr>
        <w:t>University of Pennsylvania, et al. v. Pa. PUC</w:t>
      </w:r>
      <w:r>
        <w:t xml:space="preserve">, 485 A.2d 1217, 1222 (Pa. Cmwlth. 1984).  Any exception or argument that is not specifically addressed herein shall be deemed to have been duly considered and denied without further discussion.  </w:t>
      </w:r>
    </w:p>
    <w:p w:rsidR="00494E4B" w:rsidRDefault="00494E4B" w:rsidP="00494E4B">
      <w:pPr>
        <w:keepNext/>
      </w:pPr>
    </w:p>
    <w:p w:rsidR="003D1EA9" w:rsidRDefault="003D1EA9" w:rsidP="003D1EA9">
      <w:pPr>
        <w:pStyle w:val="Heading3"/>
        <w:numPr>
          <w:ilvl w:val="0"/>
          <w:numId w:val="31"/>
        </w:numPr>
        <w:spacing w:line="240" w:lineRule="auto"/>
      </w:pPr>
      <w:r>
        <w:t>Pace of Rate Consolidation</w:t>
      </w:r>
      <w:r w:rsidR="002567E7">
        <w:t xml:space="preserve"> </w:t>
      </w:r>
    </w:p>
    <w:p w:rsidR="003325AB" w:rsidRPr="003325AB" w:rsidRDefault="003325AB" w:rsidP="001E08AD">
      <w:pPr>
        <w:spacing w:line="240" w:lineRule="auto"/>
      </w:pPr>
    </w:p>
    <w:p w:rsidR="006007E2" w:rsidRDefault="002567E7" w:rsidP="003D1EA9">
      <w:r>
        <w:t xml:space="preserve">As discussed </w:t>
      </w:r>
      <w:r w:rsidRPr="002567E7">
        <w:rPr>
          <w:i/>
        </w:rPr>
        <w:t>supra</w:t>
      </w:r>
      <w:r>
        <w:t xml:space="preserve">, </w:t>
      </w:r>
      <w:r w:rsidR="00F05491">
        <w:t xml:space="preserve">Paragraph </w:t>
      </w:r>
      <w:r w:rsidR="00F05491" w:rsidRPr="00FB6881">
        <w:t>11</w:t>
      </w:r>
      <w:r w:rsidR="00F05491">
        <w:t xml:space="preserve">.b. of </w:t>
      </w:r>
      <w:r w:rsidR="00F05491" w:rsidRPr="00FB6881">
        <w:t xml:space="preserve">the </w:t>
      </w:r>
      <w:r w:rsidR="00F05491">
        <w:t>S</w:t>
      </w:r>
      <w:r w:rsidR="00F05491" w:rsidRPr="00FB6881">
        <w:t xml:space="preserve">ettlement provides that </w:t>
      </w:r>
      <w:r w:rsidR="00BD51A6">
        <w:t>LWW</w:t>
      </w:r>
      <w:r w:rsidR="00BD51A6">
        <w:noBreakHyphen/>
        <w:t>SE</w:t>
      </w:r>
      <w:r w:rsidR="00F05491" w:rsidRPr="00FB6881">
        <w:t xml:space="preserve"> will have a single cost of service and </w:t>
      </w:r>
      <w:r w:rsidR="00A171BE">
        <w:t xml:space="preserve">a single </w:t>
      </w:r>
      <w:r w:rsidR="00F05491" w:rsidRPr="00FB6881">
        <w:t xml:space="preserve">revenue requirement for the thirteen </w:t>
      </w:r>
      <w:r w:rsidR="005731E9">
        <w:t>division</w:t>
      </w:r>
      <w:r w:rsidR="00F05491" w:rsidRPr="00FB6881">
        <w:t xml:space="preserve">s </w:t>
      </w:r>
      <w:r w:rsidR="003325AB">
        <w:t>for future rate filings with the Commission</w:t>
      </w:r>
      <w:r>
        <w:t xml:space="preserve">.  </w:t>
      </w:r>
      <w:r w:rsidR="005A5C5A">
        <w:t>S</w:t>
      </w:r>
      <w:r w:rsidR="00F05491">
        <w:t xml:space="preserve">ettlement at 4. </w:t>
      </w:r>
      <w:r w:rsidR="00F05491" w:rsidRPr="00FB6881">
        <w:t xml:space="preserve"> </w:t>
      </w:r>
    </w:p>
    <w:p w:rsidR="00C33AFF" w:rsidRDefault="00A038C4" w:rsidP="006007E2">
      <w:pPr>
        <w:ind w:firstLine="0"/>
      </w:pPr>
      <w:r>
        <w:lastRenderedPageBreak/>
        <w:t xml:space="preserve">This alignment of the accounting for the thirteen </w:t>
      </w:r>
      <w:r w:rsidR="005731E9">
        <w:t>division</w:t>
      </w:r>
      <w:r>
        <w:t xml:space="preserve">s is the first step in a </w:t>
      </w:r>
      <w:r w:rsidR="00F05491" w:rsidRPr="00FB6881">
        <w:t xml:space="preserve">movement toward a single rate structure within </w:t>
      </w:r>
      <w:r w:rsidR="001E08AD">
        <w:t>LWW-SE.</w:t>
      </w:r>
    </w:p>
    <w:p w:rsidR="001E08AD" w:rsidRDefault="001E08AD" w:rsidP="003D1EA9"/>
    <w:p w:rsidR="00A038C4" w:rsidRDefault="00C33AFF" w:rsidP="003D1EA9">
      <w:r>
        <w:t xml:space="preserve">In his Exceptions, Arnold Kring questions why the Commission does not require this to be accomplished within </w:t>
      </w:r>
      <w:r w:rsidR="000A11EA">
        <w:t xml:space="preserve">the next </w:t>
      </w:r>
      <w:r>
        <w:t xml:space="preserve">year </w:t>
      </w:r>
      <w:r w:rsidR="000A11EA">
        <w:t xml:space="preserve">and then </w:t>
      </w:r>
      <w:r w:rsidR="003325AB">
        <w:t xml:space="preserve">examine the new rate structure at that time. </w:t>
      </w:r>
      <w:r w:rsidR="001E08AD">
        <w:t xml:space="preserve"> Mr. Kring argues that if rate consolidation “is such a good idea as st</w:t>
      </w:r>
      <w:r w:rsidR="000C24D3">
        <w:t>a</w:t>
      </w:r>
      <w:r w:rsidR="001E08AD">
        <w:t xml:space="preserve">ted by [LWW-SE], and if the </w:t>
      </w:r>
      <w:r w:rsidR="006563FE">
        <w:t xml:space="preserve">PUC and [OCA] are both ‘looking out’ for the public as well as the utility, then why not place a time frame in which this consolidation is to be accomplished?”  Mr. Kring avers that “[i]t could be completed within one year if we are serious.”  Kring Exc. at 1.  </w:t>
      </w:r>
    </w:p>
    <w:p w:rsidR="000C24D3" w:rsidRDefault="000C24D3" w:rsidP="003D1EA9"/>
    <w:p w:rsidR="006007E2" w:rsidRDefault="00DF1CB8" w:rsidP="003D1EA9">
      <w:r>
        <w:t xml:space="preserve">One of </w:t>
      </w:r>
      <w:r w:rsidR="008724E2">
        <w:t xml:space="preserve">the Commission’s </w:t>
      </w:r>
      <w:r>
        <w:t xml:space="preserve">primary concerns in addressing the migration </w:t>
      </w:r>
      <w:r w:rsidR="000704F2">
        <w:t xml:space="preserve">toward consolidated rates is the potential for sudden, significant changes in customers’ rates commonly known as “rate shock.”  </w:t>
      </w:r>
      <w:r w:rsidR="008724E2">
        <w:t xml:space="preserve">As reflected in the current and proposed settlement rates for the eight LWW-SE </w:t>
      </w:r>
      <w:r w:rsidR="005731E9">
        <w:t>division</w:t>
      </w:r>
      <w:r w:rsidR="008724E2">
        <w:t xml:space="preserve">s presented </w:t>
      </w:r>
      <w:r w:rsidR="008724E2" w:rsidRPr="008724E2">
        <w:rPr>
          <w:i/>
        </w:rPr>
        <w:t>supra</w:t>
      </w:r>
      <w:r w:rsidR="008724E2">
        <w:t xml:space="preserve">, there is a considerable variation in the </w:t>
      </w:r>
      <w:r w:rsidR="009F5BF3">
        <w:t>current and proposed monthly rates across th</w:t>
      </w:r>
      <w:r w:rsidR="00A6058A">
        <w:t>os</w:t>
      </w:r>
      <w:r w:rsidR="009F5BF3">
        <w:t xml:space="preserve">e eight </w:t>
      </w:r>
      <w:r w:rsidR="005731E9">
        <w:t>division</w:t>
      </w:r>
      <w:r w:rsidR="009F5BF3">
        <w:t xml:space="preserve">s.  </w:t>
      </w:r>
      <w:r w:rsidR="007256B3">
        <w:t xml:space="preserve">We note that </w:t>
      </w:r>
      <w:r w:rsidR="009F5BF3">
        <w:t xml:space="preserve">expedited migration to consolidated rates, as proposed by Mr. Kring, would likely subject </w:t>
      </w:r>
      <w:r w:rsidR="003451AC">
        <w:t xml:space="preserve">a number of customers to significant changes in their monthly bills.  </w:t>
      </w:r>
      <w:r w:rsidR="00EC450F">
        <w:t xml:space="preserve">We believe that the </w:t>
      </w:r>
      <w:r w:rsidR="0022787B">
        <w:t>alignment o</w:t>
      </w:r>
      <w:r w:rsidR="00EC450F">
        <w:t xml:space="preserve">f the accounting of the </w:t>
      </w:r>
      <w:r w:rsidR="00F200E2">
        <w:t xml:space="preserve">Company’s </w:t>
      </w:r>
      <w:r w:rsidR="00EC450F">
        <w:t>thirteen divisions in the next rate proceeding</w:t>
      </w:r>
      <w:r w:rsidR="0022787B">
        <w:t xml:space="preserve"> coupled with the stay</w:t>
      </w:r>
      <w:r w:rsidR="00162341">
        <w:t>-</w:t>
      </w:r>
      <w:r w:rsidR="0022787B">
        <w:t xml:space="preserve">out </w:t>
      </w:r>
      <w:r w:rsidR="00667F5E">
        <w:t>provision</w:t>
      </w:r>
      <w:r w:rsidR="0022787B">
        <w:t xml:space="preserve"> set </w:t>
      </w:r>
      <w:r w:rsidR="00667F5E">
        <w:t>forth</w:t>
      </w:r>
      <w:r w:rsidR="0022787B">
        <w:t xml:space="preserve"> in the </w:t>
      </w:r>
      <w:r w:rsidR="00667F5E">
        <w:t>Settlement</w:t>
      </w:r>
      <w:r w:rsidR="0022787B">
        <w:t xml:space="preserve"> </w:t>
      </w:r>
      <w:r w:rsidR="00667F5E">
        <w:t>establish an appropriate progression toward consolidated rates for LWW-SE.</w:t>
      </w:r>
      <w:r w:rsidR="00A62FF0">
        <w:t xml:space="preserve">  Accordingly, </w:t>
      </w:r>
    </w:p>
    <w:p w:rsidR="003451AC" w:rsidRDefault="00A62FF0" w:rsidP="006007E2">
      <w:pPr>
        <w:ind w:firstLine="0"/>
      </w:pPr>
      <w:r>
        <w:t>Mr. Kring</w:t>
      </w:r>
      <w:r w:rsidR="00801835">
        <w:t>’s</w:t>
      </w:r>
      <w:r>
        <w:t xml:space="preserve"> Exception is denied. </w:t>
      </w:r>
      <w:r w:rsidR="007C7B23">
        <w:t xml:space="preserve"> </w:t>
      </w:r>
    </w:p>
    <w:p w:rsidR="009666FB" w:rsidRPr="003D1EA9" w:rsidRDefault="009666FB" w:rsidP="003D1EA9"/>
    <w:p w:rsidR="00494E4B" w:rsidRDefault="00B0615C" w:rsidP="00B0615C">
      <w:pPr>
        <w:pStyle w:val="Heading3"/>
      </w:pPr>
      <w:r>
        <w:t>Malodor Remediation as a Condition of Rate Increase</w:t>
      </w:r>
    </w:p>
    <w:p w:rsidR="00B0615C" w:rsidRDefault="00B0615C" w:rsidP="00B0615C">
      <w:pPr>
        <w:spacing w:line="240" w:lineRule="auto"/>
      </w:pPr>
    </w:p>
    <w:p w:rsidR="00B0615C" w:rsidRDefault="00162341" w:rsidP="00B0615C">
      <w:r>
        <w:t xml:space="preserve">As noted, </w:t>
      </w:r>
      <w:r w:rsidR="00B0615C">
        <w:t>Complainant Arnold Kring also excepts to the ALJs</w:t>
      </w:r>
      <w:r w:rsidR="003305FC">
        <w:t>’</w:t>
      </w:r>
      <w:r w:rsidR="00B0615C">
        <w:t xml:space="preserve"> </w:t>
      </w:r>
      <w:r w:rsidR="003305FC">
        <w:t>recommendation</w:t>
      </w:r>
      <w:r w:rsidR="00B0615C">
        <w:t xml:space="preserve"> that we adopt </w:t>
      </w:r>
      <w:r w:rsidR="005F32E1">
        <w:t xml:space="preserve">a </w:t>
      </w:r>
      <w:r w:rsidR="003305FC">
        <w:t xml:space="preserve">provision of the Settlement that addresses the odor complaints at Little Washington and Twin Hills Divisions.  As discussed </w:t>
      </w:r>
      <w:r w:rsidR="003305FC" w:rsidRPr="003305FC">
        <w:rPr>
          <w:i/>
        </w:rPr>
        <w:t>supra</w:t>
      </w:r>
      <w:r w:rsidR="003305FC">
        <w:t xml:space="preserve">, the Settlement provides </w:t>
      </w:r>
      <w:r w:rsidR="00BD51A6">
        <w:t>LWW-SE</w:t>
      </w:r>
      <w:r w:rsidR="003305FC">
        <w:t xml:space="preserve"> will further investigate odor complaints in the Little </w:t>
      </w:r>
      <w:r w:rsidR="003305FC">
        <w:lastRenderedPageBreak/>
        <w:t xml:space="preserve">Washington and Twin Hills Divisions. </w:t>
      </w:r>
      <w:r w:rsidR="005F32E1">
        <w:t xml:space="preserve"> </w:t>
      </w:r>
      <w:r w:rsidR="003305FC">
        <w:t>The Company will contact an expert with experience in controlling wastewater odors for assistance in resolving this issue in the Little Washington Division and will provide malodor remediation progress report</w:t>
      </w:r>
      <w:r w:rsidR="00EE4B64">
        <w:t>s</w:t>
      </w:r>
      <w:r w:rsidR="003305FC">
        <w:t xml:space="preserve"> to the OCA within 90 days and at 180 days after the </w:t>
      </w:r>
      <w:r w:rsidR="006D42E3">
        <w:t xml:space="preserve">Commission enters an </w:t>
      </w:r>
      <w:r w:rsidR="00801835">
        <w:t xml:space="preserve">Order </w:t>
      </w:r>
      <w:r w:rsidR="003305FC">
        <w:t>approving the Settlement</w:t>
      </w:r>
      <w:r w:rsidR="009E03F1">
        <w:t xml:space="preserve">.  Settlement at 4-5.  </w:t>
      </w:r>
    </w:p>
    <w:p w:rsidR="009E03F1" w:rsidRDefault="009E03F1" w:rsidP="00B0615C"/>
    <w:p w:rsidR="00A246A9" w:rsidRDefault="00971629" w:rsidP="00C37A24">
      <w:r>
        <w:t>The ALJs noted that</w:t>
      </w:r>
      <w:r w:rsidR="005F32E1">
        <w:t>,</w:t>
      </w:r>
      <w:r>
        <w:t xml:space="preserve"> in response to Mr. Kring’s concerns </w:t>
      </w:r>
      <w:r w:rsidR="00C37A24">
        <w:t>regarding</w:t>
      </w:r>
      <w:r>
        <w:t xml:space="preserve"> odors </w:t>
      </w:r>
      <w:r w:rsidR="00C37A24">
        <w:t xml:space="preserve">coming from the treatment facility at the </w:t>
      </w:r>
      <w:r w:rsidRPr="00FB6881">
        <w:t>Little Washington</w:t>
      </w:r>
      <w:r w:rsidR="00C37A24">
        <w:t xml:space="preserve"> </w:t>
      </w:r>
      <w:r w:rsidR="0028672D">
        <w:t>D</w:t>
      </w:r>
      <w:r w:rsidR="005731E9">
        <w:t>ivision</w:t>
      </w:r>
      <w:r w:rsidRPr="00FB6881">
        <w:t xml:space="preserve">, the </w:t>
      </w:r>
      <w:r w:rsidR="00C37A24">
        <w:t>C</w:t>
      </w:r>
      <w:r w:rsidRPr="00FB6881">
        <w:t>ompany already has made improvements</w:t>
      </w:r>
      <w:r w:rsidR="005F32E1">
        <w:t>.  These improvements include: (1)</w:t>
      </w:r>
      <w:r w:rsidRPr="00FB6881">
        <w:t xml:space="preserve"> planting additional vegetation as a buffer</w:t>
      </w:r>
      <w:r w:rsidR="005F32E1">
        <w:t>; (2)</w:t>
      </w:r>
      <w:r w:rsidRPr="00FB6881">
        <w:t xml:space="preserve"> utilizing deodorant and aerosol misting systems as neutralizers</w:t>
      </w:r>
      <w:r w:rsidR="005F32E1">
        <w:t>; (3)</w:t>
      </w:r>
      <w:r w:rsidRPr="00FB6881">
        <w:t xml:space="preserve"> using chemical additions as a preventative neutralizer</w:t>
      </w:r>
      <w:r w:rsidR="005F32E1">
        <w:t>;</w:t>
      </w:r>
      <w:r w:rsidRPr="00FB6881">
        <w:t xml:space="preserve"> and </w:t>
      </w:r>
      <w:r w:rsidR="005F32E1">
        <w:t xml:space="preserve">(4) </w:t>
      </w:r>
      <w:r w:rsidRPr="00FB6881">
        <w:t>adjusting air patterns within the treatment plant to control outward airflow from the wastewater facility.</w:t>
      </w:r>
      <w:r w:rsidR="00C37A24">
        <w:t xml:space="preserve">  The ALJs observed that </w:t>
      </w:r>
      <w:r w:rsidR="00C37A24" w:rsidRPr="00FB6881">
        <w:t xml:space="preserve">there have been no findings of any violation on </w:t>
      </w:r>
      <w:r w:rsidR="0028672D">
        <w:t>the Company’</w:t>
      </w:r>
      <w:r w:rsidR="00C37A24" w:rsidRPr="00FB6881">
        <w:t xml:space="preserve">s part with respect to </w:t>
      </w:r>
      <w:r w:rsidR="00C37A24">
        <w:t>“</w:t>
      </w:r>
      <w:r w:rsidR="00C37A24" w:rsidRPr="00FB6881">
        <w:t>septic</w:t>
      </w:r>
      <w:r w:rsidR="00C37A24">
        <w:t>”</w:t>
      </w:r>
      <w:r w:rsidR="00C37A24" w:rsidRPr="00FB6881">
        <w:t xml:space="preserve"> odor</w:t>
      </w:r>
      <w:r w:rsidR="00C37A24">
        <w:t xml:space="preserve"> and </w:t>
      </w:r>
      <w:r w:rsidR="005F32E1">
        <w:t xml:space="preserve">that </w:t>
      </w:r>
      <w:r w:rsidR="00C37A24" w:rsidRPr="00FB6881">
        <w:t xml:space="preserve">Mr. Kring’s own testimony establishes that the </w:t>
      </w:r>
      <w:r w:rsidR="005F32E1">
        <w:t>C</w:t>
      </w:r>
      <w:r w:rsidR="00C37A24" w:rsidRPr="00FB6881">
        <w:t>ompany has been completely respon</w:t>
      </w:r>
      <w:r w:rsidR="00C37A24">
        <w:t xml:space="preserve">sive to his concerns </w:t>
      </w:r>
      <w:r w:rsidR="006E0B14">
        <w:t>(</w:t>
      </w:r>
      <w:r w:rsidR="00C37A24">
        <w:t>Tr.</w:t>
      </w:r>
      <w:r w:rsidR="006E0B14">
        <w:t xml:space="preserve"> </w:t>
      </w:r>
      <w:r w:rsidR="00C37A24" w:rsidRPr="00FB6881">
        <w:t>75, 80</w:t>
      </w:r>
      <w:r w:rsidR="00C37A24">
        <w:t xml:space="preserve">). </w:t>
      </w:r>
      <w:r w:rsidR="00C37A24" w:rsidRPr="00FB6881">
        <w:t xml:space="preserve"> </w:t>
      </w:r>
    </w:p>
    <w:p w:rsidR="00A246A9" w:rsidRDefault="00A246A9" w:rsidP="00C37A24"/>
    <w:p w:rsidR="00C37A24" w:rsidRPr="00A348BB" w:rsidRDefault="00E839FD" w:rsidP="00C37A24">
      <w:r>
        <w:t xml:space="preserve">The ALJs stated that this is </w:t>
      </w:r>
      <w:r w:rsidR="00C37A24" w:rsidRPr="00FB6881">
        <w:t xml:space="preserve">a sewer plant and </w:t>
      </w:r>
      <w:r w:rsidR="00A246A9">
        <w:t xml:space="preserve">that </w:t>
      </w:r>
      <w:r w:rsidR="00C37A24" w:rsidRPr="00FB6881">
        <w:t xml:space="preserve">a certain level of odor is unavoidable, especially </w:t>
      </w:r>
      <w:r w:rsidR="00A246A9">
        <w:t xml:space="preserve">during </w:t>
      </w:r>
      <w:r w:rsidR="00C37A24" w:rsidRPr="00FB6881">
        <w:t xml:space="preserve">humid weather </w:t>
      </w:r>
      <w:r w:rsidR="00A246A9">
        <w:t xml:space="preserve">as </w:t>
      </w:r>
      <w:r w:rsidR="00C37A24" w:rsidRPr="00FB6881">
        <w:t>addressed by Mr. Kring in his tes</w:t>
      </w:r>
      <w:r w:rsidR="006E0B14">
        <w:t>timony and letter opposing the S</w:t>
      </w:r>
      <w:r w:rsidR="00C37A24" w:rsidRPr="00FB6881">
        <w:t xml:space="preserve">ettlement.  </w:t>
      </w:r>
      <w:r>
        <w:t xml:space="preserve">The ALJs opined that </w:t>
      </w:r>
      <w:r w:rsidR="00C37A24" w:rsidRPr="00FB6881">
        <w:t xml:space="preserve">it is the other customers who will bear the burden of capital investment and </w:t>
      </w:r>
      <w:r w:rsidR="00A246A9">
        <w:t xml:space="preserve">the </w:t>
      </w:r>
      <w:r w:rsidR="00C37A24" w:rsidRPr="00FB6881">
        <w:t>on-going expenses</w:t>
      </w:r>
      <w:r w:rsidR="00A246A9">
        <w:t xml:space="preserve"> of odor remediation.  Accordingly</w:t>
      </w:r>
      <w:r w:rsidR="009275B9">
        <w:t xml:space="preserve">, the ALJs stated that </w:t>
      </w:r>
      <w:r w:rsidR="00C37A24" w:rsidRPr="00FB6881">
        <w:t xml:space="preserve">the question is whether there are reasonable and cost-effective remediation measures available that the </w:t>
      </w:r>
      <w:r w:rsidR="0028672D">
        <w:t>C</w:t>
      </w:r>
      <w:r w:rsidR="00C37A24" w:rsidRPr="00FB6881">
        <w:t xml:space="preserve">ompany has refused to undertake.  </w:t>
      </w:r>
      <w:r w:rsidR="008E78E6">
        <w:t>The ALJs concluded that th</w:t>
      </w:r>
      <w:r w:rsidR="00C37A24" w:rsidRPr="00FB6881">
        <w:t xml:space="preserve">e record in this proceeding does not support such a finding.  </w:t>
      </w:r>
      <w:r w:rsidR="008E78E6">
        <w:t xml:space="preserve">The ALJs submitted that </w:t>
      </w:r>
      <w:r w:rsidR="00C37A24" w:rsidRPr="00FB6881">
        <w:t xml:space="preserve">the </w:t>
      </w:r>
      <w:r w:rsidR="006E0B14">
        <w:t>C</w:t>
      </w:r>
      <w:r w:rsidR="00C37A24" w:rsidRPr="00FB6881">
        <w:t xml:space="preserve">ompany is to be commended for the efforts it has made </w:t>
      </w:r>
      <w:r w:rsidR="009275B9">
        <w:t xml:space="preserve">up to this point </w:t>
      </w:r>
      <w:r w:rsidR="00C37A24" w:rsidRPr="00FB6881">
        <w:t xml:space="preserve">and its </w:t>
      </w:r>
      <w:r w:rsidR="009275B9">
        <w:t xml:space="preserve">on-going </w:t>
      </w:r>
      <w:r w:rsidR="00C37A24" w:rsidRPr="00FB6881">
        <w:t xml:space="preserve">responsiveness to </w:t>
      </w:r>
      <w:r w:rsidR="009275B9">
        <w:t xml:space="preserve">its </w:t>
      </w:r>
      <w:r w:rsidR="00C37A24" w:rsidRPr="00FB6881">
        <w:t>customers</w:t>
      </w:r>
      <w:r w:rsidR="009275B9">
        <w:t>,</w:t>
      </w:r>
      <w:r w:rsidR="00C37A24" w:rsidRPr="00FB6881">
        <w:t xml:space="preserve"> as well as the commitments it has agreed to in the instant </w:t>
      </w:r>
      <w:r w:rsidR="008E78E6">
        <w:t>S</w:t>
      </w:r>
      <w:r w:rsidR="00C37A24" w:rsidRPr="00FB6881">
        <w:t>ettlement.</w:t>
      </w:r>
      <w:r w:rsidR="008E78E6">
        <w:t xml:space="preserve">  R.D. at 19-20. </w:t>
      </w:r>
    </w:p>
    <w:p w:rsidR="009E03F1" w:rsidRDefault="009E03F1" w:rsidP="00B0615C"/>
    <w:p w:rsidR="00FD127C" w:rsidRDefault="006E0B14" w:rsidP="00B0615C">
      <w:r>
        <w:t xml:space="preserve">In his Exceptions, </w:t>
      </w:r>
      <w:r w:rsidR="00D06FEC">
        <w:t xml:space="preserve">Mr. Kring objects to the ALJs’ characterization that LWW-SE </w:t>
      </w:r>
      <w:r w:rsidR="00484D2F">
        <w:t xml:space="preserve">completely </w:t>
      </w:r>
      <w:r w:rsidR="00D06FEC">
        <w:t xml:space="preserve">has been responsive to the odor problem.  Mr. Kring explains that </w:t>
      </w:r>
      <w:r w:rsidR="00D06FEC">
        <w:lastRenderedPageBreak/>
        <w:t>w</w:t>
      </w:r>
      <w:r w:rsidR="009275B9">
        <w:t>h</w:t>
      </w:r>
      <w:r w:rsidR="00D06FEC">
        <w:t>e</w:t>
      </w:r>
      <w:r w:rsidR="009275B9">
        <w:t>n</w:t>
      </w:r>
      <w:r w:rsidR="00D06FEC">
        <w:t xml:space="preserve"> </w:t>
      </w:r>
      <w:r w:rsidR="0028672D">
        <w:t xml:space="preserve">he </w:t>
      </w:r>
      <w:r w:rsidR="00D06FEC">
        <w:t xml:space="preserve">smells the odor, he </w:t>
      </w:r>
      <w:r w:rsidR="00B14665">
        <w:t xml:space="preserve">alerts LWW-SE by email and the Company responds by thanking </w:t>
      </w:r>
      <w:r w:rsidR="009275B9">
        <w:t xml:space="preserve">him </w:t>
      </w:r>
      <w:r w:rsidR="00B14665">
        <w:t>for bring</w:t>
      </w:r>
      <w:r w:rsidR="00466557">
        <w:t>ing</w:t>
      </w:r>
      <w:r w:rsidR="00B14665">
        <w:t xml:space="preserve"> it to </w:t>
      </w:r>
      <w:r w:rsidR="00466557">
        <w:t xml:space="preserve">its </w:t>
      </w:r>
      <w:r w:rsidR="00B14665">
        <w:t xml:space="preserve">attention and indicating </w:t>
      </w:r>
      <w:r w:rsidR="009275B9">
        <w:t xml:space="preserve">that </w:t>
      </w:r>
      <w:r w:rsidR="00466557">
        <w:t>it</w:t>
      </w:r>
      <w:r w:rsidR="00B14665">
        <w:t xml:space="preserve"> will continue to work on the problem.  </w:t>
      </w:r>
      <w:r w:rsidR="00FD127C">
        <w:t xml:space="preserve">Mr. Kring requests that he receive copies of the </w:t>
      </w:r>
      <w:r w:rsidR="00403354">
        <w:t xml:space="preserve">malodor remediation progress </w:t>
      </w:r>
      <w:r w:rsidR="00FD127C">
        <w:t xml:space="preserve">reports from the odor expert that </w:t>
      </w:r>
      <w:r w:rsidR="00AB3933">
        <w:t xml:space="preserve">the Company </w:t>
      </w:r>
      <w:r w:rsidR="00FD127C">
        <w:t xml:space="preserve">will provide to the OCA within 90 </w:t>
      </w:r>
      <w:r w:rsidR="00AB3933">
        <w:t>and</w:t>
      </w:r>
      <w:r w:rsidR="00EE4B64">
        <w:t xml:space="preserve"> </w:t>
      </w:r>
      <w:r w:rsidR="00FD127C">
        <w:t xml:space="preserve">180 </w:t>
      </w:r>
      <w:r w:rsidR="00B21D4A">
        <w:t xml:space="preserve">days </w:t>
      </w:r>
      <w:r w:rsidR="00FD127C">
        <w:t xml:space="preserve">following the </w:t>
      </w:r>
      <w:r w:rsidR="00EE4B64">
        <w:t xml:space="preserve">date of entry </w:t>
      </w:r>
      <w:r w:rsidR="00FD127C">
        <w:t xml:space="preserve">of this Opinion and Order. </w:t>
      </w:r>
      <w:r w:rsidR="00C63742">
        <w:t xml:space="preserve"> Kring Exc. at 2.</w:t>
      </w:r>
    </w:p>
    <w:p w:rsidR="00383010" w:rsidRDefault="00383010" w:rsidP="00B0615C"/>
    <w:p w:rsidR="00B0615C" w:rsidRDefault="003C5566" w:rsidP="00B0615C">
      <w:r>
        <w:t xml:space="preserve">Mr. Kring also argues that the ALJs have overlooked his recommendation that the Commission grant a stay on the instant rate request for a year or two to allow LWW-SE time to clean up the odor problem.  Mr. Kring avers that </w:t>
      </w:r>
      <w:r w:rsidR="00B21D4A">
        <w:t xml:space="preserve">like LWW-SE’s last rate order when the odor problem existed, there is “no teeth” </w:t>
      </w:r>
      <w:r w:rsidR="00554C76">
        <w:t xml:space="preserve">in the Settlement </w:t>
      </w:r>
      <w:r w:rsidR="00B21D4A">
        <w:t xml:space="preserve">to address the problem. </w:t>
      </w:r>
      <w:r w:rsidR="00B14665">
        <w:t xml:space="preserve"> </w:t>
      </w:r>
      <w:r w:rsidR="00C63742" w:rsidRPr="00C63742">
        <w:rPr>
          <w:i/>
        </w:rPr>
        <w:t>Id</w:t>
      </w:r>
      <w:r w:rsidR="00C63742">
        <w:t xml:space="preserve">. </w:t>
      </w:r>
    </w:p>
    <w:p w:rsidR="00B249F6" w:rsidRDefault="00B249F6" w:rsidP="00B0615C"/>
    <w:p w:rsidR="00145CCF" w:rsidRDefault="00B249F6" w:rsidP="00B0615C">
      <w:r>
        <w:t>We concur with Mr. Kring</w:t>
      </w:r>
      <w:r w:rsidR="00660DC3">
        <w:t>’s</w:t>
      </w:r>
      <w:r>
        <w:t xml:space="preserve"> </w:t>
      </w:r>
      <w:r w:rsidR="00660DC3">
        <w:t xml:space="preserve">Exceptions </w:t>
      </w:r>
      <w:r>
        <w:t xml:space="preserve">to the extent that </w:t>
      </w:r>
      <w:r w:rsidR="00C63742">
        <w:t xml:space="preserve">we agree that </w:t>
      </w:r>
      <w:r>
        <w:t xml:space="preserve">the odor </w:t>
      </w:r>
      <w:r w:rsidR="006E03CC">
        <w:t xml:space="preserve">problem needs to be </w:t>
      </w:r>
      <w:r w:rsidR="00554C76">
        <w:t xml:space="preserve">addressed </w:t>
      </w:r>
      <w:r w:rsidR="00BB3B7D">
        <w:t>in timely manner</w:t>
      </w:r>
      <w:r w:rsidR="006E03CC">
        <w:t xml:space="preserve">.  </w:t>
      </w:r>
      <w:r w:rsidR="00BB3B7D">
        <w:t xml:space="preserve">While we are not inclined to make the resolution </w:t>
      </w:r>
      <w:r w:rsidR="00640ACD">
        <w:t>of the odor problem in the Little Washington and Twin Hills Divisions a</w:t>
      </w:r>
      <w:r w:rsidR="00BB3B7D">
        <w:t xml:space="preserve"> condition </w:t>
      </w:r>
      <w:r w:rsidR="00640ACD">
        <w:t xml:space="preserve">for approving the rates set forth in the instant Settlement, we want to ensure that </w:t>
      </w:r>
      <w:r w:rsidR="006F176C">
        <w:t xml:space="preserve">the most economical and </w:t>
      </w:r>
      <w:r w:rsidR="00640ACD">
        <w:t xml:space="preserve">effective means of odor control </w:t>
      </w:r>
      <w:r w:rsidR="00466557">
        <w:t xml:space="preserve">will be </w:t>
      </w:r>
      <w:r w:rsidR="00E17BBE">
        <w:t xml:space="preserve">explored and implemented prior to the Company’s next rate filing.  </w:t>
      </w:r>
      <w:r w:rsidR="00052561">
        <w:t xml:space="preserve">The provision of the Settlement that requires the utilization of an expert and the submission of progress reports to the OCA in 90 and 180 days </w:t>
      </w:r>
      <w:r w:rsidR="00403354">
        <w:t xml:space="preserve">after the date of entry of this Opinion and Order </w:t>
      </w:r>
      <w:r w:rsidR="009E52C5">
        <w:t xml:space="preserve">is an appropriate first step to that end.  </w:t>
      </w:r>
      <w:r w:rsidR="00774044">
        <w:t>However, i</w:t>
      </w:r>
      <w:r w:rsidR="009E52C5">
        <w:t xml:space="preserve">ndependent of our approval of the Settlement, we will </w:t>
      </w:r>
      <w:r w:rsidR="002F2843">
        <w:t>direct LWW-SE to submit, as part of its next base rate filing, a comprehensive report of its odor remediation activities at the Little Washington and Twin Hills Divisions.  In the event that the od</w:t>
      </w:r>
      <w:r w:rsidR="00CB17B3">
        <w:t>or</w:t>
      </w:r>
      <w:r w:rsidR="002F2843">
        <w:t xml:space="preserve"> problems persis</w:t>
      </w:r>
      <w:r w:rsidR="00CB17B3">
        <w:t xml:space="preserve">t, these reports shall serve as the basis to develop </w:t>
      </w:r>
      <w:r w:rsidR="001364DE">
        <w:t>a</w:t>
      </w:r>
      <w:r w:rsidR="00CB17B3">
        <w:t xml:space="preserve"> record </w:t>
      </w:r>
      <w:r w:rsidR="001364DE">
        <w:t xml:space="preserve">to support </w:t>
      </w:r>
      <w:r w:rsidR="00B43AD7">
        <w:t xml:space="preserve">findings of whether </w:t>
      </w:r>
      <w:r w:rsidR="001364DE">
        <w:t>further remediation activities</w:t>
      </w:r>
      <w:r w:rsidR="00B43AD7">
        <w:t xml:space="preserve"> are warranted.</w:t>
      </w:r>
    </w:p>
    <w:p w:rsidR="00145CCF" w:rsidRDefault="00145CCF">
      <w:r>
        <w:br w:type="page"/>
      </w:r>
    </w:p>
    <w:p w:rsidR="00750BC4" w:rsidRPr="00554C76" w:rsidRDefault="00E23039" w:rsidP="00B06866">
      <w:pPr>
        <w:pStyle w:val="Heading1"/>
        <w:spacing w:before="240"/>
      </w:pPr>
      <w:r w:rsidRPr="00554C76">
        <w:lastRenderedPageBreak/>
        <w:t>IV.</w:t>
      </w:r>
      <w:r w:rsidRPr="00554C76">
        <w:tab/>
      </w:r>
      <w:r w:rsidR="00750BC4" w:rsidRPr="00554C76">
        <w:t>Conclusion</w:t>
      </w:r>
    </w:p>
    <w:p w:rsidR="00C31C64" w:rsidRPr="00554C76" w:rsidRDefault="00C31C64" w:rsidP="00CA0B46">
      <w:pPr>
        <w:keepNext/>
        <w:spacing w:line="240" w:lineRule="auto"/>
      </w:pPr>
    </w:p>
    <w:p w:rsidR="00DC7359" w:rsidRPr="00554C76" w:rsidRDefault="00A51723" w:rsidP="00B06866">
      <w:pPr>
        <w:rPr>
          <w:b/>
        </w:rPr>
      </w:pPr>
      <w:r w:rsidRPr="00554C76">
        <w:t xml:space="preserve">Consistent with the discussion </w:t>
      </w:r>
      <w:r w:rsidRPr="00554C76">
        <w:rPr>
          <w:i/>
        </w:rPr>
        <w:t>supra</w:t>
      </w:r>
      <w:r w:rsidR="00774044">
        <w:rPr>
          <w:i/>
        </w:rPr>
        <w:t>,</w:t>
      </w:r>
      <w:r w:rsidRPr="00554C76">
        <w:t xml:space="preserve"> </w:t>
      </w:r>
      <w:r w:rsidR="00A86999" w:rsidRPr="00554C76">
        <w:t>and based u</w:t>
      </w:r>
      <w:r w:rsidR="00C31C64" w:rsidRPr="00554C76">
        <w:t xml:space="preserve">pon </w:t>
      </w:r>
      <w:r w:rsidR="00A86999" w:rsidRPr="00554C76">
        <w:t xml:space="preserve">our </w:t>
      </w:r>
      <w:r w:rsidR="00C31C64" w:rsidRPr="00554C76">
        <w:t>review of the record before us</w:t>
      </w:r>
      <w:r w:rsidR="007769D1" w:rsidRPr="00554C76">
        <w:t>,</w:t>
      </w:r>
      <w:r w:rsidR="00C31C64" w:rsidRPr="00554C76">
        <w:t xml:space="preserve"> </w:t>
      </w:r>
      <w:r w:rsidR="00A86999" w:rsidRPr="00554C76">
        <w:t xml:space="preserve">the supporting statements of </w:t>
      </w:r>
      <w:r w:rsidR="00660DC3" w:rsidRPr="00554C76">
        <w:t>LWW-SE</w:t>
      </w:r>
      <w:r w:rsidR="00A86999" w:rsidRPr="00554C76">
        <w:t>, the O</w:t>
      </w:r>
      <w:r w:rsidR="00660DC3" w:rsidRPr="00554C76">
        <w:t>TS</w:t>
      </w:r>
      <w:r w:rsidR="00A86999" w:rsidRPr="00554C76">
        <w:t xml:space="preserve"> and the O</w:t>
      </w:r>
      <w:r w:rsidR="00660DC3" w:rsidRPr="00554C76">
        <w:t>CA</w:t>
      </w:r>
      <w:r w:rsidR="00774044">
        <w:t>,</w:t>
      </w:r>
      <w:r w:rsidR="00A86999" w:rsidRPr="00554C76">
        <w:t xml:space="preserve"> and the Recommended Decision of the ALJ</w:t>
      </w:r>
      <w:r w:rsidR="003007F8" w:rsidRPr="00554C76">
        <w:t>s</w:t>
      </w:r>
      <w:r w:rsidR="00774044">
        <w:t>,</w:t>
      </w:r>
      <w:r w:rsidR="00A86999" w:rsidRPr="00554C76">
        <w:t xml:space="preserve"> </w:t>
      </w:r>
      <w:r w:rsidR="00C31C64" w:rsidRPr="00554C76">
        <w:t xml:space="preserve">we </w:t>
      </w:r>
      <w:r w:rsidR="00A86999" w:rsidRPr="00554C76">
        <w:t xml:space="preserve">conclude that </w:t>
      </w:r>
      <w:r w:rsidR="00C31C64" w:rsidRPr="00554C76">
        <w:t xml:space="preserve">the </w:t>
      </w:r>
      <w:r w:rsidR="00703993" w:rsidRPr="00554C76">
        <w:t>Settlement</w:t>
      </w:r>
      <w:r w:rsidR="00A86999" w:rsidRPr="00554C76">
        <w:t xml:space="preserve"> </w:t>
      </w:r>
      <w:r w:rsidR="00703993" w:rsidRPr="00554C76">
        <w:t>result</w:t>
      </w:r>
      <w:r w:rsidR="003007F8" w:rsidRPr="00554C76">
        <w:t>s</w:t>
      </w:r>
      <w:r w:rsidR="00703993" w:rsidRPr="00554C76">
        <w:t xml:space="preserve"> in rates, terms and conditions that are just</w:t>
      </w:r>
      <w:r w:rsidR="00BB211A" w:rsidRPr="00554C76">
        <w:t>,</w:t>
      </w:r>
      <w:r w:rsidR="00703993" w:rsidRPr="00554C76">
        <w:t xml:space="preserve"> reasonable and in the public interest and are in accord with the rules and regulations of this Commission and the provisions of the Public Utility Code</w:t>
      </w:r>
      <w:r w:rsidR="00DC7359" w:rsidRPr="00554C76">
        <w:t xml:space="preserve">.  </w:t>
      </w:r>
      <w:r w:rsidR="00FA08FC" w:rsidRPr="00554C76">
        <w:t>Accordingly, we</w:t>
      </w:r>
      <w:r w:rsidR="00C16015" w:rsidRPr="00554C76">
        <w:t xml:space="preserve"> shall </w:t>
      </w:r>
      <w:r w:rsidR="00FA08FC" w:rsidRPr="00554C76">
        <w:t>adopt the Recommended Decision</w:t>
      </w:r>
      <w:r w:rsidR="00C435BF" w:rsidRPr="00554C76">
        <w:t xml:space="preserve">, consistent with this Opinion and Order, and </w:t>
      </w:r>
      <w:r w:rsidR="00C16015" w:rsidRPr="00554C76">
        <w:t xml:space="preserve">approve the Settlement.  </w:t>
      </w:r>
      <w:r w:rsidR="00484D2F">
        <w:t>Additionally, w</w:t>
      </w:r>
      <w:r w:rsidR="00C435BF" w:rsidRPr="00554C76">
        <w:t xml:space="preserve">e </w:t>
      </w:r>
      <w:r w:rsidR="006B6CE1" w:rsidRPr="00554C76">
        <w:t xml:space="preserve">shall </w:t>
      </w:r>
      <w:r w:rsidR="00C435BF" w:rsidRPr="00554C76">
        <w:t xml:space="preserve">grant the Exceptions of </w:t>
      </w:r>
      <w:r w:rsidR="006B6CE1" w:rsidRPr="00554C76">
        <w:t xml:space="preserve">Arnold Kring to the extent that LWW-SE shall submit a report on its odor remediation activities </w:t>
      </w:r>
      <w:r w:rsidR="009036E0" w:rsidRPr="00554C76">
        <w:t xml:space="preserve">as part of its </w:t>
      </w:r>
      <w:r w:rsidR="006B6CE1" w:rsidRPr="00554C76">
        <w:t xml:space="preserve">next </w:t>
      </w:r>
      <w:r w:rsidR="009036E0" w:rsidRPr="00554C76">
        <w:t>base rate filing</w:t>
      </w:r>
      <w:r w:rsidR="006B6CE1" w:rsidRPr="00554C76">
        <w:t>, and deny the Exceptions in all other regards</w:t>
      </w:r>
      <w:r w:rsidR="00484D2F">
        <w:t>;</w:t>
      </w:r>
      <w:r w:rsidR="006B6CE1" w:rsidRPr="00554C76">
        <w:t xml:space="preserve"> </w:t>
      </w:r>
      <w:r w:rsidR="00DC7359" w:rsidRPr="00554C76">
        <w:rPr>
          <w:b/>
        </w:rPr>
        <w:t>THEREFORE</w:t>
      </w:r>
      <w:r w:rsidR="00674373">
        <w:rPr>
          <w:b/>
        </w:rPr>
        <w:t>:</w:t>
      </w:r>
    </w:p>
    <w:p w:rsidR="00DC7359" w:rsidRPr="00554C76" w:rsidRDefault="00DC7359" w:rsidP="00674373">
      <w:pPr>
        <w:keepNext/>
        <w:rPr>
          <w:b/>
        </w:rPr>
      </w:pPr>
    </w:p>
    <w:p w:rsidR="00E019A1" w:rsidRPr="00554C76" w:rsidRDefault="00E019A1" w:rsidP="00F14A40">
      <w:pPr>
        <w:pStyle w:val="BodyText3"/>
        <w:tabs>
          <w:tab w:val="left" w:pos="-720"/>
        </w:tabs>
        <w:ind w:firstLine="1440"/>
        <w:rPr>
          <w:b/>
          <w:spacing w:val="-3"/>
          <w:sz w:val="26"/>
          <w:szCs w:val="24"/>
        </w:rPr>
      </w:pPr>
      <w:r w:rsidRPr="00554C76">
        <w:rPr>
          <w:b/>
          <w:sz w:val="26"/>
          <w:szCs w:val="24"/>
        </w:rPr>
        <w:t>IT IS ORDERED:</w:t>
      </w:r>
    </w:p>
    <w:p w:rsidR="00750BC4" w:rsidRPr="00554C76" w:rsidRDefault="00750BC4" w:rsidP="00674373">
      <w:pPr>
        <w:spacing w:line="240" w:lineRule="auto"/>
      </w:pPr>
    </w:p>
    <w:p w:rsidR="00104AFA" w:rsidRDefault="00E019A1" w:rsidP="0077772E">
      <w:pPr>
        <w:pStyle w:val="Heading4"/>
        <w:numPr>
          <w:ilvl w:val="0"/>
          <w:numId w:val="28"/>
        </w:numPr>
        <w:ind w:left="0" w:firstLine="1440"/>
        <w:rPr>
          <w:b w:val="0"/>
        </w:rPr>
      </w:pPr>
      <w:r w:rsidRPr="00104AFA">
        <w:rPr>
          <w:b w:val="0"/>
        </w:rPr>
        <w:t xml:space="preserve">That the Exceptions of </w:t>
      </w:r>
      <w:r w:rsidR="00BF2FFB" w:rsidRPr="00104AFA">
        <w:rPr>
          <w:b w:val="0"/>
        </w:rPr>
        <w:t>Arnold M. K</w:t>
      </w:r>
      <w:r w:rsidR="00674373" w:rsidRPr="00104AFA">
        <w:rPr>
          <w:b w:val="0"/>
        </w:rPr>
        <w:t>r</w:t>
      </w:r>
      <w:r w:rsidR="00BF2FFB" w:rsidRPr="00104AFA">
        <w:rPr>
          <w:b w:val="0"/>
        </w:rPr>
        <w:t xml:space="preserve">ing, to the </w:t>
      </w:r>
      <w:r w:rsidR="0077772E" w:rsidRPr="00104AFA">
        <w:rPr>
          <w:b w:val="0"/>
        </w:rPr>
        <w:t xml:space="preserve">Recommended </w:t>
      </w:r>
      <w:r w:rsidR="00BF2FFB" w:rsidRPr="00104AFA">
        <w:rPr>
          <w:b w:val="0"/>
        </w:rPr>
        <w:t xml:space="preserve">Decision of Administrative </w:t>
      </w:r>
      <w:r w:rsidR="00104AFA" w:rsidRPr="00104AFA">
        <w:rPr>
          <w:b w:val="0"/>
        </w:rPr>
        <w:t>L</w:t>
      </w:r>
      <w:r w:rsidR="00BF2FFB" w:rsidRPr="00104AFA">
        <w:rPr>
          <w:b w:val="0"/>
        </w:rPr>
        <w:t xml:space="preserve">aw Judges </w:t>
      </w:r>
      <w:r w:rsidR="0077772E" w:rsidRPr="00104AFA">
        <w:rPr>
          <w:b w:val="0"/>
        </w:rPr>
        <w:t xml:space="preserve">Marlane R. Chestnut and Christopher P. Pell, </w:t>
      </w:r>
      <w:r w:rsidR="00BF2FFB" w:rsidRPr="00104AFA">
        <w:rPr>
          <w:b w:val="0"/>
        </w:rPr>
        <w:t xml:space="preserve">are granted </w:t>
      </w:r>
      <w:r w:rsidR="00104AFA" w:rsidRPr="00104AFA">
        <w:rPr>
          <w:b w:val="0"/>
        </w:rPr>
        <w:t>in part</w:t>
      </w:r>
      <w:r w:rsidR="00104AFA">
        <w:rPr>
          <w:b w:val="0"/>
        </w:rPr>
        <w:t>,</w:t>
      </w:r>
      <w:r w:rsidR="00104AFA" w:rsidRPr="00104AFA">
        <w:rPr>
          <w:b w:val="0"/>
        </w:rPr>
        <w:t xml:space="preserve"> and denied in part, consistent with this Opinion and Order.</w:t>
      </w:r>
    </w:p>
    <w:p w:rsidR="0077772E" w:rsidRPr="00104AFA" w:rsidRDefault="0077772E" w:rsidP="00104AFA">
      <w:pPr>
        <w:pStyle w:val="Heading4"/>
        <w:numPr>
          <w:ilvl w:val="0"/>
          <w:numId w:val="0"/>
        </w:numPr>
        <w:ind w:left="1440"/>
        <w:rPr>
          <w:b w:val="0"/>
        </w:rPr>
      </w:pPr>
    </w:p>
    <w:p w:rsidR="00E019A1" w:rsidRPr="00554C76" w:rsidRDefault="00E019A1" w:rsidP="00224C6B">
      <w:pPr>
        <w:pStyle w:val="Heading4"/>
        <w:numPr>
          <w:ilvl w:val="0"/>
          <w:numId w:val="28"/>
        </w:numPr>
        <w:ind w:left="0" w:firstLine="1440"/>
        <w:rPr>
          <w:b w:val="0"/>
        </w:rPr>
      </w:pPr>
      <w:r w:rsidRPr="00554C76">
        <w:rPr>
          <w:b w:val="0"/>
        </w:rPr>
        <w:t>That the Recommended Decision of Administrative Law Judge</w:t>
      </w:r>
      <w:r w:rsidR="0077772E" w:rsidRPr="00554C76">
        <w:rPr>
          <w:b w:val="0"/>
        </w:rPr>
        <w:t>s</w:t>
      </w:r>
      <w:r w:rsidRPr="00554C76">
        <w:rPr>
          <w:b w:val="0"/>
        </w:rPr>
        <w:t xml:space="preserve"> </w:t>
      </w:r>
      <w:r w:rsidR="0077772E" w:rsidRPr="00554C76">
        <w:rPr>
          <w:b w:val="0"/>
        </w:rPr>
        <w:t xml:space="preserve">Marlane R. Chestnut and Christopher P. Pell, issued March 30, 2011, </w:t>
      </w:r>
      <w:r w:rsidRPr="00554C76">
        <w:rPr>
          <w:b w:val="0"/>
        </w:rPr>
        <w:t xml:space="preserve">is </w:t>
      </w:r>
      <w:r w:rsidR="0077772E" w:rsidRPr="00554C76">
        <w:rPr>
          <w:b w:val="0"/>
        </w:rPr>
        <w:t>adopted</w:t>
      </w:r>
      <w:r w:rsidRPr="00554C76">
        <w:rPr>
          <w:b w:val="0"/>
        </w:rPr>
        <w:t xml:space="preserve"> </w:t>
      </w:r>
      <w:r w:rsidR="0077772E" w:rsidRPr="00554C76">
        <w:rPr>
          <w:b w:val="0"/>
        </w:rPr>
        <w:t xml:space="preserve">to the extent </w:t>
      </w:r>
      <w:r w:rsidRPr="00554C76">
        <w:rPr>
          <w:b w:val="0"/>
        </w:rPr>
        <w:t>consistent with this Opinion and Order.</w:t>
      </w:r>
    </w:p>
    <w:p w:rsidR="00A0028E" w:rsidRPr="00554C76" w:rsidRDefault="00A0028E" w:rsidP="00224C6B">
      <w:pPr>
        <w:rPr>
          <w:spacing w:val="-3"/>
        </w:rPr>
      </w:pPr>
    </w:p>
    <w:p w:rsidR="007D1AE6" w:rsidRDefault="007D1AE6" w:rsidP="007D1AE6">
      <w:pPr>
        <w:pStyle w:val="Heading4"/>
        <w:numPr>
          <w:ilvl w:val="0"/>
          <w:numId w:val="28"/>
        </w:numPr>
        <w:ind w:left="0" w:firstLine="1440"/>
        <w:rPr>
          <w:b w:val="0"/>
        </w:rPr>
      </w:pPr>
      <w:r w:rsidRPr="00554C76">
        <w:rPr>
          <w:b w:val="0"/>
        </w:rPr>
        <w:t>That Supplements No. 74 to Tariff Sewer – Pa. P.U.C. No. 1, which have been found to be unjust and unreasonable and, therefore, unlawful</w:t>
      </w:r>
      <w:r w:rsidR="00104AFA">
        <w:rPr>
          <w:b w:val="0"/>
        </w:rPr>
        <w:t>,</w:t>
      </w:r>
      <w:r w:rsidRPr="00554C76">
        <w:rPr>
          <w:b w:val="0"/>
        </w:rPr>
        <w:t xml:space="preserve"> shall not be placed into effect. </w:t>
      </w:r>
    </w:p>
    <w:p w:rsidR="00104AFA" w:rsidRPr="00104AFA" w:rsidRDefault="00104AFA" w:rsidP="00104AFA"/>
    <w:p w:rsidR="008649F9" w:rsidRPr="00554C76" w:rsidRDefault="008649F9" w:rsidP="00104AFA">
      <w:pPr>
        <w:pStyle w:val="Heading4"/>
        <w:keepNext w:val="0"/>
        <w:numPr>
          <w:ilvl w:val="0"/>
          <w:numId w:val="28"/>
        </w:numPr>
        <w:ind w:left="0" w:firstLine="1440"/>
        <w:rPr>
          <w:b w:val="0"/>
        </w:rPr>
      </w:pPr>
      <w:r w:rsidRPr="00554C76">
        <w:rPr>
          <w:b w:val="0"/>
        </w:rPr>
        <w:t>That the Joint Petition for Settlement of Rate Investigation</w:t>
      </w:r>
      <w:r w:rsidR="00581E13">
        <w:rPr>
          <w:b w:val="0"/>
        </w:rPr>
        <w:t>,</w:t>
      </w:r>
      <w:r w:rsidRPr="00554C76">
        <w:rPr>
          <w:b w:val="0"/>
        </w:rPr>
        <w:t xml:space="preserve"> filed by Little Washington Wastewater Company – Southeast Consolidated Division, the Office </w:t>
      </w:r>
      <w:r w:rsidRPr="00554C76">
        <w:rPr>
          <w:b w:val="0"/>
        </w:rPr>
        <w:lastRenderedPageBreak/>
        <w:t>of Trial Staff and the Office of Consumer Advocate on March 2, 2011, is approved</w:t>
      </w:r>
      <w:r w:rsidR="000D3D22">
        <w:rPr>
          <w:b w:val="0"/>
        </w:rPr>
        <w:t>, without modification</w:t>
      </w:r>
      <w:r w:rsidR="00013676">
        <w:rPr>
          <w:b w:val="0"/>
        </w:rPr>
        <w:t>.</w:t>
      </w:r>
      <w:r w:rsidR="007D1AE6" w:rsidRPr="00554C76">
        <w:rPr>
          <w:b w:val="0"/>
        </w:rPr>
        <w:t xml:space="preserve"> </w:t>
      </w:r>
    </w:p>
    <w:p w:rsidR="008649F9" w:rsidRPr="00554C76" w:rsidRDefault="008649F9" w:rsidP="00104AFA">
      <w:pPr>
        <w:pStyle w:val="Heading4"/>
        <w:keepNext w:val="0"/>
        <w:numPr>
          <w:ilvl w:val="0"/>
          <w:numId w:val="0"/>
        </w:numPr>
        <w:ind w:left="1440"/>
        <w:rPr>
          <w:b w:val="0"/>
        </w:rPr>
      </w:pPr>
    </w:p>
    <w:p w:rsidR="00E019A1" w:rsidRPr="00554C76" w:rsidRDefault="00E019A1" w:rsidP="00013676">
      <w:pPr>
        <w:pStyle w:val="Heading4"/>
        <w:keepLines/>
        <w:numPr>
          <w:ilvl w:val="0"/>
          <w:numId w:val="28"/>
        </w:numPr>
        <w:ind w:left="0" w:firstLine="1440"/>
        <w:rPr>
          <w:b w:val="0"/>
        </w:rPr>
      </w:pPr>
      <w:r w:rsidRPr="00554C76">
        <w:rPr>
          <w:b w:val="0"/>
        </w:rPr>
        <w:t xml:space="preserve">That </w:t>
      </w:r>
      <w:r w:rsidR="007D1AE6" w:rsidRPr="00554C76">
        <w:rPr>
          <w:b w:val="0"/>
        </w:rPr>
        <w:t>Little Washington Wastewater Company – Southeast Consolidated Divisio</w:t>
      </w:r>
      <w:r w:rsidR="0037684F" w:rsidRPr="00554C76">
        <w:rPr>
          <w:b w:val="0"/>
        </w:rPr>
        <w:t>n</w:t>
      </w:r>
      <w:r w:rsidRPr="00554C76">
        <w:rPr>
          <w:b w:val="0"/>
        </w:rPr>
        <w:t xml:space="preserve"> is hereby authorized to file tariffs, tariff supplements, or tariff revisions containing rates, rules and regulations, consistent with </w:t>
      </w:r>
      <w:r w:rsidR="008C6713" w:rsidRPr="00554C76">
        <w:rPr>
          <w:b w:val="0"/>
        </w:rPr>
        <w:t xml:space="preserve">Appendix A of </w:t>
      </w:r>
      <w:r w:rsidRPr="00554C76">
        <w:rPr>
          <w:b w:val="0"/>
        </w:rPr>
        <w:t>th</w:t>
      </w:r>
      <w:r w:rsidR="00A974B0" w:rsidRPr="00554C76">
        <w:rPr>
          <w:b w:val="0"/>
        </w:rPr>
        <w:t xml:space="preserve">e Joint Petition for Settlement of Rate Investigation filed by </w:t>
      </w:r>
      <w:r w:rsidR="0037684F" w:rsidRPr="00554C76">
        <w:rPr>
          <w:b w:val="0"/>
        </w:rPr>
        <w:t xml:space="preserve">Little Washington Wastewater Company – Southeast Consolidated Division, the Office of Trial Staff and the Office of Consumer Advocate </w:t>
      </w:r>
      <w:r w:rsidR="008C6713" w:rsidRPr="00554C76">
        <w:rPr>
          <w:b w:val="0"/>
        </w:rPr>
        <w:t xml:space="preserve">designed to </w:t>
      </w:r>
      <w:r w:rsidRPr="00554C76">
        <w:rPr>
          <w:b w:val="0"/>
        </w:rPr>
        <w:t xml:space="preserve">produce </w:t>
      </w:r>
      <w:r w:rsidR="00460580" w:rsidRPr="00554C76">
        <w:rPr>
          <w:b w:val="0"/>
        </w:rPr>
        <w:t xml:space="preserve">annual </w:t>
      </w:r>
      <w:r w:rsidR="0074283E" w:rsidRPr="00554C76">
        <w:rPr>
          <w:b w:val="0"/>
        </w:rPr>
        <w:t xml:space="preserve">operating </w:t>
      </w:r>
      <w:r w:rsidR="00460580" w:rsidRPr="00554C76">
        <w:rPr>
          <w:b w:val="0"/>
        </w:rPr>
        <w:t xml:space="preserve">revenue </w:t>
      </w:r>
      <w:r w:rsidR="0074283E" w:rsidRPr="00554C76">
        <w:rPr>
          <w:b w:val="0"/>
        </w:rPr>
        <w:t xml:space="preserve">not to exceed </w:t>
      </w:r>
      <w:r w:rsidR="00460580" w:rsidRPr="00554C76">
        <w:rPr>
          <w:b w:val="0"/>
        </w:rPr>
        <w:t>$</w:t>
      </w:r>
      <w:r w:rsidR="0074283E" w:rsidRPr="00554C76">
        <w:rPr>
          <w:b w:val="0"/>
        </w:rPr>
        <w:t xml:space="preserve">4,190,034 during the first year </w:t>
      </w:r>
      <w:r w:rsidR="000D3D22">
        <w:rPr>
          <w:b w:val="0"/>
        </w:rPr>
        <w:t xml:space="preserve">that </w:t>
      </w:r>
      <w:r w:rsidR="0074283E" w:rsidRPr="00554C76">
        <w:rPr>
          <w:b w:val="0"/>
        </w:rPr>
        <w:t xml:space="preserve">the tariffs are in effect and annual operating revenue </w:t>
      </w:r>
      <w:r w:rsidR="00460580" w:rsidRPr="00554C76">
        <w:rPr>
          <w:b w:val="0"/>
        </w:rPr>
        <w:t xml:space="preserve">not to exceed </w:t>
      </w:r>
      <w:r w:rsidR="0074283E" w:rsidRPr="00554C76">
        <w:rPr>
          <w:b w:val="0"/>
        </w:rPr>
        <w:t xml:space="preserve">$4,336,547 </w:t>
      </w:r>
      <w:r w:rsidR="008C6713" w:rsidRPr="00554C76">
        <w:rPr>
          <w:b w:val="0"/>
        </w:rPr>
        <w:t>thereafter.</w:t>
      </w:r>
    </w:p>
    <w:p w:rsidR="00E019A1" w:rsidRPr="00554C76" w:rsidRDefault="00E019A1" w:rsidP="00224C6B">
      <w:pPr>
        <w:tabs>
          <w:tab w:val="left" w:pos="-720"/>
        </w:tabs>
        <w:suppressAutoHyphens/>
        <w:ind w:left="1440" w:firstLine="720"/>
        <w:rPr>
          <w:spacing w:val="-3"/>
        </w:rPr>
      </w:pPr>
    </w:p>
    <w:p w:rsidR="008027A4" w:rsidRPr="00554C76" w:rsidRDefault="008027A4" w:rsidP="008027A4">
      <w:pPr>
        <w:pStyle w:val="ListParagraph"/>
        <w:numPr>
          <w:ilvl w:val="0"/>
          <w:numId w:val="30"/>
        </w:numPr>
        <w:tabs>
          <w:tab w:val="left" w:pos="-720"/>
        </w:tabs>
        <w:suppressAutoHyphens/>
        <w:ind w:left="0" w:firstLine="1440"/>
        <w:rPr>
          <w:spacing w:val="-3"/>
        </w:rPr>
      </w:pPr>
      <w:r w:rsidRPr="00554C76">
        <w:rPr>
          <w:spacing w:val="-3"/>
        </w:rPr>
        <w:t xml:space="preserve">That </w:t>
      </w:r>
      <w:r w:rsidRPr="00554C76">
        <w:t>Little Washington Wastewater Company – Southeast Consolidated Division’s</w:t>
      </w:r>
      <w:r w:rsidRPr="00554C76">
        <w:rPr>
          <w:spacing w:val="-3"/>
        </w:rPr>
        <w:t xml:space="preserve"> tariffs, tariff supplements, or tariff revisions may be filed upon less than statutory notice and, pursuant to the provisions of 52 Pa. Code §§ 53.31 and 53.101, may be filed to be effective for service rendered on and after the date of entry of this Opinion and Order.</w:t>
      </w:r>
    </w:p>
    <w:p w:rsidR="00E019A1" w:rsidRPr="00554C76" w:rsidRDefault="00E019A1" w:rsidP="00B2003C">
      <w:pPr>
        <w:tabs>
          <w:tab w:val="left" w:pos="-720"/>
        </w:tabs>
        <w:suppressAutoHyphens/>
        <w:rPr>
          <w:spacing w:val="-3"/>
        </w:rPr>
      </w:pPr>
    </w:p>
    <w:p w:rsidR="00E019A1" w:rsidRPr="00554C76" w:rsidRDefault="00B2003C" w:rsidP="00E16DAB">
      <w:pPr>
        <w:pStyle w:val="ListParagraph"/>
        <w:numPr>
          <w:ilvl w:val="0"/>
          <w:numId w:val="30"/>
        </w:numPr>
        <w:tabs>
          <w:tab w:val="left" w:pos="-720"/>
        </w:tabs>
        <w:suppressAutoHyphens/>
        <w:ind w:left="0" w:firstLine="1440"/>
      </w:pPr>
      <w:r w:rsidRPr="00554C76">
        <w:t>T</w:t>
      </w:r>
      <w:r w:rsidR="00E019A1" w:rsidRPr="00554C76">
        <w:t xml:space="preserve">hat </w:t>
      </w:r>
      <w:r w:rsidR="002A0276" w:rsidRPr="002A0276">
        <w:t>Little Washington Wastewater Company – Southeast Consolidated Division</w:t>
      </w:r>
      <w:r w:rsidR="00E019A1" w:rsidRPr="002A0276">
        <w:t xml:space="preserve"> </w:t>
      </w:r>
      <w:r w:rsidR="00E019A1" w:rsidRPr="00554C76">
        <w:t>shall file detailed calculations with its tariff filing</w:t>
      </w:r>
      <w:r w:rsidR="003D2700" w:rsidRPr="00554C76">
        <w:t>s</w:t>
      </w:r>
      <w:r w:rsidR="00E019A1" w:rsidRPr="00554C76">
        <w:t>, which shall demonstrate to th</w:t>
      </w:r>
      <w:r w:rsidR="00FD0745">
        <w:t>e</w:t>
      </w:r>
      <w:r w:rsidR="00E019A1" w:rsidRPr="00554C76">
        <w:t xml:space="preserve"> Commission that the filed rates comply with the proof of revenue, in the form and manner customarily filed in support of compliance tariffs.</w:t>
      </w:r>
    </w:p>
    <w:p w:rsidR="00483658" w:rsidRPr="00554C76" w:rsidRDefault="00483658" w:rsidP="00B2003C">
      <w:pPr>
        <w:tabs>
          <w:tab w:val="left" w:pos="-720"/>
        </w:tabs>
        <w:suppressAutoHyphens/>
        <w:rPr>
          <w:spacing w:val="-3"/>
        </w:rPr>
      </w:pPr>
    </w:p>
    <w:p w:rsidR="009D2CC4" w:rsidRPr="00554C76" w:rsidRDefault="009D2CC4" w:rsidP="00E16DAB">
      <w:pPr>
        <w:pStyle w:val="ListParagraph"/>
        <w:numPr>
          <w:ilvl w:val="0"/>
          <w:numId w:val="30"/>
        </w:numPr>
        <w:ind w:left="0" w:firstLine="1440"/>
        <w:rPr>
          <w:spacing w:val="-3"/>
        </w:rPr>
      </w:pPr>
      <w:r w:rsidRPr="00554C76">
        <w:t>That the Complaint filed by the Office of Consumer Advocate, docketed at C-2010-2</w:t>
      </w:r>
      <w:r w:rsidR="009E65DF" w:rsidRPr="00554C76">
        <w:t>209923</w:t>
      </w:r>
      <w:r w:rsidR="008E6A18">
        <w:t>,</w:t>
      </w:r>
      <w:r w:rsidR="009E65DF" w:rsidRPr="00554C76">
        <w:t xml:space="preserve"> is</w:t>
      </w:r>
      <w:r w:rsidRPr="00554C76">
        <w:t xml:space="preserve"> sustained to the extent consistent with this Opinion and Order, and otherwise, </w:t>
      </w:r>
      <w:r w:rsidR="00013676">
        <w:t>is</w:t>
      </w:r>
      <w:r w:rsidR="00FC4ACB">
        <w:t xml:space="preserve"> denied and dismissed.</w:t>
      </w:r>
    </w:p>
    <w:p w:rsidR="009D2CC4" w:rsidRPr="00554C76" w:rsidRDefault="009D2CC4" w:rsidP="00B2003C">
      <w:pPr>
        <w:rPr>
          <w:spacing w:val="-3"/>
        </w:rPr>
      </w:pPr>
    </w:p>
    <w:p w:rsidR="009D2CC4" w:rsidRPr="00554C76" w:rsidRDefault="009D2CC4" w:rsidP="00561EE1">
      <w:pPr>
        <w:pStyle w:val="BodyText2"/>
        <w:keepNext/>
        <w:numPr>
          <w:ilvl w:val="0"/>
          <w:numId w:val="30"/>
        </w:numPr>
        <w:spacing w:after="0" w:line="360" w:lineRule="auto"/>
        <w:ind w:left="0" w:firstLine="1440"/>
        <w:rPr>
          <w:sz w:val="26"/>
        </w:rPr>
      </w:pPr>
      <w:r w:rsidRPr="00554C76">
        <w:rPr>
          <w:sz w:val="26"/>
        </w:rPr>
        <w:lastRenderedPageBreak/>
        <w:t>That the following Complaints are sustained to the extent consistent with this Opinion and Order, and otherwise, are denied and dismissed:</w:t>
      </w:r>
    </w:p>
    <w:p w:rsidR="00271410" w:rsidRPr="00554C76" w:rsidRDefault="00271410" w:rsidP="00561EE1">
      <w:pPr>
        <w:pStyle w:val="BodyText2"/>
        <w:keepNext/>
        <w:spacing w:after="80" w:line="240" w:lineRule="auto"/>
        <w:ind w:left="1440"/>
        <w:rPr>
          <w:sz w:val="26"/>
        </w:rPr>
      </w:pPr>
    </w:p>
    <w:p w:rsidR="00F64369" w:rsidRPr="00554C76" w:rsidRDefault="009E65DF" w:rsidP="00561EE1">
      <w:pPr>
        <w:pStyle w:val="BodyText2"/>
        <w:keepNext/>
        <w:numPr>
          <w:ilvl w:val="0"/>
          <w:numId w:val="35"/>
        </w:numPr>
        <w:spacing w:after="200" w:line="240" w:lineRule="auto"/>
        <w:ind w:left="2520"/>
        <w:rPr>
          <w:sz w:val="26"/>
          <w:szCs w:val="26"/>
        </w:rPr>
      </w:pPr>
      <w:r w:rsidRPr="00554C76">
        <w:rPr>
          <w:sz w:val="26"/>
          <w:szCs w:val="26"/>
        </w:rPr>
        <w:t>William Fink</w:t>
      </w:r>
      <w:r w:rsidR="00B2003C" w:rsidRPr="00554C76">
        <w:rPr>
          <w:sz w:val="26"/>
          <w:szCs w:val="26"/>
        </w:rPr>
        <w:t xml:space="preserve"> at C-2010-2</w:t>
      </w:r>
      <w:r w:rsidR="00D636B0" w:rsidRPr="00554C76">
        <w:rPr>
          <w:sz w:val="26"/>
          <w:szCs w:val="26"/>
        </w:rPr>
        <w:t>2</w:t>
      </w:r>
      <w:r w:rsidRPr="00554C76">
        <w:rPr>
          <w:sz w:val="26"/>
          <w:szCs w:val="26"/>
        </w:rPr>
        <w:t>13900</w:t>
      </w:r>
      <w:r w:rsidR="00B2003C" w:rsidRPr="00554C76">
        <w:rPr>
          <w:sz w:val="26"/>
          <w:szCs w:val="26"/>
        </w:rPr>
        <w:t>.</w:t>
      </w:r>
    </w:p>
    <w:p w:rsidR="00B2003C" w:rsidRPr="00554C76" w:rsidRDefault="009E65DF" w:rsidP="00561EE1">
      <w:pPr>
        <w:pStyle w:val="BodyText2"/>
        <w:keepNext/>
        <w:numPr>
          <w:ilvl w:val="0"/>
          <w:numId w:val="35"/>
        </w:numPr>
        <w:spacing w:after="200" w:line="240" w:lineRule="auto"/>
        <w:ind w:left="2520"/>
        <w:rPr>
          <w:sz w:val="26"/>
          <w:szCs w:val="26"/>
        </w:rPr>
      </w:pPr>
      <w:r w:rsidRPr="00554C76">
        <w:rPr>
          <w:sz w:val="26"/>
          <w:szCs w:val="26"/>
        </w:rPr>
        <w:t xml:space="preserve">Edward C. Oleckna </w:t>
      </w:r>
      <w:r w:rsidR="00B2003C" w:rsidRPr="00554C76">
        <w:rPr>
          <w:sz w:val="26"/>
          <w:szCs w:val="26"/>
        </w:rPr>
        <w:t>at C-2010-2</w:t>
      </w:r>
      <w:r w:rsidR="00D636B0" w:rsidRPr="00554C76">
        <w:rPr>
          <w:sz w:val="26"/>
          <w:szCs w:val="26"/>
        </w:rPr>
        <w:t>2</w:t>
      </w:r>
      <w:r w:rsidR="00B2003C" w:rsidRPr="00554C76">
        <w:rPr>
          <w:sz w:val="26"/>
          <w:szCs w:val="26"/>
        </w:rPr>
        <w:t>1</w:t>
      </w:r>
      <w:r w:rsidR="00D636B0" w:rsidRPr="00554C76">
        <w:rPr>
          <w:sz w:val="26"/>
          <w:szCs w:val="26"/>
        </w:rPr>
        <w:t>3719</w:t>
      </w:r>
    </w:p>
    <w:p w:rsidR="00B2003C" w:rsidRPr="00554C76" w:rsidRDefault="00D636B0" w:rsidP="00561EE1">
      <w:pPr>
        <w:pStyle w:val="BodyText2"/>
        <w:keepNext/>
        <w:numPr>
          <w:ilvl w:val="0"/>
          <w:numId w:val="35"/>
        </w:numPr>
        <w:spacing w:after="200" w:line="240" w:lineRule="auto"/>
        <w:ind w:left="2520"/>
        <w:rPr>
          <w:sz w:val="26"/>
          <w:szCs w:val="26"/>
        </w:rPr>
      </w:pPr>
      <w:r w:rsidRPr="00554C76">
        <w:rPr>
          <w:sz w:val="26"/>
          <w:szCs w:val="26"/>
        </w:rPr>
        <w:t>National Income Tax, Inc.</w:t>
      </w:r>
      <w:r w:rsidR="00B2003C" w:rsidRPr="00554C76">
        <w:rPr>
          <w:sz w:val="26"/>
          <w:szCs w:val="26"/>
        </w:rPr>
        <w:t xml:space="preserve"> at C-2010-2</w:t>
      </w:r>
      <w:r w:rsidRPr="00554C76">
        <w:rPr>
          <w:sz w:val="26"/>
          <w:szCs w:val="26"/>
        </w:rPr>
        <w:t>2</w:t>
      </w:r>
      <w:r w:rsidR="00B2003C" w:rsidRPr="00554C76">
        <w:rPr>
          <w:sz w:val="26"/>
          <w:szCs w:val="26"/>
        </w:rPr>
        <w:t>1</w:t>
      </w:r>
      <w:r w:rsidRPr="00554C76">
        <w:rPr>
          <w:sz w:val="26"/>
          <w:szCs w:val="26"/>
        </w:rPr>
        <w:t>5189</w:t>
      </w:r>
    </w:p>
    <w:p w:rsidR="00B2003C" w:rsidRPr="00554C76" w:rsidRDefault="00D636B0" w:rsidP="00561EE1">
      <w:pPr>
        <w:pStyle w:val="BodyText2"/>
        <w:keepNext/>
        <w:numPr>
          <w:ilvl w:val="0"/>
          <w:numId w:val="35"/>
        </w:numPr>
        <w:spacing w:after="200" w:line="240" w:lineRule="auto"/>
        <w:ind w:left="2520"/>
        <w:rPr>
          <w:sz w:val="26"/>
          <w:szCs w:val="26"/>
        </w:rPr>
      </w:pPr>
      <w:r w:rsidRPr="00554C76">
        <w:rPr>
          <w:sz w:val="26"/>
          <w:szCs w:val="26"/>
        </w:rPr>
        <w:t>Arnold M. Kring</w:t>
      </w:r>
      <w:r w:rsidR="00B2003C" w:rsidRPr="00554C76">
        <w:rPr>
          <w:sz w:val="26"/>
          <w:szCs w:val="26"/>
        </w:rPr>
        <w:t xml:space="preserve"> at C-2010-2</w:t>
      </w:r>
      <w:r w:rsidRPr="00554C76">
        <w:rPr>
          <w:sz w:val="26"/>
          <w:szCs w:val="26"/>
        </w:rPr>
        <w:t>217542</w:t>
      </w:r>
    </w:p>
    <w:p w:rsidR="00B2003C" w:rsidRPr="00554C76" w:rsidRDefault="00D636B0" w:rsidP="00561EE1">
      <w:pPr>
        <w:pStyle w:val="BodyText2"/>
        <w:keepNext/>
        <w:numPr>
          <w:ilvl w:val="0"/>
          <w:numId w:val="35"/>
        </w:numPr>
        <w:spacing w:after="200" w:line="240" w:lineRule="auto"/>
        <w:ind w:left="2520"/>
        <w:rPr>
          <w:sz w:val="26"/>
          <w:szCs w:val="26"/>
        </w:rPr>
      </w:pPr>
      <w:r w:rsidRPr="00554C76">
        <w:rPr>
          <w:sz w:val="26"/>
          <w:szCs w:val="26"/>
        </w:rPr>
        <w:t>Borough of Media</w:t>
      </w:r>
      <w:r w:rsidR="00B2003C" w:rsidRPr="00554C76">
        <w:rPr>
          <w:sz w:val="26"/>
          <w:szCs w:val="26"/>
        </w:rPr>
        <w:t xml:space="preserve"> at C-2010-2</w:t>
      </w:r>
      <w:r w:rsidRPr="00554C76">
        <w:rPr>
          <w:sz w:val="26"/>
          <w:szCs w:val="26"/>
        </w:rPr>
        <w:t>2</w:t>
      </w:r>
      <w:r w:rsidR="00B2003C" w:rsidRPr="00554C76">
        <w:rPr>
          <w:sz w:val="26"/>
          <w:szCs w:val="26"/>
        </w:rPr>
        <w:t>1</w:t>
      </w:r>
      <w:r w:rsidRPr="00554C76">
        <w:rPr>
          <w:sz w:val="26"/>
          <w:szCs w:val="26"/>
        </w:rPr>
        <w:t>7581</w:t>
      </w:r>
    </w:p>
    <w:p w:rsidR="00B2003C" w:rsidRPr="00554C76" w:rsidRDefault="00D636B0" w:rsidP="00561EE1">
      <w:pPr>
        <w:pStyle w:val="BodyText2"/>
        <w:keepNext/>
        <w:numPr>
          <w:ilvl w:val="0"/>
          <w:numId w:val="35"/>
        </w:numPr>
        <w:spacing w:after="200" w:line="240" w:lineRule="auto"/>
        <w:ind w:left="2520"/>
        <w:rPr>
          <w:sz w:val="26"/>
          <w:szCs w:val="26"/>
        </w:rPr>
      </w:pPr>
      <w:r w:rsidRPr="00554C76">
        <w:rPr>
          <w:sz w:val="26"/>
          <w:szCs w:val="26"/>
        </w:rPr>
        <w:t xml:space="preserve">Jeffery Fleming </w:t>
      </w:r>
      <w:r w:rsidR="00B2003C" w:rsidRPr="00554C76">
        <w:rPr>
          <w:sz w:val="26"/>
          <w:szCs w:val="26"/>
        </w:rPr>
        <w:t>at C-2010-2</w:t>
      </w:r>
      <w:r w:rsidRPr="00554C76">
        <w:rPr>
          <w:sz w:val="26"/>
          <w:szCs w:val="26"/>
        </w:rPr>
        <w:t>217951</w:t>
      </w:r>
    </w:p>
    <w:p w:rsidR="00F64369" w:rsidRPr="00554C76" w:rsidRDefault="00F64369" w:rsidP="00561EE1">
      <w:pPr>
        <w:pStyle w:val="BodyText2"/>
        <w:keepNext/>
        <w:numPr>
          <w:ilvl w:val="0"/>
          <w:numId w:val="35"/>
        </w:numPr>
        <w:spacing w:after="200" w:line="240" w:lineRule="auto"/>
        <w:ind w:left="2520"/>
        <w:rPr>
          <w:sz w:val="26"/>
          <w:szCs w:val="26"/>
        </w:rPr>
      </w:pPr>
      <w:r w:rsidRPr="00554C76">
        <w:rPr>
          <w:sz w:val="26"/>
          <w:szCs w:val="26"/>
        </w:rPr>
        <w:t xml:space="preserve">Samuel L. Johnson </w:t>
      </w:r>
      <w:r w:rsidR="00B2003C" w:rsidRPr="00554C76">
        <w:rPr>
          <w:sz w:val="26"/>
          <w:szCs w:val="26"/>
        </w:rPr>
        <w:t>at C-2010-2</w:t>
      </w:r>
      <w:r w:rsidRPr="00554C76">
        <w:rPr>
          <w:sz w:val="26"/>
          <w:szCs w:val="26"/>
        </w:rPr>
        <w:t>2</w:t>
      </w:r>
      <w:r w:rsidR="00B2003C" w:rsidRPr="00554C76">
        <w:rPr>
          <w:sz w:val="26"/>
          <w:szCs w:val="26"/>
        </w:rPr>
        <w:t>1</w:t>
      </w:r>
      <w:r w:rsidRPr="00554C76">
        <w:rPr>
          <w:sz w:val="26"/>
          <w:szCs w:val="26"/>
        </w:rPr>
        <w:t>8537</w:t>
      </w:r>
      <w:r w:rsidR="00B2003C" w:rsidRPr="00554C76">
        <w:rPr>
          <w:sz w:val="26"/>
          <w:szCs w:val="26"/>
        </w:rPr>
        <w:t xml:space="preserve"> </w:t>
      </w:r>
    </w:p>
    <w:p w:rsidR="00254E93" w:rsidRDefault="00254E93" w:rsidP="00254E93">
      <w:pPr>
        <w:pStyle w:val="BodyText2"/>
        <w:spacing w:after="200" w:line="240" w:lineRule="auto"/>
        <w:ind w:left="2160" w:hanging="720"/>
        <w:rPr>
          <w:sz w:val="26"/>
          <w:szCs w:val="26"/>
        </w:rPr>
      </w:pPr>
    </w:p>
    <w:p w:rsidR="00FC4ACB" w:rsidRPr="00FC4ACB" w:rsidRDefault="00FC4ACB" w:rsidP="00FC4ACB">
      <w:pPr>
        <w:ind w:firstLine="0"/>
        <w:rPr>
          <w:szCs w:val="24"/>
        </w:rPr>
      </w:pPr>
      <w:r>
        <w:rPr>
          <w:szCs w:val="24"/>
        </w:rPr>
        <w:tab/>
      </w:r>
      <w:r>
        <w:rPr>
          <w:szCs w:val="24"/>
        </w:rPr>
        <w:tab/>
        <w:t>10.</w:t>
      </w:r>
      <w:r>
        <w:rPr>
          <w:szCs w:val="24"/>
        </w:rPr>
        <w:tab/>
      </w:r>
      <w:r>
        <w:rPr>
          <w:szCs w:val="24"/>
        </w:rPr>
        <w:tab/>
      </w:r>
      <w:r w:rsidRPr="00FC4ACB">
        <w:rPr>
          <w:szCs w:val="24"/>
        </w:rPr>
        <w:t>That as part of its next base rate filing, Little Washington Wastewater Company – Southeast Consolidated Division shall submit a report of its odor remediation activities at the Little Washington and Twin Hills Divisions.</w:t>
      </w:r>
    </w:p>
    <w:p w:rsidR="00FC4ACB" w:rsidRPr="00554C76" w:rsidRDefault="00FC4ACB" w:rsidP="00FC4ACB">
      <w:pPr>
        <w:pStyle w:val="BodyText2"/>
        <w:spacing w:after="200" w:line="240" w:lineRule="auto"/>
        <w:ind w:left="2160" w:hanging="720"/>
        <w:rPr>
          <w:sz w:val="26"/>
          <w:szCs w:val="26"/>
        </w:rPr>
      </w:pPr>
    </w:p>
    <w:p w:rsidR="00E019A1" w:rsidRDefault="00FC4ACB" w:rsidP="00FC4ACB">
      <w:pPr>
        <w:rPr>
          <w:szCs w:val="24"/>
        </w:rPr>
      </w:pPr>
      <w:r>
        <w:rPr>
          <w:szCs w:val="24"/>
        </w:rPr>
        <w:t>11</w:t>
      </w:r>
      <w:r w:rsidR="00F31410" w:rsidRPr="00554C76">
        <w:rPr>
          <w:szCs w:val="24"/>
        </w:rPr>
        <w:t>.</w:t>
      </w:r>
      <w:r w:rsidR="00F31410" w:rsidRPr="00554C76">
        <w:rPr>
          <w:szCs w:val="24"/>
        </w:rPr>
        <w:tab/>
      </w:r>
      <w:r w:rsidR="00E019A1" w:rsidRPr="00554C76">
        <w:rPr>
          <w:szCs w:val="24"/>
        </w:rPr>
        <w:t>That</w:t>
      </w:r>
      <w:r w:rsidR="00145CCF">
        <w:rPr>
          <w:szCs w:val="24"/>
        </w:rPr>
        <w:t>,</w:t>
      </w:r>
      <w:r w:rsidR="00E019A1" w:rsidRPr="00554C76">
        <w:rPr>
          <w:szCs w:val="24"/>
        </w:rPr>
        <w:t xml:space="preserve"> after acceptance and approval by the Commission of the tariff revisions filed by </w:t>
      </w:r>
      <w:r w:rsidR="00FC1AEA" w:rsidRPr="00554C76">
        <w:t>Little Washington Wastewater Company – Southeast Consolidated Division</w:t>
      </w:r>
      <w:r w:rsidR="00E019A1" w:rsidRPr="00554C76">
        <w:rPr>
          <w:szCs w:val="24"/>
        </w:rPr>
        <w:t>, the investigation at Docket Nos. R-</w:t>
      </w:r>
      <w:r w:rsidR="0091759D" w:rsidRPr="00554C76">
        <w:rPr>
          <w:szCs w:val="24"/>
        </w:rPr>
        <w:t xml:space="preserve"> 2010-2</w:t>
      </w:r>
      <w:r w:rsidR="00FC1AEA" w:rsidRPr="00554C76">
        <w:rPr>
          <w:szCs w:val="24"/>
        </w:rPr>
        <w:t>207853</w:t>
      </w:r>
      <w:r w:rsidR="00E019A1" w:rsidRPr="00554C76">
        <w:rPr>
          <w:szCs w:val="24"/>
        </w:rPr>
        <w:t xml:space="preserve"> shall be terminated and the record shall be marked closed.</w:t>
      </w:r>
    </w:p>
    <w:p w:rsidR="00750BC4" w:rsidRPr="00613345" w:rsidRDefault="007D374B" w:rsidP="00FC4ACB">
      <w:pPr>
        <w:rPr>
          <w:szCs w:val="24"/>
        </w:rPr>
      </w:pPr>
      <w:r>
        <w:rPr>
          <w:noProof/>
          <w:szCs w:val="24"/>
        </w:rPr>
        <w:drawing>
          <wp:anchor distT="0" distB="0" distL="114300" distR="114300" simplePos="0" relativeHeight="251659264" behindDoc="1" locked="0" layoutInCell="1" allowOverlap="1">
            <wp:simplePos x="0" y="0"/>
            <wp:positionH relativeFrom="column">
              <wp:posOffset>2552700</wp:posOffset>
            </wp:positionH>
            <wp:positionV relativeFrom="paragraph">
              <wp:posOffset>269240</wp:posOffset>
            </wp:positionV>
            <wp:extent cx="2200275" cy="838200"/>
            <wp:effectExtent l="19050" t="0" r="9525" b="0"/>
            <wp:wrapNone/>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B029C" w:rsidRPr="00554C76" w:rsidRDefault="003B029C" w:rsidP="00FC4ACB">
      <w:pPr>
        <w:ind w:left="4320" w:firstLine="0"/>
      </w:pPr>
      <w:r w:rsidRPr="00554C76">
        <w:rPr>
          <w:b/>
        </w:rPr>
        <w:t>BY THE COMMISSION</w:t>
      </w:r>
      <w:r w:rsidRPr="00554C76">
        <w:t>,</w:t>
      </w:r>
    </w:p>
    <w:p w:rsidR="003B029C" w:rsidRDefault="003B029C" w:rsidP="00FC4ACB">
      <w:pPr>
        <w:spacing w:line="240" w:lineRule="auto"/>
      </w:pPr>
    </w:p>
    <w:p w:rsidR="00FC4ACB" w:rsidRDefault="00FC4ACB" w:rsidP="00FC4ACB">
      <w:pPr>
        <w:spacing w:line="240" w:lineRule="auto"/>
      </w:pPr>
    </w:p>
    <w:p w:rsidR="003B029C" w:rsidRPr="00554C76" w:rsidRDefault="003B029C" w:rsidP="00FC4ACB">
      <w:pPr>
        <w:spacing w:line="240" w:lineRule="auto"/>
        <w:ind w:left="4320" w:firstLine="0"/>
      </w:pPr>
      <w:r w:rsidRPr="00554C76">
        <w:t>Rosemary Chiavetta</w:t>
      </w:r>
    </w:p>
    <w:p w:rsidR="003B029C" w:rsidRPr="00554C76" w:rsidRDefault="003B029C" w:rsidP="00FC4ACB">
      <w:pPr>
        <w:ind w:left="4320" w:firstLine="0"/>
      </w:pPr>
      <w:r w:rsidRPr="00554C76">
        <w:t>Secretary</w:t>
      </w:r>
    </w:p>
    <w:p w:rsidR="003B029C" w:rsidRPr="00554C76" w:rsidRDefault="003B029C" w:rsidP="00FC4ACB">
      <w:pPr>
        <w:ind w:firstLine="0"/>
      </w:pPr>
    </w:p>
    <w:p w:rsidR="003B029C" w:rsidRPr="00554C76" w:rsidRDefault="003B029C" w:rsidP="00FC4ACB">
      <w:pPr>
        <w:ind w:firstLine="0"/>
      </w:pPr>
      <w:r w:rsidRPr="00554C76">
        <w:t>(SEAL)</w:t>
      </w:r>
    </w:p>
    <w:p w:rsidR="003B029C" w:rsidRPr="00554C76" w:rsidRDefault="003B029C" w:rsidP="00FC4ACB">
      <w:pPr>
        <w:ind w:firstLine="0"/>
      </w:pPr>
      <w:r w:rsidRPr="00554C76">
        <w:t xml:space="preserve">ORDER ADOPTED:  </w:t>
      </w:r>
      <w:r w:rsidR="00FC1AEA" w:rsidRPr="00554C76">
        <w:t>June 9</w:t>
      </w:r>
      <w:r w:rsidRPr="00554C76">
        <w:t>, 2011</w:t>
      </w:r>
    </w:p>
    <w:p w:rsidR="003B029C" w:rsidRPr="00ED46BA" w:rsidRDefault="003B029C" w:rsidP="00FC4ACB">
      <w:pPr>
        <w:ind w:firstLine="0"/>
        <w:rPr>
          <w:color w:val="00B050"/>
        </w:rPr>
      </w:pPr>
      <w:r w:rsidRPr="00554C76">
        <w:t xml:space="preserve">ORDER ENTERED: </w:t>
      </w:r>
      <w:r w:rsidR="007D374B">
        <w:t>June 9, 2011</w:t>
      </w:r>
    </w:p>
    <w:sectPr w:rsidR="003B029C" w:rsidRPr="00ED46BA" w:rsidSect="006B0526">
      <w:footerReference w:type="defaul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6B6" w:rsidRDefault="00EA66B6" w:rsidP="00865951">
      <w:pPr>
        <w:spacing w:line="240" w:lineRule="auto"/>
      </w:pPr>
      <w:r>
        <w:separator/>
      </w:r>
    </w:p>
  </w:endnote>
  <w:endnote w:type="continuationSeparator" w:id="0">
    <w:p w:rsidR="00EA66B6" w:rsidRDefault="00EA66B6" w:rsidP="008659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7612"/>
      <w:docPartObj>
        <w:docPartGallery w:val="Page Numbers (Bottom of Page)"/>
        <w:docPartUnique/>
      </w:docPartObj>
    </w:sdtPr>
    <w:sdtContent>
      <w:p w:rsidR="00971A52" w:rsidRDefault="0055118E" w:rsidP="005431FA">
        <w:pPr>
          <w:pStyle w:val="Footer"/>
          <w:ind w:firstLine="0"/>
          <w:jc w:val="center"/>
        </w:pPr>
        <w:fldSimple w:instr=" PAGE   \* MERGEFORMAT ">
          <w:r w:rsidR="007D374B">
            <w:rPr>
              <w:noProof/>
            </w:rPr>
            <w:t>21</w:t>
          </w:r>
        </w:fldSimple>
      </w:p>
    </w:sdtContent>
  </w:sdt>
  <w:p w:rsidR="00971A52" w:rsidRDefault="00971A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6B6" w:rsidRDefault="00EA66B6" w:rsidP="00865951">
      <w:pPr>
        <w:spacing w:line="240" w:lineRule="auto"/>
      </w:pPr>
      <w:r>
        <w:separator/>
      </w:r>
    </w:p>
  </w:footnote>
  <w:footnote w:type="continuationSeparator" w:id="0">
    <w:p w:rsidR="00EA66B6" w:rsidRDefault="00EA66B6" w:rsidP="00865951">
      <w:pPr>
        <w:spacing w:line="240" w:lineRule="auto"/>
      </w:pPr>
      <w:r>
        <w:continuationSeparator/>
      </w:r>
    </w:p>
  </w:footnote>
  <w:footnote w:id="1">
    <w:p w:rsidR="00971A52" w:rsidRPr="002211AE" w:rsidRDefault="00971A52" w:rsidP="00E2313A">
      <w:pPr>
        <w:pStyle w:val="FootnoteText"/>
        <w:ind w:firstLine="720"/>
        <w:rPr>
          <w:rFonts w:cs="Times New Roman"/>
          <w:sz w:val="26"/>
          <w:szCs w:val="26"/>
        </w:rPr>
      </w:pPr>
      <w:r w:rsidRPr="00477D2F">
        <w:rPr>
          <w:rStyle w:val="FootnoteReference"/>
          <w:rFonts w:eastAsiaTheme="majorEastAsia" w:cs="Times New Roman"/>
        </w:rPr>
        <w:footnoteRef/>
      </w:r>
      <w:r w:rsidRPr="00477D2F">
        <w:rPr>
          <w:rFonts w:cs="Times New Roman"/>
        </w:rPr>
        <w:t xml:space="preserve"> </w:t>
      </w:r>
      <w:r w:rsidRPr="00477D2F">
        <w:rPr>
          <w:rFonts w:cs="Times New Roman"/>
        </w:rPr>
        <w:tab/>
      </w:r>
      <w:r w:rsidRPr="002211AE">
        <w:rPr>
          <w:rFonts w:cs="Times New Roman"/>
          <w:sz w:val="26"/>
          <w:szCs w:val="26"/>
        </w:rPr>
        <w:t xml:space="preserve">Information on the specific divisions and the existing and proposed rates is presented in our discussion of the proposed Settlement, </w:t>
      </w:r>
      <w:r w:rsidRPr="002211AE">
        <w:rPr>
          <w:rFonts w:cs="Times New Roman"/>
          <w:i/>
          <w:sz w:val="26"/>
          <w:szCs w:val="26"/>
        </w:rPr>
        <w:t>supra</w:t>
      </w:r>
      <w:r w:rsidRPr="002211AE">
        <w:rPr>
          <w:rFonts w:cs="Times New Roman"/>
          <w:sz w:val="26"/>
          <w:szCs w:val="26"/>
        </w:rPr>
        <w:t xml:space="preserve">.     </w:t>
      </w:r>
    </w:p>
  </w:footnote>
  <w:footnote w:id="2">
    <w:p w:rsidR="00971A52" w:rsidRPr="002211AE" w:rsidRDefault="00971A52" w:rsidP="002211AE">
      <w:pPr>
        <w:pStyle w:val="FootnoteText"/>
        <w:ind w:firstLine="720"/>
        <w:rPr>
          <w:rFonts w:cs="Times New Roman"/>
          <w:sz w:val="26"/>
          <w:szCs w:val="26"/>
        </w:rPr>
      </w:pPr>
      <w:r w:rsidRPr="002211AE">
        <w:rPr>
          <w:rStyle w:val="FootnoteReference"/>
          <w:rFonts w:cs="Times New Roman"/>
          <w:sz w:val="26"/>
          <w:szCs w:val="26"/>
        </w:rPr>
        <w:footnoteRef/>
      </w:r>
      <w:r w:rsidRPr="002211AE">
        <w:rPr>
          <w:rFonts w:cs="Times New Roman"/>
          <w:sz w:val="26"/>
          <w:szCs w:val="26"/>
        </w:rPr>
        <w:tab/>
        <w:t xml:space="preserve">A Complaint filed by Karen Savini at Docket No. C-2010-2214914 was withdrawn by </w:t>
      </w:r>
      <w:r>
        <w:rPr>
          <w:rFonts w:cs="Times New Roman"/>
          <w:sz w:val="26"/>
          <w:szCs w:val="26"/>
        </w:rPr>
        <w:t>Ms. Savini</w:t>
      </w:r>
      <w:r w:rsidRPr="002211AE">
        <w:rPr>
          <w:rFonts w:cs="Times New Roman"/>
          <w:sz w:val="26"/>
          <w:szCs w:val="26"/>
        </w:rPr>
        <w:t xml:space="preserve"> by letter received on December 30, 2010</w:t>
      </w:r>
      <w:r>
        <w:rPr>
          <w:rFonts w:cs="Times New Roman"/>
          <w:sz w:val="26"/>
          <w:szCs w:val="26"/>
        </w:rPr>
        <w:t>.</w:t>
      </w:r>
      <w:r w:rsidRPr="002211AE">
        <w:rPr>
          <w:rFonts w:cs="Times New Roman"/>
          <w:sz w:val="26"/>
          <w:szCs w:val="26"/>
        </w:rPr>
        <w:t xml:space="preserve"> </w:t>
      </w:r>
      <w:r>
        <w:rPr>
          <w:rFonts w:cs="Times New Roman"/>
          <w:sz w:val="26"/>
          <w:szCs w:val="26"/>
        </w:rPr>
        <w:t xml:space="preserve">The Complaint was </w:t>
      </w:r>
      <w:r w:rsidRPr="002211AE">
        <w:rPr>
          <w:rFonts w:cs="Times New Roman"/>
          <w:sz w:val="26"/>
          <w:szCs w:val="26"/>
        </w:rPr>
        <w:t>closed by the Commission on February 16, 2011.</w:t>
      </w:r>
    </w:p>
    <w:p w:rsidR="00971A52" w:rsidRDefault="00971A52" w:rsidP="00C62854">
      <w:pPr>
        <w:pStyle w:val="FootnoteText"/>
      </w:pPr>
    </w:p>
  </w:footnote>
  <w:footnote w:id="3">
    <w:p w:rsidR="00971A52" w:rsidRPr="00540C82" w:rsidRDefault="00971A52" w:rsidP="00540C82">
      <w:pPr>
        <w:pStyle w:val="FootnoteText"/>
        <w:ind w:firstLine="720"/>
        <w:rPr>
          <w:sz w:val="26"/>
          <w:szCs w:val="26"/>
        </w:rPr>
      </w:pPr>
      <w:r>
        <w:rPr>
          <w:rStyle w:val="FootnoteReference"/>
        </w:rPr>
        <w:footnoteRef/>
      </w:r>
      <w:r>
        <w:t xml:space="preserve"> </w:t>
      </w:r>
      <w:r>
        <w:tab/>
      </w:r>
      <w:r w:rsidRPr="00540C82">
        <w:rPr>
          <w:sz w:val="26"/>
          <w:szCs w:val="26"/>
        </w:rPr>
        <w:t xml:space="preserve">This division is referred to as the Chesterdale Division in the Settlement but is </w:t>
      </w:r>
      <w:r>
        <w:rPr>
          <w:sz w:val="26"/>
          <w:szCs w:val="26"/>
        </w:rPr>
        <w:t xml:space="preserve">entitled </w:t>
      </w:r>
      <w:r w:rsidRPr="00540C82">
        <w:rPr>
          <w:sz w:val="26"/>
          <w:szCs w:val="26"/>
        </w:rPr>
        <w:t>the Willistown Woods Division in the Company’s tariff.  Supplement No. 78 at Thirty-Ninth Revised Page No. 2 and Sixth Revised Page No. 4A.</w:t>
      </w:r>
    </w:p>
  </w:footnote>
  <w:footnote w:id="4">
    <w:p w:rsidR="00971A52" w:rsidRPr="00B33D90" w:rsidRDefault="00971A52" w:rsidP="00B33D90">
      <w:pPr>
        <w:pStyle w:val="FootnoteText"/>
        <w:ind w:firstLine="720"/>
        <w:rPr>
          <w:sz w:val="26"/>
          <w:szCs w:val="26"/>
        </w:rPr>
      </w:pPr>
      <w:r w:rsidRPr="00B33D90">
        <w:rPr>
          <w:rStyle w:val="FootnoteReference"/>
          <w:sz w:val="26"/>
          <w:szCs w:val="26"/>
        </w:rPr>
        <w:footnoteRef/>
      </w:r>
      <w:r>
        <w:rPr>
          <w:sz w:val="26"/>
          <w:szCs w:val="26"/>
        </w:rPr>
        <w:tab/>
      </w:r>
      <w:r w:rsidRPr="00B33D90">
        <w:rPr>
          <w:sz w:val="26"/>
          <w:szCs w:val="26"/>
        </w:rPr>
        <w:t xml:space="preserve">As discussed </w:t>
      </w:r>
      <w:r w:rsidRPr="00B33D90">
        <w:rPr>
          <w:i/>
          <w:sz w:val="26"/>
          <w:szCs w:val="26"/>
        </w:rPr>
        <w:t>infra</w:t>
      </w:r>
      <w:r w:rsidRPr="00B33D90">
        <w:rPr>
          <w:sz w:val="26"/>
          <w:szCs w:val="26"/>
        </w:rPr>
        <w:t>, Complainant Arnold Kring has raised an issue regarding the pace of LWW-SE’s migration toward</w:t>
      </w:r>
      <w:r>
        <w:rPr>
          <w:sz w:val="26"/>
          <w:szCs w:val="26"/>
        </w:rPr>
        <w:t>s</w:t>
      </w:r>
      <w:r w:rsidRPr="00B33D90">
        <w:rPr>
          <w:sz w:val="26"/>
          <w:szCs w:val="26"/>
        </w:rPr>
        <w:t xml:space="preserve"> consolidated rates.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01EC"/>
    <w:multiLevelType w:val="hybridMultilevel"/>
    <w:tmpl w:val="CAA6C9C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96E6016"/>
    <w:multiLevelType w:val="hybridMultilevel"/>
    <w:tmpl w:val="E092E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970CE"/>
    <w:multiLevelType w:val="hybridMultilevel"/>
    <w:tmpl w:val="D33C4232"/>
    <w:lvl w:ilvl="0" w:tplc="BE80E9C4">
      <w:start w:val="1"/>
      <w:numFmt w:val="lowerLetter"/>
      <w:lvlText w:val="(%1)"/>
      <w:lvlJc w:val="lef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16B6341"/>
    <w:multiLevelType w:val="hybridMultilevel"/>
    <w:tmpl w:val="F4C6DA00"/>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AA32758"/>
    <w:multiLevelType w:val="hybridMultilevel"/>
    <w:tmpl w:val="0D26E492"/>
    <w:lvl w:ilvl="0" w:tplc="0409000F">
      <w:start w:val="1"/>
      <w:numFmt w:val="decimal"/>
      <w:lvlText w:val="%1."/>
      <w:lvlJc w:val="lef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C6D4AB5"/>
    <w:multiLevelType w:val="hybridMultilevel"/>
    <w:tmpl w:val="7A4C511E"/>
    <w:lvl w:ilvl="0" w:tplc="A3FEC996">
      <w:start w:val="1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A208E0"/>
    <w:multiLevelType w:val="hybridMultilevel"/>
    <w:tmpl w:val="57C49164"/>
    <w:lvl w:ilvl="0" w:tplc="53E86940">
      <w:start w:val="1"/>
      <w:numFmt w:val="decimal"/>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FDF2F87"/>
    <w:multiLevelType w:val="hybridMultilevel"/>
    <w:tmpl w:val="3B14EBA4"/>
    <w:lvl w:ilvl="0" w:tplc="47AE5DF2">
      <w:start w:val="1"/>
      <w:numFmt w:val="lowerRoman"/>
      <w:pStyle w:val="Heading5"/>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396434C"/>
    <w:multiLevelType w:val="hybridMultilevel"/>
    <w:tmpl w:val="E01E9774"/>
    <w:lvl w:ilvl="0" w:tplc="CA84CF9E">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9AC4A08"/>
    <w:multiLevelType w:val="hybridMultilevel"/>
    <w:tmpl w:val="C81C813E"/>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A66081B"/>
    <w:multiLevelType w:val="hybridMultilevel"/>
    <w:tmpl w:val="098804CC"/>
    <w:lvl w:ilvl="0" w:tplc="1176560E">
      <w:start w:val="1"/>
      <w:numFmt w:val="lowerLetter"/>
      <w:pStyle w:val="Heading4"/>
      <w:lvlText w:val="%1."/>
      <w:lvlJc w:val="righ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3B142548"/>
    <w:multiLevelType w:val="hybridMultilevel"/>
    <w:tmpl w:val="F8EAE0C8"/>
    <w:lvl w:ilvl="0" w:tplc="089A50E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781488"/>
    <w:multiLevelType w:val="hybridMultilevel"/>
    <w:tmpl w:val="B0B0C764"/>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E993AA1"/>
    <w:multiLevelType w:val="hybridMultilevel"/>
    <w:tmpl w:val="CA7449C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54FA2"/>
    <w:multiLevelType w:val="hybridMultilevel"/>
    <w:tmpl w:val="21F41126"/>
    <w:lvl w:ilvl="0" w:tplc="863AD6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32A9F"/>
    <w:multiLevelType w:val="hybridMultilevel"/>
    <w:tmpl w:val="859652F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41FB71AB"/>
    <w:multiLevelType w:val="hybridMultilevel"/>
    <w:tmpl w:val="DBF03A4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87376"/>
    <w:multiLevelType w:val="hybridMultilevel"/>
    <w:tmpl w:val="7C066586"/>
    <w:lvl w:ilvl="0" w:tplc="9AA40FA6">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F3683"/>
    <w:multiLevelType w:val="hybridMultilevel"/>
    <w:tmpl w:val="E2B00648"/>
    <w:lvl w:ilvl="0" w:tplc="CA84CF9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7E66F4"/>
    <w:multiLevelType w:val="hybridMultilevel"/>
    <w:tmpl w:val="E500D03C"/>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73116A"/>
    <w:multiLevelType w:val="hybridMultilevel"/>
    <w:tmpl w:val="6498877C"/>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A7C7ECB"/>
    <w:multiLevelType w:val="hybridMultilevel"/>
    <w:tmpl w:val="1FF680F0"/>
    <w:lvl w:ilvl="0" w:tplc="F29E16B0">
      <w:start w:val="6"/>
      <w:numFmt w:val="decimal"/>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F31185"/>
    <w:multiLevelType w:val="hybridMultilevel"/>
    <w:tmpl w:val="B1246554"/>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7045822"/>
    <w:multiLevelType w:val="hybridMultilevel"/>
    <w:tmpl w:val="AFCEE9A6"/>
    <w:lvl w:ilvl="0" w:tplc="CA84CF9E">
      <w:start w:val="1"/>
      <w:numFmt w:val="lowerLetter"/>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6CF40925"/>
    <w:multiLevelType w:val="hybridMultilevel"/>
    <w:tmpl w:val="1B6429B6"/>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F641678"/>
    <w:multiLevelType w:val="hybridMultilevel"/>
    <w:tmpl w:val="2EE43E10"/>
    <w:lvl w:ilvl="0" w:tplc="E4A0642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0B93ADE"/>
    <w:multiLevelType w:val="hybridMultilevel"/>
    <w:tmpl w:val="6B926144"/>
    <w:lvl w:ilvl="0" w:tplc="1AE41DE6">
      <w:start w:val="1"/>
      <w:numFmt w:val="decimal"/>
      <w:pStyle w:val="Heading3"/>
      <w:lvlText w:val="%1."/>
      <w:lvlJc w:val="right"/>
      <w:pPr>
        <w:ind w:left="252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EF61BB"/>
    <w:multiLevelType w:val="hybridMultilevel"/>
    <w:tmpl w:val="9B545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27"/>
  </w:num>
  <w:num w:numId="4">
    <w:abstractNumId w:val="26"/>
  </w:num>
  <w:num w:numId="5">
    <w:abstractNumId w:val="10"/>
  </w:num>
  <w:num w:numId="6">
    <w:abstractNumId w:val="7"/>
  </w:num>
  <w:num w:numId="7">
    <w:abstractNumId w:val="15"/>
  </w:num>
  <w:num w:numId="8">
    <w:abstractNumId w:val="1"/>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16"/>
  </w:num>
  <w:num w:numId="17">
    <w:abstractNumId w:val="19"/>
  </w:num>
  <w:num w:numId="18">
    <w:abstractNumId w:val="14"/>
  </w:num>
  <w:num w:numId="19">
    <w:abstractNumId w:val="20"/>
  </w:num>
  <w:num w:numId="20">
    <w:abstractNumId w:val="3"/>
  </w:num>
  <w:num w:numId="21">
    <w:abstractNumId w:val="9"/>
  </w:num>
  <w:num w:numId="22">
    <w:abstractNumId w:val="22"/>
  </w:num>
  <w:num w:numId="23">
    <w:abstractNumId w:val="6"/>
  </w:num>
  <w:num w:numId="24">
    <w:abstractNumId w:val="17"/>
  </w:num>
  <w:num w:numId="25">
    <w:abstractNumId w:val="0"/>
  </w:num>
  <w:num w:numId="26">
    <w:abstractNumId w:val="10"/>
    <w:lvlOverride w:ilvl="0">
      <w:startOverride w:val="1"/>
    </w:lvlOverride>
  </w:num>
  <w:num w:numId="27">
    <w:abstractNumId w:val="10"/>
    <w:lvlOverride w:ilvl="0">
      <w:startOverride w:val="1"/>
    </w:lvlOverride>
  </w:num>
  <w:num w:numId="28">
    <w:abstractNumId w:val="4"/>
  </w:num>
  <w:num w:numId="29">
    <w:abstractNumId w:val="23"/>
  </w:num>
  <w:num w:numId="30">
    <w:abstractNumId w:val="21"/>
  </w:num>
  <w:num w:numId="31">
    <w:abstractNumId w:val="26"/>
    <w:lvlOverride w:ilvl="0">
      <w:startOverride w:val="1"/>
    </w:lvlOverride>
  </w:num>
  <w:num w:numId="32">
    <w:abstractNumId w:val="10"/>
  </w:num>
  <w:num w:numId="33">
    <w:abstractNumId w:val="8"/>
  </w:num>
  <w:num w:numId="34">
    <w:abstractNumId w:val="25"/>
  </w:num>
  <w:num w:numId="35">
    <w:abstractNumId w:val="18"/>
  </w:num>
  <w:num w:numId="36">
    <w:abstractNumId w:val="12"/>
  </w:num>
  <w:num w:numId="37">
    <w:abstractNumId w:val="24"/>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580B38"/>
    <w:rsid w:val="00000257"/>
    <w:rsid w:val="000007F5"/>
    <w:rsid w:val="00003B33"/>
    <w:rsid w:val="00003C43"/>
    <w:rsid w:val="00004203"/>
    <w:rsid w:val="000049E8"/>
    <w:rsid w:val="00006B71"/>
    <w:rsid w:val="00007413"/>
    <w:rsid w:val="00007AC9"/>
    <w:rsid w:val="00007BFC"/>
    <w:rsid w:val="00010AEB"/>
    <w:rsid w:val="000117FD"/>
    <w:rsid w:val="00011B6C"/>
    <w:rsid w:val="00013676"/>
    <w:rsid w:val="00013AF8"/>
    <w:rsid w:val="00014193"/>
    <w:rsid w:val="000142CD"/>
    <w:rsid w:val="00014DF2"/>
    <w:rsid w:val="00014DF5"/>
    <w:rsid w:val="00015376"/>
    <w:rsid w:val="000160E5"/>
    <w:rsid w:val="00017065"/>
    <w:rsid w:val="00017CAA"/>
    <w:rsid w:val="00021518"/>
    <w:rsid w:val="00022DE0"/>
    <w:rsid w:val="00023F09"/>
    <w:rsid w:val="000248C3"/>
    <w:rsid w:val="0002581F"/>
    <w:rsid w:val="00025D39"/>
    <w:rsid w:val="00026BAB"/>
    <w:rsid w:val="000270C1"/>
    <w:rsid w:val="000274AE"/>
    <w:rsid w:val="0003067D"/>
    <w:rsid w:val="00030FAF"/>
    <w:rsid w:val="00031FC9"/>
    <w:rsid w:val="0003202C"/>
    <w:rsid w:val="00033184"/>
    <w:rsid w:val="000349E8"/>
    <w:rsid w:val="00037AD4"/>
    <w:rsid w:val="00037D23"/>
    <w:rsid w:val="000404A2"/>
    <w:rsid w:val="00041A97"/>
    <w:rsid w:val="00041C82"/>
    <w:rsid w:val="00041D7E"/>
    <w:rsid w:val="00042033"/>
    <w:rsid w:val="00042AA5"/>
    <w:rsid w:val="00044607"/>
    <w:rsid w:val="000459FB"/>
    <w:rsid w:val="000502F4"/>
    <w:rsid w:val="00051111"/>
    <w:rsid w:val="0005165D"/>
    <w:rsid w:val="00051836"/>
    <w:rsid w:val="0005202A"/>
    <w:rsid w:val="000522D7"/>
    <w:rsid w:val="00052561"/>
    <w:rsid w:val="00052C21"/>
    <w:rsid w:val="00054307"/>
    <w:rsid w:val="00054B1C"/>
    <w:rsid w:val="00054B7E"/>
    <w:rsid w:val="000550FA"/>
    <w:rsid w:val="000568C5"/>
    <w:rsid w:val="00057ED8"/>
    <w:rsid w:val="00057FAE"/>
    <w:rsid w:val="00060197"/>
    <w:rsid w:val="00060338"/>
    <w:rsid w:val="00061699"/>
    <w:rsid w:val="000623D6"/>
    <w:rsid w:val="00062CAE"/>
    <w:rsid w:val="00063652"/>
    <w:rsid w:val="00064695"/>
    <w:rsid w:val="00064997"/>
    <w:rsid w:val="00064BF4"/>
    <w:rsid w:val="00065306"/>
    <w:rsid w:val="000653B2"/>
    <w:rsid w:val="00065842"/>
    <w:rsid w:val="00066079"/>
    <w:rsid w:val="00066548"/>
    <w:rsid w:val="00066E9A"/>
    <w:rsid w:val="000704F2"/>
    <w:rsid w:val="00071085"/>
    <w:rsid w:val="000710FA"/>
    <w:rsid w:val="00071481"/>
    <w:rsid w:val="00074E1A"/>
    <w:rsid w:val="00075592"/>
    <w:rsid w:val="00075F6A"/>
    <w:rsid w:val="00077039"/>
    <w:rsid w:val="000776B1"/>
    <w:rsid w:val="000777A2"/>
    <w:rsid w:val="0007794F"/>
    <w:rsid w:val="00077B38"/>
    <w:rsid w:val="00080C2E"/>
    <w:rsid w:val="000815E0"/>
    <w:rsid w:val="0008258A"/>
    <w:rsid w:val="000826C2"/>
    <w:rsid w:val="0008293D"/>
    <w:rsid w:val="00082C0F"/>
    <w:rsid w:val="00083C2C"/>
    <w:rsid w:val="00085A45"/>
    <w:rsid w:val="00086750"/>
    <w:rsid w:val="000868CD"/>
    <w:rsid w:val="000872ED"/>
    <w:rsid w:val="000929B6"/>
    <w:rsid w:val="00092DCF"/>
    <w:rsid w:val="00092EC4"/>
    <w:rsid w:val="00093EE8"/>
    <w:rsid w:val="0009450A"/>
    <w:rsid w:val="00096BBE"/>
    <w:rsid w:val="00096BF3"/>
    <w:rsid w:val="00096EB4"/>
    <w:rsid w:val="0009717B"/>
    <w:rsid w:val="00097334"/>
    <w:rsid w:val="000A0C2D"/>
    <w:rsid w:val="000A11EA"/>
    <w:rsid w:val="000A2781"/>
    <w:rsid w:val="000A33CB"/>
    <w:rsid w:val="000A38AF"/>
    <w:rsid w:val="000A3902"/>
    <w:rsid w:val="000A3EB6"/>
    <w:rsid w:val="000A3ECF"/>
    <w:rsid w:val="000A4304"/>
    <w:rsid w:val="000A4DE5"/>
    <w:rsid w:val="000A4E81"/>
    <w:rsid w:val="000A5061"/>
    <w:rsid w:val="000A5D75"/>
    <w:rsid w:val="000A60B8"/>
    <w:rsid w:val="000A6414"/>
    <w:rsid w:val="000A6B75"/>
    <w:rsid w:val="000A6C6F"/>
    <w:rsid w:val="000B00E0"/>
    <w:rsid w:val="000B0309"/>
    <w:rsid w:val="000B10B6"/>
    <w:rsid w:val="000B1A7F"/>
    <w:rsid w:val="000B1D0F"/>
    <w:rsid w:val="000B1D84"/>
    <w:rsid w:val="000B1E8C"/>
    <w:rsid w:val="000B206E"/>
    <w:rsid w:val="000B21F1"/>
    <w:rsid w:val="000B2E78"/>
    <w:rsid w:val="000B3AF4"/>
    <w:rsid w:val="000B3FF3"/>
    <w:rsid w:val="000B40B9"/>
    <w:rsid w:val="000B4D7F"/>
    <w:rsid w:val="000B4F70"/>
    <w:rsid w:val="000B5480"/>
    <w:rsid w:val="000B7BF2"/>
    <w:rsid w:val="000C0958"/>
    <w:rsid w:val="000C188B"/>
    <w:rsid w:val="000C2117"/>
    <w:rsid w:val="000C24D3"/>
    <w:rsid w:val="000C2C62"/>
    <w:rsid w:val="000C2F53"/>
    <w:rsid w:val="000C3B20"/>
    <w:rsid w:val="000C50F5"/>
    <w:rsid w:val="000C6D8D"/>
    <w:rsid w:val="000C76AD"/>
    <w:rsid w:val="000D1F6C"/>
    <w:rsid w:val="000D3556"/>
    <w:rsid w:val="000D37DC"/>
    <w:rsid w:val="000D3D22"/>
    <w:rsid w:val="000D3D76"/>
    <w:rsid w:val="000D4DB4"/>
    <w:rsid w:val="000D57D6"/>
    <w:rsid w:val="000D58AD"/>
    <w:rsid w:val="000D70BC"/>
    <w:rsid w:val="000D74E7"/>
    <w:rsid w:val="000D7C1A"/>
    <w:rsid w:val="000E0E78"/>
    <w:rsid w:val="000E1050"/>
    <w:rsid w:val="000E19D2"/>
    <w:rsid w:val="000E25CC"/>
    <w:rsid w:val="000E2A3D"/>
    <w:rsid w:val="000E2F0F"/>
    <w:rsid w:val="000E446F"/>
    <w:rsid w:val="000E4B00"/>
    <w:rsid w:val="000E4EE5"/>
    <w:rsid w:val="000E50E9"/>
    <w:rsid w:val="000E54A2"/>
    <w:rsid w:val="000E5501"/>
    <w:rsid w:val="000E6CE9"/>
    <w:rsid w:val="000E7406"/>
    <w:rsid w:val="000F0A46"/>
    <w:rsid w:val="000F0F58"/>
    <w:rsid w:val="000F26CA"/>
    <w:rsid w:val="000F5F96"/>
    <w:rsid w:val="000F7334"/>
    <w:rsid w:val="0010012B"/>
    <w:rsid w:val="00100287"/>
    <w:rsid w:val="0010052C"/>
    <w:rsid w:val="001006FE"/>
    <w:rsid w:val="0010125C"/>
    <w:rsid w:val="00101FF1"/>
    <w:rsid w:val="001035DC"/>
    <w:rsid w:val="001048BF"/>
    <w:rsid w:val="00104AFA"/>
    <w:rsid w:val="00104C58"/>
    <w:rsid w:val="00105C56"/>
    <w:rsid w:val="00110035"/>
    <w:rsid w:val="00110969"/>
    <w:rsid w:val="00111739"/>
    <w:rsid w:val="00111E7C"/>
    <w:rsid w:val="00112D42"/>
    <w:rsid w:val="001131AE"/>
    <w:rsid w:val="00113A35"/>
    <w:rsid w:val="00114157"/>
    <w:rsid w:val="001149AD"/>
    <w:rsid w:val="00115DB5"/>
    <w:rsid w:val="001211B5"/>
    <w:rsid w:val="00121368"/>
    <w:rsid w:val="00121F45"/>
    <w:rsid w:val="001230D5"/>
    <w:rsid w:val="001244C2"/>
    <w:rsid w:val="001246DA"/>
    <w:rsid w:val="00124B6F"/>
    <w:rsid w:val="001255A9"/>
    <w:rsid w:val="00125750"/>
    <w:rsid w:val="00125AAA"/>
    <w:rsid w:val="00125B95"/>
    <w:rsid w:val="00125EED"/>
    <w:rsid w:val="001272BF"/>
    <w:rsid w:val="001278E4"/>
    <w:rsid w:val="00130045"/>
    <w:rsid w:val="00130278"/>
    <w:rsid w:val="001313C9"/>
    <w:rsid w:val="0013184D"/>
    <w:rsid w:val="0013295B"/>
    <w:rsid w:val="00132E33"/>
    <w:rsid w:val="001332E8"/>
    <w:rsid w:val="00133384"/>
    <w:rsid w:val="00133E33"/>
    <w:rsid w:val="00135028"/>
    <w:rsid w:val="001364DE"/>
    <w:rsid w:val="0013739D"/>
    <w:rsid w:val="0014187D"/>
    <w:rsid w:val="0014267E"/>
    <w:rsid w:val="0014459D"/>
    <w:rsid w:val="001445A7"/>
    <w:rsid w:val="00144E27"/>
    <w:rsid w:val="00145CCF"/>
    <w:rsid w:val="00145F94"/>
    <w:rsid w:val="00146750"/>
    <w:rsid w:val="0014781B"/>
    <w:rsid w:val="00150058"/>
    <w:rsid w:val="001505D1"/>
    <w:rsid w:val="00150756"/>
    <w:rsid w:val="001507C8"/>
    <w:rsid w:val="001508A6"/>
    <w:rsid w:val="00150C1D"/>
    <w:rsid w:val="00151B6E"/>
    <w:rsid w:val="00152BD0"/>
    <w:rsid w:val="0015317E"/>
    <w:rsid w:val="0015364D"/>
    <w:rsid w:val="001537AF"/>
    <w:rsid w:val="00153E95"/>
    <w:rsid w:val="001559E2"/>
    <w:rsid w:val="00156161"/>
    <w:rsid w:val="0016020A"/>
    <w:rsid w:val="00160B73"/>
    <w:rsid w:val="00161455"/>
    <w:rsid w:val="00162341"/>
    <w:rsid w:val="00163822"/>
    <w:rsid w:val="001648B2"/>
    <w:rsid w:val="00165196"/>
    <w:rsid w:val="001655CF"/>
    <w:rsid w:val="0016761D"/>
    <w:rsid w:val="00167626"/>
    <w:rsid w:val="00170D76"/>
    <w:rsid w:val="0017112A"/>
    <w:rsid w:val="00172364"/>
    <w:rsid w:val="001726C5"/>
    <w:rsid w:val="001735D8"/>
    <w:rsid w:val="0017426E"/>
    <w:rsid w:val="00176421"/>
    <w:rsid w:val="0017738A"/>
    <w:rsid w:val="001774C8"/>
    <w:rsid w:val="00177F08"/>
    <w:rsid w:val="00177F8C"/>
    <w:rsid w:val="00180323"/>
    <w:rsid w:val="00180720"/>
    <w:rsid w:val="00181EE8"/>
    <w:rsid w:val="00182D30"/>
    <w:rsid w:val="0018316A"/>
    <w:rsid w:val="001837A6"/>
    <w:rsid w:val="00183A28"/>
    <w:rsid w:val="00184ED3"/>
    <w:rsid w:val="00185438"/>
    <w:rsid w:val="00187BD2"/>
    <w:rsid w:val="00187C02"/>
    <w:rsid w:val="00187F73"/>
    <w:rsid w:val="00190317"/>
    <w:rsid w:val="00192593"/>
    <w:rsid w:val="00192B09"/>
    <w:rsid w:val="00192BE7"/>
    <w:rsid w:val="0019361D"/>
    <w:rsid w:val="00194670"/>
    <w:rsid w:val="00194B11"/>
    <w:rsid w:val="00194D12"/>
    <w:rsid w:val="00194DFD"/>
    <w:rsid w:val="0019581F"/>
    <w:rsid w:val="00195D62"/>
    <w:rsid w:val="00196DD8"/>
    <w:rsid w:val="001A0FC2"/>
    <w:rsid w:val="001A13A0"/>
    <w:rsid w:val="001A13BA"/>
    <w:rsid w:val="001A13F7"/>
    <w:rsid w:val="001A226F"/>
    <w:rsid w:val="001A25B4"/>
    <w:rsid w:val="001A2DD8"/>
    <w:rsid w:val="001A2F9C"/>
    <w:rsid w:val="001A312D"/>
    <w:rsid w:val="001A3599"/>
    <w:rsid w:val="001A384F"/>
    <w:rsid w:val="001A55E6"/>
    <w:rsid w:val="001B0130"/>
    <w:rsid w:val="001B0FCA"/>
    <w:rsid w:val="001B0FCF"/>
    <w:rsid w:val="001B153D"/>
    <w:rsid w:val="001B190A"/>
    <w:rsid w:val="001B22F2"/>
    <w:rsid w:val="001B2979"/>
    <w:rsid w:val="001B42D1"/>
    <w:rsid w:val="001B4BCE"/>
    <w:rsid w:val="001B4C51"/>
    <w:rsid w:val="001B5124"/>
    <w:rsid w:val="001B58BA"/>
    <w:rsid w:val="001B5FBE"/>
    <w:rsid w:val="001C0EB8"/>
    <w:rsid w:val="001C1907"/>
    <w:rsid w:val="001C26AB"/>
    <w:rsid w:val="001C2B22"/>
    <w:rsid w:val="001C41DB"/>
    <w:rsid w:val="001C5A5B"/>
    <w:rsid w:val="001C5BD1"/>
    <w:rsid w:val="001C77B6"/>
    <w:rsid w:val="001D0037"/>
    <w:rsid w:val="001D16FA"/>
    <w:rsid w:val="001D1AED"/>
    <w:rsid w:val="001D2F21"/>
    <w:rsid w:val="001D2FC9"/>
    <w:rsid w:val="001D42A8"/>
    <w:rsid w:val="001D43CD"/>
    <w:rsid w:val="001D4A6A"/>
    <w:rsid w:val="001D7042"/>
    <w:rsid w:val="001D7439"/>
    <w:rsid w:val="001D746A"/>
    <w:rsid w:val="001E081A"/>
    <w:rsid w:val="001E08AD"/>
    <w:rsid w:val="001E1782"/>
    <w:rsid w:val="001E4376"/>
    <w:rsid w:val="001E5B69"/>
    <w:rsid w:val="001E5F73"/>
    <w:rsid w:val="001E7141"/>
    <w:rsid w:val="001E7446"/>
    <w:rsid w:val="001E7755"/>
    <w:rsid w:val="001E7B75"/>
    <w:rsid w:val="001F0394"/>
    <w:rsid w:val="001F05CE"/>
    <w:rsid w:val="001F14A5"/>
    <w:rsid w:val="001F17F2"/>
    <w:rsid w:val="001F2665"/>
    <w:rsid w:val="001F3C03"/>
    <w:rsid w:val="001F5172"/>
    <w:rsid w:val="001F5CD5"/>
    <w:rsid w:val="001F6130"/>
    <w:rsid w:val="001F6CCE"/>
    <w:rsid w:val="001F74D8"/>
    <w:rsid w:val="00201772"/>
    <w:rsid w:val="00202F3E"/>
    <w:rsid w:val="002049DB"/>
    <w:rsid w:val="002064E2"/>
    <w:rsid w:val="00207D74"/>
    <w:rsid w:val="002101DC"/>
    <w:rsid w:val="00211111"/>
    <w:rsid w:val="002112A3"/>
    <w:rsid w:val="002122CA"/>
    <w:rsid w:val="002134A2"/>
    <w:rsid w:val="00213C05"/>
    <w:rsid w:val="00215CD6"/>
    <w:rsid w:val="0021644D"/>
    <w:rsid w:val="00216CB4"/>
    <w:rsid w:val="0021719C"/>
    <w:rsid w:val="002179C3"/>
    <w:rsid w:val="00220A2B"/>
    <w:rsid w:val="00220CA6"/>
    <w:rsid w:val="002211AE"/>
    <w:rsid w:val="00223527"/>
    <w:rsid w:val="00223BFC"/>
    <w:rsid w:val="00224C6B"/>
    <w:rsid w:val="00224D02"/>
    <w:rsid w:val="00226542"/>
    <w:rsid w:val="00227014"/>
    <w:rsid w:val="0022787B"/>
    <w:rsid w:val="00230C08"/>
    <w:rsid w:val="00232076"/>
    <w:rsid w:val="002336BA"/>
    <w:rsid w:val="00235CCF"/>
    <w:rsid w:val="0023639A"/>
    <w:rsid w:val="00236E76"/>
    <w:rsid w:val="00236FBF"/>
    <w:rsid w:val="002378D5"/>
    <w:rsid w:val="00237E22"/>
    <w:rsid w:val="0024078F"/>
    <w:rsid w:val="00242C95"/>
    <w:rsid w:val="00243819"/>
    <w:rsid w:val="0024398A"/>
    <w:rsid w:val="0024549D"/>
    <w:rsid w:val="002454F5"/>
    <w:rsid w:val="00245557"/>
    <w:rsid w:val="00245D29"/>
    <w:rsid w:val="00247273"/>
    <w:rsid w:val="00247AA6"/>
    <w:rsid w:val="00250070"/>
    <w:rsid w:val="00251A3D"/>
    <w:rsid w:val="00253BFC"/>
    <w:rsid w:val="00254960"/>
    <w:rsid w:val="00254E93"/>
    <w:rsid w:val="00254F41"/>
    <w:rsid w:val="00254F83"/>
    <w:rsid w:val="00255750"/>
    <w:rsid w:val="002567D4"/>
    <w:rsid w:val="002567E7"/>
    <w:rsid w:val="0026001C"/>
    <w:rsid w:val="00260C0D"/>
    <w:rsid w:val="00260F03"/>
    <w:rsid w:val="00262F59"/>
    <w:rsid w:val="00263462"/>
    <w:rsid w:val="002634E9"/>
    <w:rsid w:val="00263B9B"/>
    <w:rsid w:val="00263CD8"/>
    <w:rsid w:val="0026484C"/>
    <w:rsid w:val="00264A7E"/>
    <w:rsid w:val="00267A50"/>
    <w:rsid w:val="00270C1A"/>
    <w:rsid w:val="00270CE0"/>
    <w:rsid w:val="00270D79"/>
    <w:rsid w:val="00271410"/>
    <w:rsid w:val="002714F8"/>
    <w:rsid w:val="00271D72"/>
    <w:rsid w:val="00272C47"/>
    <w:rsid w:val="002734F2"/>
    <w:rsid w:val="0027509D"/>
    <w:rsid w:val="00275B4E"/>
    <w:rsid w:val="002779AE"/>
    <w:rsid w:val="00280347"/>
    <w:rsid w:val="002826C9"/>
    <w:rsid w:val="0028362E"/>
    <w:rsid w:val="00283C80"/>
    <w:rsid w:val="00284235"/>
    <w:rsid w:val="002860B1"/>
    <w:rsid w:val="002862C7"/>
    <w:rsid w:val="0028672D"/>
    <w:rsid w:val="00286A61"/>
    <w:rsid w:val="00287AC1"/>
    <w:rsid w:val="00290726"/>
    <w:rsid w:val="00290B60"/>
    <w:rsid w:val="00291EE7"/>
    <w:rsid w:val="00293ED7"/>
    <w:rsid w:val="00294974"/>
    <w:rsid w:val="002A01DD"/>
    <w:rsid w:val="002A0276"/>
    <w:rsid w:val="002A0B17"/>
    <w:rsid w:val="002A0D1D"/>
    <w:rsid w:val="002A1786"/>
    <w:rsid w:val="002A1835"/>
    <w:rsid w:val="002A3FD6"/>
    <w:rsid w:val="002A4716"/>
    <w:rsid w:val="002A4B77"/>
    <w:rsid w:val="002A5684"/>
    <w:rsid w:val="002A615A"/>
    <w:rsid w:val="002A6DD4"/>
    <w:rsid w:val="002A77A7"/>
    <w:rsid w:val="002B03B6"/>
    <w:rsid w:val="002B12BE"/>
    <w:rsid w:val="002B181E"/>
    <w:rsid w:val="002B2072"/>
    <w:rsid w:val="002B215B"/>
    <w:rsid w:val="002B37C5"/>
    <w:rsid w:val="002B6ACA"/>
    <w:rsid w:val="002B7354"/>
    <w:rsid w:val="002C043B"/>
    <w:rsid w:val="002C056A"/>
    <w:rsid w:val="002C0D84"/>
    <w:rsid w:val="002C1A8F"/>
    <w:rsid w:val="002C1FD6"/>
    <w:rsid w:val="002C2424"/>
    <w:rsid w:val="002C3189"/>
    <w:rsid w:val="002C3821"/>
    <w:rsid w:val="002C3D03"/>
    <w:rsid w:val="002C3F14"/>
    <w:rsid w:val="002C5560"/>
    <w:rsid w:val="002C5B49"/>
    <w:rsid w:val="002C637F"/>
    <w:rsid w:val="002C6E2C"/>
    <w:rsid w:val="002C6FDD"/>
    <w:rsid w:val="002C7CB4"/>
    <w:rsid w:val="002D2DED"/>
    <w:rsid w:val="002D3309"/>
    <w:rsid w:val="002D39C1"/>
    <w:rsid w:val="002D4909"/>
    <w:rsid w:val="002D5512"/>
    <w:rsid w:val="002D5DF6"/>
    <w:rsid w:val="002D6A25"/>
    <w:rsid w:val="002E086A"/>
    <w:rsid w:val="002E0E28"/>
    <w:rsid w:val="002E1155"/>
    <w:rsid w:val="002E3699"/>
    <w:rsid w:val="002E387E"/>
    <w:rsid w:val="002E3A66"/>
    <w:rsid w:val="002E3AFF"/>
    <w:rsid w:val="002E4C02"/>
    <w:rsid w:val="002E6B1C"/>
    <w:rsid w:val="002E7002"/>
    <w:rsid w:val="002F07FE"/>
    <w:rsid w:val="002F0AEC"/>
    <w:rsid w:val="002F1278"/>
    <w:rsid w:val="002F1623"/>
    <w:rsid w:val="002F26E2"/>
    <w:rsid w:val="002F2843"/>
    <w:rsid w:val="002F2E00"/>
    <w:rsid w:val="002F346C"/>
    <w:rsid w:val="002F3A94"/>
    <w:rsid w:val="002F4016"/>
    <w:rsid w:val="002F52D7"/>
    <w:rsid w:val="003005A9"/>
    <w:rsid w:val="003007F8"/>
    <w:rsid w:val="0030097D"/>
    <w:rsid w:val="00301680"/>
    <w:rsid w:val="00301C83"/>
    <w:rsid w:val="0030391C"/>
    <w:rsid w:val="00304714"/>
    <w:rsid w:val="003052A4"/>
    <w:rsid w:val="003060AA"/>
    <w:rsid w:val="003071D1"/>
    <w:rsid w:val="00307DE2"/>
    <w:rsid w:val="00310035"/>
    <w:rsid w:val="00310443"/>
    <w:rsid w:val="00310C28"/>
    <w:rsid w:val="00310C48"/>
    <w:rsid w:val="003117DF"/>
    <w:rsid w:val="003117E8"/>
    <w:rsid w:val="00311A3C"/>
    <w:rsid w:val="00311E50"/>
    <w:rsid w:val="003124B6"/>
    <w:rsid w:val="00312795"/>
    <w:rsid w:val="003127E7"/>
    <w:rsid w:val="00313860"/>
    <w:rsid w:val="00314131"/>
    <w:rsid w:val="003149FC"/>
    <w:rsid w:val="00314B6F"/>
    <w:rsid w:val="00314D00"/>
    <w:rsid w:val="003156C9"/>
    <w:rsid w:val="003157A4"/>
    <w:rsid w:val="003172D1"/>
    <w:rsid w:val="003174F0"/>
    <w:rsid w:val="00317900"/>
    <w:rsid w:val="00320CB8"/>
    <w:rsid w:val="00320D69"/>
    <w:rsid w:val="00320FA1"/>
    <w:rsid w:val="00321BFD"/>
    <w:rsid w:val="00321D52"/>
    <w:rsid w:val="0032229F"/>
    <w:rsid w:val="003231C0"/>
    <w:rsid w:val="003232BE"/>
    <w:rsid w:val="003232F4"/>
    <w:rsid w:val="00323AB9"/>
    <w:rsid w:val="00323BC6"/>
    <w:rsid w:val="00324166"/>
    <w:rsid w:val="00324620"/>
    <w:rsid w:val="0032475A"/>
    <w:rsid w:val="00324C8B"/>
    <w:rsid w:val="00324FE2"/>
    <w:rsid w:val="00325173"/>
    <w:rsid w:val="00325696"/>
    <w:rsid w:val="00326D0B"/>
    <w:rsid w:val="003305FC"/>
    <w:rsid w:val="00331031"/>
    <w:rsid w:val="00331105"/>
    <w:rsid w:val="003320F1"/>
    <w:rsid w:val="0033238B"/>
    <w:rsid w:val="003325AB"/>
    <w:rsid w:val="00333988"/>
    <w:rsid w:val="00334A9B"/>
    <w:rsid w:val="00336755"/>
    <w:rsid w:val="0033742E"/>
    <w:rsid w:val="0033768C"/>
    <w:rsid w:val="00337C47"/>
    <w:rsid w:val="003401FC"/>
    <w:rsid w:val="0034042F"/>
    <w:rsid w:val="00340C1F"/>
    <w:rsid w:val="00342C93"/>
    <w:rsid w:val="00343167"/>
    <w:rsid w:val="003435BB"/>
    <w:rsid w:val="003451AC"/>
    <w:rsid w:val="00345E2B"/>
    <w:rsid w:val="00347235"/>
    <w:rsid w:val="00352B02"/>
    <w:rsid w:val="003538DF"/>
    <w:rsid w:val="00353A2A"/>
    <w:rsid w:val="00355470"/>
    <w:rsid w:val="00355AFF"/>
    <w:rsid w:val="00355E91"/>
    <w:rsid w:val="0035644F"/>
    <w:rsid w:val="00356634"/>
    <w:rsid w:val="003571BD"/>
    <w:rsid w:val="00360783"/>
    <w:rsid w:val="00361E18"/>
    <w:rsid w:val="00364950"/>
    <w:rsid w:val="003653E2"/>
    <w:rsid w:val="00365DC5"/>
    <w:rsid w:val="00366639"/>
    <w:rsid w:val="00367709"/>
    <w:rsid w:val="00370782"/>
    <w:rsid w:val="00371144"/>
    <w:rsid w:val="00371412"/>
    <w:rsid w:val="00371B0D"/>
    <w:rsid w:val="00371D73"/>
    <w:rsid w:val="00372D28"/>
    <w:rsid w:val="00373068"/>
    <w:rsid w:val="0037326E"/>
    <w:rsid w:val="00373437"/>
    <w:rsid w:val="0037405D"/>
    <w:rsid w:val="0037684F"/>
    <w:rsid w:val="00376ADC"/>
    <w:rsid w:val="003774ED"/>
    <w:rsid w:val="00377585"/>
    <w:rsid w:val="00377E02"/>
    <w:rsid w:val="003805A3"/>
    <w:rsid w:val="00380671"/>
    <w:rsid w:val="00380E4F"/>
    <w:rsid w:val="003820A5"/>
    <w:rsid w:val="0038249A"/>
    <w:rsid w:val="00382F38"/>
    <w:rsid w:val="00382FF5"/>
    <w:rsid w:val="00383010"/>
    <w:rsid w:val="003832AC"/>
    <w:rsid w:val="0038440D"/>
    <w:rsid w:val="003859E1"/>
    <w:rsid w:val="003861AC"/>
    <w:rsid w:val="00386456"/>
    <w:rsid w:val="0038741D"/>
    <w:rsid w:val="00387BBB"/>
    <w:rsid w:val="00390978"/>
    <w:rsid w:val="00391A50"/>
    <w:rsid w:val="003924B6"/>
    <w:rsid w:val="003927E6"/>
    <w:rsid w:val="0039401B"/>
    <w:rsid w:val="00394067"/>
    <w:rsid w:val="00394D58"/>
    <w:rsid w:val="00396140"/>
    <w:rsid w:val="0039635D"/>
    <w:rsid w:val="0039697D"/>
    <w:rsid w:val="00396B65"/>
    <w:rsid w:val="00396C0E"/>
    <w:rsid w:val="003976E1"/>
    <w:rsid w:val="003A0BF3"/>
    <w:rsid w:val="003A1FB7"/>
    <w:rsid w:val="003A1FE0"/>
    <w:rsid w:val="003A32FD"/>
    <w:rsid w:val="003A46BB"/>
    <w:rsid w:val="003A5704"/>
    <w:rsid w:val="003A6B41"/>
    <w:rsid w:val="003A75CC"/>
    <w:rsid w:val="003B029C"/>
    <w:rsid w:val="003B065C"/>
    <w:rsid w:val="003B142B"/>
    <w:rsid w:val="003B2055"/>
    <w:rsid w:val="003B270A"/>
    <w:rsid w:val="003B36D8"/>
    <w:rsid w:val="003B3977"/>
    <w:rsid w:val="003B6920"/>
    <w:rsid w:val="003B6E91"/>
    <w:rsid w:val="003B7172"/>
    <w:rsid w:val="003C0BFC"/>
    <w:rsid w:val="003C2123"/>
    <w:rsid w:val="003C27C5"/>
    <w:rsid w:val="003C3A0E"/>
    <w:rsid w:val="003C3BE0"/>
    <w:rsid w:val="003C3BEE"/>
    <w:rsid w:val="003C3C05"/>
    <w:rsid w:val="003C4643"/>
    <w:rsid w:val="003C46BE"/>
    <w:rsid w:val="003C5300"/>
    <w:rsid w:val="003C5566"/>
    <w:rsid w:val="003C562E"/>
    <w:rsid w:val="003C65AC"/>
    <w:rsid w:val="003C691B"/>
    <w:rsid w:val="003D1EA9"/>
    <w:rsid w:val="003D2700"/>
    <w:rsid w:val="003D2A72"/>
    <w:rsid w:val="003D5DCF"/>
    <w:rsid w:val="003D6BDF"/>
    <w:rsid w:val="003D7BFB"/>
    <w:rsid w:val="003E03D5"/>
    <w:rsid w:val="003E2241"/>
    <w:rsid w:val="003E2D5D"/>
    <w:rsid w:val="003E5EC3"/>
    <w:rsid w:val="003E64B5"/>
    <w:rsid w:val="003E76AA"/>
    <w:rsid w:val="003F1AB8"/>
    <w:rsid w:val="003F1B3C"/>
    <w:rsid w:val="003F1B97"/>
    <w:rsid w:val="003F1CC7"/>
    <w:rsid w:val="003F1DDC"/>
    <w:rsid w:val="003F2334"/>
    <w:rsid w:val="003F2428"/>
    <w:rsid w:val="003F2D0D"/>
    <w:rsid w:val="003F35C8"/>
    <w:rsid w:val="003F3CB1"/>
    <w:rsid w:val="003F499C"/>
    <w:rsid w:val="003F4A61"/>
    <w:rsid w:val="003F6CC3"/>
    <w:rsid w:val="003F6D27"/>
    <w:rsid w:val="00401386"/>
    <w:rsid w:val="0040145B"/>
    <w:rsid w:val="0040236C"/>
    <w:rsid w:val="00402BC9"/>
    <w:rsid w:val="00403354"/>
    <w:rsid w:val="004034D4"/>
    <w:rsid w:val="004035F5"/>
    <w:rsid w:val="00403FF0"/>
    <w:rsid w:val="0040404B"/>
    <w:rsid w:val="004040F2"/>
    <w:rsid w:val="00404B11"/>
    <w:rsid w:val="00410217"/>
    <w:rsid w:val="004110E9"/>
    <w:rsid w:val="00411146"/>
    <w:rsid w:val="004111CA"/>
    <w:rsid w:val="00411796"/>
    <w:rsid w:val="00412987"/>
    <w:rsid w:val="00413903"/>
    <w:rsid w:val="004141B8"/>
    <w:rsid w:val="00415091"/>
    <w:rsid w:val="004151BC"/>
    <w:rsid w:val="00416B04"/>
    <w:rsid w:val="00417199"/>
    <w:rsid w:val="00417251"/>
    <w:rsid w:val="00420344"/>
    <w:rsid w:val="004203B1"/>
    <w:rsid w:val="00420CA6"/>
    <w:rsid w:val="00420D3A"/>
    <w:rsid w:val="00421179"/>
    <w:rsid w:val="00421552"/>
    <w:rsid w:val="00422278"/>
    <w:rsid w:val="00422AC5"/>
    <w:rsid w:val="004236F5"/>
    <w:rsid w:val="00424509"/>
    <w:rsid w:val="00426308"/>
    <w:rsid w:val="00427392"/>
    <w:rsid w:val="004279FF"/>
    <w:rsid w:val="00431DC5"/>
    <w:rsid w:val="004327BC"/>
    <w:rsid w:val="00432DC1"/>
    <w:rsid w:val="0043388F"/>
    <w:rsid w:val="00434ABE"/>
    <w:rsid w:val="00434D02"/>
    <w:rsid w:val="00435407"/>
    <w:rsid w:val="00436633"/>
    <w:rsid w:val="0043684D"/>
    <w:rsid w:val="0043698A"/>
    <w:rsid w:val="00436EC5"/>
    <w:rsid w:val="00437A23"/>
    <w:rsid w:val="00437B04"/>
    <w:rsid w:val="00437CFD"/>
    <w:rsid w:val="004409D9"/>
    <w:rsid w:val="00440D6C"/>
    <w:rsid w:val="00440F45"/>
    <w:rsid w:val="00441160"/>
    <w:rsid w:val="00441945"/>
    <w:rsid w:val="00441DF4"/>
    <w:rsid w:val="00442D92"/>
    <w:rsid w:val="00443347"/>
    <w:rsid w:val="0044404A"/>
    <w:rsid w:val="00444955"/>
    <w:rsid w:val="004455F4"/>
    <w:rsid w:val="00445BE9"/>
    <w:rsid w:val="00446521"/>
    <w:rsid w:val="00446E8C"/>
    <w:rsid w:val="00447969"/>
    <w:rsid w:val="00447D7C"/>
    <w:rsid w:val="00450484"/>
    <w:rsid w:val="004510BE"/>
    <w:rsid w:val="00451275"/>
    <w:rsid w:val="004514C8"/>
    <w:rsid w:val="00451763"/>
    <w:rsid w:val="00453972"/>
    <w:rsid w:val="00454098"/>
    <w:rsid w:val="00454A8B"/>
    <w:rsid w:val="0045565C"/>
    <w:rsid w:val="004568BC"/>
    <w:rsid w:val="00460580"/>
    <w:rsid w:val="004614F2"/>
    <w:rsid w:val="004616B6"/>
    <w:rsid w:val="00462EED"/>
    <w:rsid w:val="00463083"/>
    <w:rsid w:val="0046311E"/>
    <w:rsid w:val="0046410E"/>
    <w:rsid w:val="004649EF"/>
    <w:rsid w:val="00465761"/>
    <w:rsid w:val="00465AC9"/>
    <w:rsid w:val="00466557"/>
    <w:rsid w:val="0047064B"/>
    <w:rsid w:val="00470FF3"/>
    <w:rsid w:val="00471A02"/>
    <w:rsid w:val="00472CE5"/>
    <w:rsid w:val="004754C9"/>
    <w:rsid w:val="004757CC"/>
    <w:rsid w:val="00477461"/>
    <w:rsid w:val="00480F9B"/>
    <w:rsid w:val="004815A5"/>
    <w:rsid w:val="00481703"/>
    <w:rsid w:val="0048223A"/>
    <w:rsid w:val="0048271C"/>
    <w:rsid w:val="00482A6B"/>
    <w:rsid w:val="00482D87"/>
    <w:rsid w:val="00483658"/>
    <w:rsid w:val="004838E3"/>
    <w:rsid w:val="00483DA4"/>
    <w:rsid w:val="004840D0"/>
    <w:rsid w:val="0048470A"/>
    <w:rsid w:val="00484989"/>
    <w:rsid w:val="00484D2F"/>
    <w:rsid w:val="00485510"/>
    <w:rsid w:val="004873FF"/>
    <w:rsid w:val="004877F1"/>
    <w:rsid w:val="00487919"/>
    <w:rsid w:val="00487D54"/>
    <w:rsid w:val="004903DA"/>
    <w:rsid w:val="004920B6"/>
    <w:rsid w:val="00492196"/>
    <w:rsid w:val="004927D8"/>
    <w:rsid w:val="0049304A"/>
    <w:rsid w:val="0049466F"/>
    <w:rsid w:val="00494E4B"/>
    <w:rsid w:val="00497278"/>
    <w:rsid w:val="004A33A7"/>
    <w:rsid w:val="004A4D56"/>
    <w:rsid w:val="004A645A"/>
    <w:rsid w:val="004A6F29"/>
    <w:rsid w:val="004A7856"/>
    <w:rsid w:val="004B11A9"/>
    <w:rsid w:val="004B1BB5"/>
    <w:rsid w:val="004B2238"/>
    <w:rsid w:val="004B25B2"/>
    <w:rsid w:val="004B5F36"/>
    <w:rsid w:val="004B70D1"/>
    <w:rsid w:val="004B75AD"/>
    <w:rsid w:val="004B7A1E"/>
    <w:rsid w:val="004C1CF6"/>
    <w:rsid w:val="004C2071"/>
    <w:rsid w:val="004C2E54"/>
    <w:rsid w:val="004C3D88"/>
    <w:rsid w:val="004C60E9"/>
    <w:rsid w:val="004C6646"/>
    <w:rsid w:val="004C69F4"/>
    <w:rsid w:val="004C6E21"/>
    <w:rsid w:val="004C7024"/>
    <w:rsid w:val="004D0935"/>
    <w:rsid w:val="004D0DA0"/>
    <w:rsid w:val="004D3766"/>
    <w:rsid w:val="004D40FF"/>
    <w:rsid w:val="004D419A"/>
    <w:rsid w:val="004D569A"/>
    <w:rsid w:val="004D63A7"/>
    <w:rsid w:val="004E0401"/>
    <w:rsid w:val="004E0480"/>
    <w:rsid w:val="004E1F23"/>
    <w:rsid w:val="004E29EE"/>
    <w:rsid w:val="004E3336"/>
    <w:rsid w:val="004E393B"/>
    <w:rsid w:val="004E4910"/>
    <w:rsid w:val="004E5758"/>
    <w:rsid w:val="004E5844"/>
    <w:rsid w:val="004E5B6E"/>
    <w:rsid w:val="004E60F8"/>
    <w:rsid w:val="004E63D6"/>
    <w:rsid w:val="004E6625"/>
    <w:rsid w:val="004F0C3F"/>
    <w:rsid w:val="004F0DAD"/>
    <w:rsid w:val="004F0E74"/>
    <w:rsid w:val="004F119C"/>
    <w:rsid w:val="004F185E"/>
    <w:rsid w:val="004F1A40"/>
    <w:rsid w:val="004F1B00"/>
    <w:rsid w:val="004F307A"/>
    <w:rsid w:val="004F3398"/>
    <w:rsid w:val="004F5D5A"/>
    <w:rsid w:val="004F6533"/>
    <w:rsid w:val="004F6A46"/>
    <w:rsid w:val="004F791A"/>
    <w:rsid w:val="004F79BE"/>
    <w:rsid w:val="004F7B4A"/>
    <w:rsid w:val="0050063C"/>
    <w:rsid w:val="00500F78"/>
    <w:rsid w:val="00502A12"/>
    <w:rsid w:val="00503D60"/>
    <w:rsid w:val="0050408D"/>
    <w:rsid w:val="005075F8"/>
    <w:rsid w:val="00507D2A"/>
    <w:rsid w:val="00507EB8"/>
    <w:rsid w:val="00510EA7"/>
    <w:rsid w:val="00512A98"/>
    <w:rsid w:val="00512FEF"/>
    <w:rsid w:val="005131E5"/>
    <w:rsid w:val="00515403"/>
    <w:rsid w:val="005158D5"/>
    <w:rsid w:val="005167BF"/>
    <w:rsid w:val="00517096"/>
    <w:rsid w:val="005172D7"/>
    <w:rsid w:val="00517622"/>
    <w:rsid w:val="00520F60"/>
    <w:rsid w:val="00522AC1"/>
    <w:rsid w:val="005230D9"/>
    <w:rsid w:val="00523274"/>
    <w:rsid w:val="0052424C"/>
    <w:rsid w:val="005253A8"/>
    <w:rsid w:val="005253AB"/>
    <w:rsid w:val="00525433"/>
    <w:rsid w:val="00525B47"/>
    <w:rsid w:val="00525EE7"/>
    <w:rsid w:val="00526B94"/>
    <w:rsid w:val="005274CF"/>
    <w:rsid w:val="00530D31"/>
    <w:rsid w:val="00530FE9"/>
    <w:rsid w:val="00531176"/>
    <w:rsid w:val="00531379"/>
    <w:rsid w:val="005319AE"/>
    <w:rsid w:val="00531AA5"/>
    <w:rsid w:val="00532CD6"/>
    <w:rsid w:val="0053321A"/>
    <w:rsid w:val="00533519"/>
    <w:rsid w:val="00533C8C"/>
    <w:rsid w:val="0053466A"/>
    <w:rsid w:val="005346EF"/>
    <w:rsid w:val="005348D4"/>
    <w:rsid w:val="00536C15"/>
    <w:rsid w:val="00536D36"/>
    <w:rsid w:val="00537107"/>
    <w:rsid w:val="005376FE"/>
    <w:rsid w:val="00537FFA"/>
    <w:rsid w:val="00540C82"/>
    <w:rsid w:val="00541544"/>
    <w:rsid w:val="00541D17"/>
    <w:rsid w:val="005430E6"/>
    <w:rsid w:val="005431FA"/>
    <w:rsid w:val="0054375D"/>
    <w:rsid w:val="005437D2"/>
    <w:rsid w:val="00543F64"/>
    <w:rsid w:val="00544348"/>
    <w:rsid w:val="005443E4"/>
    <w:rsid w:val="00544C19"/>
    <w:rsid w:val="005454B5"/>
    <w:rsid w:val="00545D41"/>
    <w:rsid w:val="00546A08"/>
    <w:rsid w:val="00547854"/>
    <w:rsid w:val="00547993"/>
    <w:rsid w:val="00547B17"/>
    <w:rsid w:val="00550074"/>
    <w:rsid w:val="005509B2"/>
    <w:rsid w:val="00550F50"/>
    <w:rsid w:val="0055118E"/>
    <w:rsid w:val="00551631"/>
    <w:rsid w:val="005523CE"/>
    <w:rsid w:val="00552968"/>
    <w:rsid w:val="00553D6C"/>
    <w:rsid w:val="00553E30"/>
    <w:rsid w:val="0055418D"/>
    <w:rsid w:val="00554C76"/>
    <w:rsid w:val="00554CAF"/>
    <w:rsid w:val="00556756"/>
    <w:rsid w:val="00556AA2"/>
    <w:rsid w:val="005575B2"/>
    <w:rsid w:val="005576D7"/>
    <w:rsid w:val="00560EB4"/>
    <w:rsid w:val="00561EE1"/>
    <w:rsid w:val="0056278E"/>
    <w:rsid w:val="005633B9"/>
    <w:rsid w:val="0056348C"/>
    <w:rsid w:val="00563CF7"/>
    <w:rsid w:val="00564026"/>
    <w:rsid w:val="0056427D"/>
    <w:rsid w:val="00564B48"/>
    <w:rsid w:val="0056571D"/>
    <w:rsid w:val="0056695D"/>
    <w:rsid w:val="00570FE1"/>
    <w:rsid w:val="00571AA7"/>
    <w:rsid w:val="00573071"/>
    <w:rsid w:val="005731E9"/>
    <w:rsid w:val="00574FDE"/>
    <w:rsid w:val="00575475"/>
    <w:rsid w:val="00575F4F"/>
    <w:rsid w:val="005763E6"/>
    <w:rsid w:val="00577106"/>
    <w:rsid w:val="005771C0"/>
    <w:rsid w:val="005773EA"/>
    <w:rsid w:val="00580505"/>
    <w:rsid w:val="005805B6"/>
    <w:rsid w:val="0058061F"/>
    <w:rsid w:val="0058090A"/>
    <w:rsid w:val="00580B38"/>
    <w:rsid w:val="00581E13"/>
    <w:rsid w:val="00583A1D"/>
    <w:rsid w:val="00585134"/>
    <w:rsid w:val="00585792"/>
    <w:rsid w:val="005868C4"/>
    <w:rsid w:val="005871F9"/>
    <w:rsid w:val="00591833"/>
    <w:rsid w:val="00591C2A"/>
    <w:rsid w:val="005926AE"/>
    <w:rsid w:val="00593C83"/>
    <w:rsid w:val="00593DFE"/>
    <w:rsid w:val="00594396"/>
    <w:rsid w:val="00594703"/>
    <w:rsid w:val="00594E7F"/>
    <w:rsid w:val="00594FAE"/>
    <w:rsid w:val="00595433"/>
    <w:rsid w:val="00595D61"/>
    <w:rsid w:val="0059653E"/>
    <w:rsid w:val="00596A90"/>
    <w:rsid w:val="00596D34"/>
    <w:rsid w:val="005A040E"/>
    <w:rsid w:val="005A0B47"/>
    <w:rsid w:val="005A0CF6"/>
    <w:rsid w:val="005A1F3E"/>
    <w:rsid w:val="005A20EE"/>
    <w:rsid w:val="005A25CB"/>
    <w:rsid w:val="005A2724"/>
    <w:rsid w:val="005A2745"/>
    <w:rsid w:val="005A3F10"/>
    <w:rsid w:val="005A423D"/>
    <w:rsid w:val="005A4DB5"/>
    <w:rsid w:val="005A5C5A"/>
    <w:rsid w:val="005A637B"/>
    <w:rsid w:val="005A6422"/>
    <w:rsid w:val="005A6B70"/>
    <w:rsid w:val="005A7017"/>
    <w:rsid w:val="005B054F"/>
    <w:rsid w:val="005B18F1"/>
    <w:rsid w:val="005B2DCC"/>
    <w:rsid w:val="005B388F"/>
    <w:rsid w:val="005B3BC3"/>
    <w:rsid w:val="005B3E26"/>
    <w:rsid w:val="005B3F1A"/>
    <w:rsid w:val="005B4BB3"/>
    <w:rsid w:val="005B565D"/>
    <w:rsid w:val="005B7C2C"/>
    <w:rsid w:val="005C033F"/>
    <w:rsid w:val="005C10D0"/>
    <w:rsid w:val="005C39A2"/>
    <w:rsid w:val="005C6C6C"/>
    <w:rsid w:val="005C77E7"/>
    <w:rsid w:val="005D02A6"/>
    <w:rsid w:val="005D02CB"/>
    <w:rsid w:val="005D04A9"/>
    <w:rsid w:val="005D05FD"/>
    <w:rsid w:val="005D0989"/>
    <w:rsid w:val="005D0A3B"/>
    <w:rsid w:val="005D0AA9"/>
    <w:rsid w:val="005D129D"/>
    <w:rsid w:val="005D156C"/>
    <w:rsid w:val="005D1571"/>
    <w:rsid w:val="005D1BC4"/>
    <w:rsid w:val="005D22E1"/>
    <w:rsid w:val="005D2782"/>
    <w:rsid w:val="005D3057"/>
    <w:rsid w:val="005D3CA2"/>
    <w:rsid w:val="005D46AA"/>
    <w:rsid w:val="005D6A3D"/>
    <w:rsid w:val="005D71D8"/>
    <w:rsid w:val="005D7F1D"/>
    <w:rsid w:val="005E08D7"/>
    <w:rsid w:val="005E0A3F"/>
    <w:rsid w:val="005E356F"/>
    <w:rsid w:val="005E4065"/>
    <w:rsid w:val="005E67CC"/>
    <w:rsid w:val="005E6FD1"/>
    <w:rsid w:val="005E7C0D"/>
    <w:rsid w:val="005F01A9"/>
    <w:rsid w:val="005F0BC3"/>
    <w:rsid w:val="005F241C"/>
    <w:rsid w:val="005F32E1"/>
    <w:rsid w:val="005F33A1"/>
    <w:rsid w:val="005F366C"/>
    <w:rsid w:val="005F39E6"/>
    <w:rsid w:val="005F4009"/>
    <w:rsid w:val="005F48A4"/>
    <w:rsid w:val="005F4DD7"/>
    <w:rsid w:val="005F52B9"/>
    <w:rsid w:val="005F56AD"/>
    <w:rsid w:val="005F63D8"/>
    <w:rsid w:val="005F6487"/>
    <w:rsid w:val="005F765C"/>
    <w:rsid w:val="006007E2"/>
    <w:rsid w:val="00600A0F"/>
    <w:rsid w:val="00601209"/>
    <w:rsid w:val="00601BEE"/>
    <w:rsid w:val="00601C08"/>
    <w:rsid w:val="00602FC9"/>
    <w:rsid w:val="006035B3"/>
    <w:rsid w:val="00603F16"/>
    <w:rsid w:val="00604A63"/>
    <w:rsid w:val="00604DC8"/>
    <w:rsid w:val="00605DF0"/>
    <w:rsid w:val="00607817"/>
    <w:rsid w:val="00611CAD"/>
    <w:rsid w:val="00611D93"/>
    <w:rsid w:val="00612195"/>
    <w:rsid w:val="0061225B"/>
    <w:rsid w:val="00612CCC"/>
    <w:rsid w:val="00612FFD"/>
    <w:rsid w:val="006131A5"/>
    <w:rsid w:val="00613345"/>
    <w:rsid w:val="00613AD3"/>
    <w:rsid w:val="00614CA4"/>
    <w:rsid w:val="00615403"/>
    <w:rsid w:val="00616782"/>
    <w:rsid w:val="00617208"/>
    <w:rsid w:val="0061765C"/>
    <w:rsid w:val="006210B3"/>
    <w:rsid w:val="00621A9E"/>
    <w:rsid w:val="00621ABD"/>
    <w:rsid w:val="00621FF3"/>
    <w:rsid w:val="00622B0E"/>
    <w:rsid w:val="00622F1B"/>
    <w:rsid w:val="00624DB2"/>
    <w:rsid w:val="006252F6"/>
    <w:rsid w:val="0062573F"/>
    <w:rsid w:val="006300EA"/>
    <w:rsid w:val="00630304"/>
    <w:rsid w:val="00630503"/>
    <w:rsid w:val="006306F9"/>
    <w:rsid w:val="00631293"/>
    <w:rsid w:val="0063283A"/>
    <w:rsid w:val="006337FA"/>
    <w:rsid w:val="00633ABA"/>
    <w:rsid w:val="006340C5"/>
    <w:rsid w:val="00634760"/>
    <w:rsid w:val="00634A73"/>
    <w:rsid w:val="00635D67"/>
    <w:rsid w:val="00636553"/>
    <w:rsid w:val="00636915"/>
    <w:rsid w:val="00640144"/>
    <w:rsid w:val="006407E5"/>
    <w:rsid w:val="00640ACD"/>
    <w:rsid w:val="00641B02"/>
    <w:rsid w:val="006422FA"/>
    <w:rsid w:val="006427AE"/>
    <w:rsid w:val="006438D7"/>
    <w:rsid w:val="0064587B"/>
    <w:rsid w:val="00646F6B"/>
    <w:rsid w:val="006477EE"/>
    <w:rsid w:val="00647B06"/>
    <w:rsid w:val="00650470"/>
    <w:rsid w:val="0065063F"/>
    <w:rsid w:val="00650916"/>
    <w:rsid w:val="00652AAA"/>
    <w:rsid w:val="00652CFB"/>
    <w:rsid w:val="006541A7"/>
    <w:rsid w:val="00654526"/>
    <w:rsid w:val="00654BCE"/>
    <w:rsid w:val="0065537C"/>
    <w:rsid w:val="006563FE"/>
    <w:rsid w:val="00656443"/>
    <w:rsid w:val="0065650E"/>
    <w:rsid w:val="0066012F"/>
    <w:rsid w:val="00660A2D"/>
    <w:rsid w:val="00660DC3"/>
    <w:rsid w:val="006620F9"/>
    <w:rsid w:val="006621BB"/>
    <w:rsid w:val="006629D0"/>
    <w:rsid w:val="00664CDA"/>
    <w:rsid w:val="006656CE"/>
    <w:rsid w:val="00665768"/>
    <w:rsid w:val="00665DF9"/>
    <w:rsid w:val="006669DD"/>
    <w:rsid w:val="006677B7"/>
    <w:rsid w:val="00667F5E"/>
    <w:rsid w:val="00670BFF"/>
    <w:rsid w:val="00670ED4"/>
    <w:rsid w:val="00670F01"/>
    <w:rsid w:val="00671D58"/>
    <w:rsid w:val="00671FF6"/>
    <w:rsid w:val="006721BE"/>
    <w:rsid w:val="00673FAE"/>
    <w:rsid w:val="00674373"/>
    <w:rsid w:val="006746A5"/>
    <w:rsid w:val="00674A60"/>
    <w:rsid w:val="00674D41"/>
    <w:rsid w:val="00675021"/>
    <w:rsid w:val="0067502A"/>
    <w:rsid w:val="00675138"/>
    <w:rsid w:val="00675851"/>
    <w:rsid w:val="00676A31"/>
    <w:rsid w:val="006802ED"/>
    <w:rsid w:val="0068033A"/>
    <w:rsid w:val="00680DFD"/>
    <w:rsid w:val="00685DE3"/>
    <w:rsid w:val="00685FC0"/>
    <w:rsid w:val="00687837"/>
    <w:rsid w:val="006909E0"/>
    <w:rsid w:val="00694143"/>
    <w:rsid w:val="0069432D"/>
    <w:rsid w:val="00696425"/>
    <w:rsid w:val="006A0081"/>
    <w:rsid w:val="006A0A5A"/>
    <w:rsid w:val="006A117F"/>
    <w:rsid w:val="006A4B0D"/>
    <w:rsid w:val="006A61BC"/>
    <w:rsid w:val="006A65CD"/>
    <w:rsid w:val="006A6849"/>
    <w:rsid w:val="006A68A5"/>
    <w:rsid w:val="006A70B0"/>
    <w:rsid w:val="006B0526"/>
    <w:rsid w:val="006B181D"/>
    <w:rsid w:val="006B1E7C"/>
    <w:rsid w:val="006B2823"/>
    <w:rsid w:val="006B6CE1"/>
    <w:rsid w:val="006B71F7"/>
    <w:rsid w:val="006B7AFB"/>
    <w:rsid w:val="006C02CD"/>
    <w:rsid w:val="006C0923"/>
    <w:rsid w:val="006C24AA"/>
    <w:rsid w:val="006C286C"/>
    <w:rsid w:val="006C2E00"/>
    <w:rsid w:val="006C38A7"/>
    <w:rsid w:val="006C3EB4"/>
    <w:rsid w:val="006C420D"/>
    <w:rsid w:val="006C428A"/>
    <w:rsid w:val="006C58C8"/>
    <w:rsid w:val="006C5B4F"/>
    <w:rsid w:val="006C63A0"/>
    <w:rsid w:val="006C75AE"/>
    <w:rsid w:val="006C7794"/>
    <w:rsid w:val="006D129F"/>
    <w:rsid w:val="006D1711"/>
    <w:rsid w:val="006D21E4"/>
    <w:rsid w:val="006D29C0"/>
    <w:rsid w:val="006D2A49"/>
    <w:rsid w:val="006D2C97"/>
    <w:rsid w:val="006D2F6A"/>
    <w:rsid w:val="006D3587"/>
    <w:rsid w:val="006D42E3"/>
    <w:rsid w:val="006D5638"/>
    <w:rsid w:val="006D6166"/>
    <w:rsid w:val="006D729E"/>
    <w:rsid w:val="006D7778"/>
    <w:rsid w:val="006D78A9"/>
    <w:rsid w:val="006D7DF0"/>
    <w:rsid w:val="006E03CC"/>
    <w:rsid w:val="006E04CB"/>
    <w:rsid w:val="006E0728"/>
    <w:rsid w:val="006E0B14"/>
    <w:rsid w:val="006E129F"/>
    <w:rsid w:val="006E2EC6"/>
    <w:rsid w:val="006E36AB"/>
    <w:rsid w:val="006E6E5A"/>
    <w:rsid w:val="006E7985"/>
    <w:rsid w:val="006F0904"/>
    <w:rsid w:val="006F176C"/>
    <w:rsid w:val="006F3055"/>
    <w:rsid w:val="006F3572"/>
    <w:rsid w:val="006F3AD9"/>
    <w:rsid w:val="006F4458"/>
    <w:rsid w:val="006F54EF"/>
    <w:rsid w:val="006F582C"/>
    <w:rsid w:val="006F68D3"/>
    <w:rsid w:val="006F6CA4"/>
    <w:rsid w:val="006F70B3"/>
    <w:rsid w:val="006F772A"/>
    <w:rsid w:val="00700312"/>
    <w:rsid w:val="00700A2D"/>
    <w:rsid w:val="00701333"/>
    <w:rsid w:val="00703182"/>
    <w:rsid w:val="00703993"/>
    <w:rsid w:val="0070402F"/>
    <w:rsid w:val="007043B2"/>
    <w:rsid w:val="00705FDE"/>
    <w:rsid w:val="0070755C"/>
    <w:rsid w:val="00707C26"/>
    <w:rsid w:val="00707CBF"/>
    <w:rsid w:val="00711272"/>
    <w:rsid w:val="007118C1"/>
    <w:rsid w:val="00711F8B"/>
    <w:rsid w:val="00712B96"/>
    <w:rsid w:val="00712EE9"/>
    <w:rsid w:val="00713C61"/>
    <w:rsid w:val="007162E3"/>
    <w:rsid w:val="00716914"/>
    <w:rsid w:val="00716DB7"/>
    <w:rsid w:val="00721307"/>
    <w:rsid w:val="00721EBC"/>
    <w:rsid w:val="00722944"/>
    <w:rsid w:val="007230A6"/>
    <w:rsid w:val="007234F6"/>
    <w:rsid w:val="0072407E"/>
    <w:rsid w:val="007246E0"/>
    <w:rsid w:val="00724D39"/>
    <w:rsid w:val="007256B3"/>
    <w:rsid w:val="00725AF4"/>
    <w:rsid w:val="00732B76"/>
    <w:rsid w:val="00733AB1"/>
    <w:rsid w:val="007348F3"/>
    <w:rsid w:val="007354B6"/>
    <w:rsid w:val="0073621E"/>
    <w:rsid w:val="00736C12"/>
    <w:rsid w:val="00736F60"/>
    <w:rsid w:val="00736FBD"/>
    <w:rsid w:val="00740503"/>
    <w:rsid w:val="0074058A"/>
    <w:rsid w:val="00740F0A"/>
    <w:rsid w:val="0074151D"/>
    <w:rsid w:val="00741ABA"/>
    <w:rsid w:val="0074271C"/>
    <w:rsid w:val="007427CC"/>
    <w:rsid w:val="0074283E"/>
    <w:rsid w:val="00743BA5"/>
    <w:rsid w:val="00744041"/>
    <w:rsid w:val="00744608"/>
    <w:rsid w:val="00744CB9"/>
    <w:rsid w:val="0074523E"/>
    <w:rsid w:val="00745854"/>
    <w:rsid w:val="00745D49"/>
    <w:rsid w:val="00745D4A"/>
    <w:rsid w:val="00750BC4"/>
    <w:rsid w:val="00751271"/>
    <w:rsid w:val="00751877"/>
    <w:rsid w:val="00751F41"/>
    <w:rsid w:val="00753B18"/>
    <w:rsid w:val="00753F50"/>
    <w:rsid w:val="0075537D"/>
    <w:rsid w:val="00755410"/>
    <w:rsid w:val="007559A5"/>
    <w:rsid w:val="00755AD4"/>
    <w:rsid w:val="00755CFD"/>
    <w:rsid w:val="00755D7B"/>
    <w:rsid w:val="00757027"/>
    <w:rsid w:val="007571E7"/>
    <w:rsid w:val="00760DF1"/>
    <w:rsid w:val="00761DC6"/>
    <w:rsid w:val="00762933"/>
    <w:rsid w:val="0076372B"/>
    <w:rsid w:val="007641AD"/>
    <w:rsid w:val="00764F65"/>
    <w:rsid w:val="00765A77"/>
    <w:rsid w:val="00766022"/>
    <w:rsid w:val="007674F2"/>
    <w:rsid w:val="00770D0E"/>
    <w:rsid w:val="007715F5"/>
    <w:rsid w:val="007721A4"/>
    <w:rsid w:val="00772F3E"/>
    <w:rsid w:val="00773B0A"/>
    <w:rsid w:val="00774044"/>
    <w:rsid w:val="00774574"/>
    <w:rsid w:val="007748CF"/>
    <w:rsid w:val="007767EB"/>
    <w:rsid w:val="007769D1"/>
    <w:rsid w:val="00776AC5"/>
    <w:rsid w:val="00776ADF"/>
    <w:rsid w:val="00776F51"/>
    <w:rsid w:val="00777655"/>
    <w:rsid w:val="0077772E"/>
    <w:rsid w:val="00777EE1"/>
    <w:rsid w:val="00780716"/>
    <w:rsid w:val="007808EE"/>
    <w:rsid w:val="007813DB"/>
    <w:rsid w:val="007818D5"/>
    <w:rsid w:val="00781E44"/>
    <w:rsid w:val="00782283"/>
    <w:rsid w:val="00782C83"/>
    <w:rsid w:val="007844F2"/>
    <w:rsid w:val="00784682"/>
    <w:rsid w:val="0078543B"/>
    <w:rsid w:val="007856AC"/>
    <w:rsid w:val="00785F91"/>
    <w:rsid w:val="007869E3"/>
    <w:rsid w:val="007875FD"/>
    <w:rsid w:val="00790DFF"/>
    <w:rsid w:val="007917BA"/>
    <w:rsid w:val="00791D94"/>
    <w:rsid w:val="0079214D"/>
    <w:rsid w:val="007934D1"/>
    <w:rsid w:val="007939F1"/>
    <w:rsid w:val="00795CE5"/>
    <w:rsid w:val="00795D27"/>
    <w:rsid w:val="0079601A"/>
    <w:rsid w:val="00796737"/>
    <w:rsid w:val="00796908"/>
    <w:rsid w:val="00796BE0"/>
    <w:rsid w:val="007A0FF0"/>
    <w:rsid w:val="007A102F"/>
    <w:rsid w:val="007A10FA"/>
    <w:rsid w:val="007A132B"/>
    <w:rsid w:val="007A13A6"/>
    <w:rsid w:val="007A1598"/>
    <w:rsid w:val="007A1A5A"/>
    <w:rsid w:val="007A1A84"/>
    <w:rsid w:val="007A313A"/>
    <w:rsid w:val="007A3218"/>
    <w:rsid w:val="007A3D00"/>
    <w:rsid w:val="007A42FC"/>
    <w:rsid w:val="007A4879"/>
    <w:rsid w:val="007A5404"/>
    <w:rsid w:val="007A567E"/>
    <w:rsid w:val="007A60F0"/>
    <w:rsid w:val="007A696B"/>
    <w:rsid w:val="007B0361"/>
    <w:rsid w:val="007B4093"/>
    <w:rsid w:val="007B4239"/>
    <w:rsid w:val="007B5468"/>
    <w:rsid w:val="007B5E64"/>
    <w:rsid w:val="007B5EF7"/>
    <w:rsid w:val="007B6A03"/>
    <w:rsid w:val="007C05E0"/>
    <w:rsid w:val="007C0FA1"/>
    <w:rsid w:val="007C1313"/>
    <w:rsid w:val="007C2D53"/>
    <w:rsid w:val="007C30D9"/>
    <w:rsid w:val="007C3857"/>
    <w:rsid w:val="007C395F"/>
    <w:rsid w:val="007C3E5F"/>
    <w:rsid w:val="007C45FF"/>
    <w:rsid w:val="007C4701"/>
    <w:rsid w:val="007C57CD"/>
    <w:rsid w:val="007C59AA"/>
    <w:rsid w:val="007C61F5"/>
    <w:rsid w:val="007C6951"/>
    <w:rsid w:val="007C69ED"/>
    <w:rsid w:val="007C6C47"/>
    <w:rsid w:val="007C7579"/>
    <w:rsid w:val="007C7B23"/>
    <w:rsid w:val="007C7DBC"/>
    <w:rsid w:val="007D0331"/>
    <w:rsid w:val="007D128D"/>
    <w:rsid w:val="007D1835"/>
    <w:rsid w:val="007D1AE6"/>
    <w:rsid w:val="007D1FD1"/>
    <w:rsid w:val="007D20A9"/>
    <w:rsid w:val="007D2359"/>
    <w:rsid w:val="007D25CB"/>
    <w:rsid w:val="007D3007"/>
    <w:rsid w:val="007D317E"/>
    <w:rsid w:val="007D374B"/>
    <w:rsid w:val="007D3C75"/>
    <w:rsid w:val="007D46D3"/>
    <w:rsid w:val="007D4909"/>
    <w:rsid w:val="007D4AA3"/>
    <w:rsid w:val="007D561F"/>
    <w:rsid w:val="007D5709"/>
    <w:rsid w:val="007D5CA5"/>
    <w:rsid w:val="007D680A"/>
    <w:rsid w:val="007E1B2F"/>
    <w:rsid w:val="007E2540"/>
    <w:rsid w:val="007E3465"/>
    <w:rsid w:val="007E4171"/>
    <w:rsid w:val="007E45E0"/>
    <w:rsid w:val="007E5CBB"/>
    <w:rsid w:val="007E62F6"/>
    <w:rsid w:val="007E6433"/>
    <w:rsid w:val="007E6676"/>
    <w:rsid w:val="007F05A7"/>
    <w:rsid w:val="007F099C"/>
    <w:rsid w:val="007F30D4"/>
    <w:rsid w:val="007F31F6"/>
    <w:rsid w:val="007F3584"/>
    <w:rsid w:val="007F4673"/>
    <w:rsid w:val="007F650C"/>
    <w:rsid w:val="007F786B"/>
    <w:rsid w:val="007F7B6B"/>
    <w:rsid w:val="007F7DE1"/>
    <w:rsid w:val="00801835"/>
    <w:rsid w:val="00802772"/>
    <w:rsid w:val="008027A4"/>
    <w:rsid w:val="008032ED"/>
    <w:rsid w:val="00803391"/>
    <w:rsid w:val="008033A4"/>
    <w:rsid w:val="00803F97"/>
    <w:rsid w:val="0080405F"/>
    <w:rsid w:val="008042AC"/>
    <w:rsid w:val="008042E0"/>
    <w:rsid w:val="008049C0"/>
    <w:rsid w:val="00804CD4"/>
    <w:rsid w:val="00805EC4"/>
    <w:rsid w:val="00806B92"/>
    <w:rsid w:val="00807647"/>
    <w:rsid w:val="00807A89"/>
    <w:rsid w:val="0081039B"/>
    <w:rsid w:val="00811EC8"/>
    <w:rsid w:val="008129C6"/>
    <w:rsid w:val="008146B7"/>
    <w:rsid w:val="0081512E"/>
    <w:rsid w:val="00816EB3"/>
    <w:rsid w:val="0081709E"/>
    <w:rsid w:val="00817E8D"/>
    <w:rsid w:val="00820174"/>
    <w:rsid w:val="008208FB"/>
    <w:rsid w:val="0082157B"/>
    <w:rsid w:val="00821634"/>
    <w:rsid w:val="00821769"/>
    <w:rsid w:val="008219D2"/>
    <w:rsid w:val="00821B63"/>
    <w:rsid w:val="0082295E"/>
    <w:rsid w:val="0082404F"/>
    <w:rsid w:val="0082427E"/>
    <w:rsid w:val="00826974"/>
    <w:rsid w:val="00830185"/>
    <w:rsid w:val="00831AE5"/>
    <w:rsid w:val="008323D1"/>
    <w:rsid w:val="00833731"/>
    <w:rsid w:val="0083399E"/>
    <w:rsid w:val="008344F5"/>
    <w:rsid w:val="008358EF"/>
    <w:rsid w:val="00843308"/>
    <w:rsid w:val="008447D6"/>
    <w:rsid w:val="00844DCD"/>
    <w:rsid w:val="008452C8"/>
    <w:rsid w:val="008454A2"/>
    <w:rsid w:val="00846057"/>
    <w:rsid w:val="00846157"/>
    <w:rsid w:val="00846FB0"/>
    <w:rsid w:val="00850C6D"/>
    <w:rsid w:val="008512DE"/>
    <w:rsid w:val="00852EAD"/>
    <w:rsid w:val="00853AE9"/>
    <w:rsid w:val="008540CA"/>
    <w:rsid w:val="00854186"/>
    <w:rsid w:val="00854281"/>
    <w:rsid w:val="00854689"/>
    <w:rsid w:val="00855ADF"/>
    <w:rsid w:val="00855BC2"/>
    <w:rsid w:val="00856801"/>
    <w:rsid w:val="008573F4"/>
    <w:rsid w:val="00857C7D"/>
    <w:rsid w:val="00861628"/>
    <w:rsid w:val="00861BB0"/>
    <w:rsid w:val="00861F78"/>
    <w:rsid w:val="0086203F"/>
    <w:rsid w:val="008621D3"/>
    <w:rsid w:val="00863AC5"/>
    <w:rsid w:val="008649F9"/>
    <w:rsid w:val="00864ACA"/>
    <w:rsid w:val="00865307"/>
    <w:rsid w:val="0086553E"/>
    <w:rsid w:val="00865951"/>
    <w:rsid w:val="00865E19"/>
    <w:rsid w:val="00867118"/>
    <w:rsid w:val="0086753C"/>
    <w:rsid w:val="00870C2E"/>
    <w:rsid w:val="0087124E"/>
    <w:rsid w:val="00871404"/>
    <w:rsid w:val="00871C26"/>
    <w:rsid w:val="0087247F"/>
    <w:rsid w:val="008724E2"/>
    <w:rsid w:val="0087352C"/>
    <w:rsid w:val="00874062"/>
    <w:rsid w:val="008753EF"/>
    <w:rsid w:val="00876978"/>
    <w:rsid w:val="00876A99"/>
    <w:rsid w:val="00877919"/>
    <w:rsid w:val="00881B40"/>
    <w:rsid w:val="008825FC"/>
    <w:rsid w:val="0088270B"/>
    <w:rsid w:val="0088502D"/>
    <w:rsid w:val="00887A33"/>
    <w:rsid w:val="008903D5"/>
    <w:rsid w:val="00890A89"/>
    <w:rsid w:val="008913C9"/>
    <w:rsid w:val="00892257"/>
    <w:rsid w:val="008947D6"/>
    <w:rsid w:val="00895C9D"/>
    <w:rsid w:val="00896809"/>
    <w:rsid w:val="008970AC"/>
    <w:rsid w:val="008974D7"/>
    <w:rsid w:val="00897CDA"/>
    <w:rsid w:val="008A07E4"/>
    <w:rsid w:val="008A0C31"/>
    <w:rsid w:val="008A0F2C"/>
    <w:rsid w:val="008A1B7E"/>
    <w:rsid w:val="008A2A29"/>
    <w:rsid w:val="008A4331"/>
    <w:rsid w:val="008A49A5"/>
    <w:rsid w:val="008A518B"/>
    <w:rsid w:val="008A5386"/>
    <w:rsid w:val="008A5BA5"/>
    <w:rsid w:val="008A5DC3"/>
    <w:rsid w:val="008A5DFF"/>
    <w:rsid w:val="008A5F2B"/>
    <w:rsid w:val="008A601F"/>
    <w:rsid w:val="008B091F"/>
    <w:rsid w:val="008B0D65"/>
    <w:rsid w:val="008B1D32"/>
    <w:rsid w:val="008B2B0D"/>
    <w:rsid w:val="008B39A4"/>
    <w:rsid w:val="008B4F90"/>
    <w:rsid w:val="008B5050"/>
    <w:rsid w:val="008B5946"/>
    <w:rsid w:val="008B71BC"/>
    <w:rsid w:val="008B7EDE"/>
    <w:rsid w:val="008C01E9"/>
    <w:rsid w:val="008C1043"/>
    <w:rsid w:val="008C12AD"/>
    <w:rsid w:val="008C25FF"/>
    <w:rsid w:val="008C2880"/>
    <w:rsid w:val="008C41A9"/>
    <w:rsid w:val="008C4E49"/>
    <w:rsid w:val="008C4F6B"/>
    <w:rsid w:val="008C50E2"/>
    <w:rsid w:val="008C554D"/>
    <w:rsid w:val="008C590C"/>
    <w:rsid w:val="008C5A94"/>
    <w:rsid w:val="008C5F32"/>
    <w:rsid w:val="008C60EB"/>
    <w:rsid w:val="008C6713"/>
    <w:rsid w:val="008C697A"/>
    <w:rsid w:val="008C7911"/>
    <w:rsid w:val="008C7F66"/>
    <w:rsid w:val="008D0AC4"/>
    <w:rsid w:val="008D2198"/>
    <w:rsid w:val="008D219D"/>
    <w:rsid w:val="008D3697"/>
    <w:rsid w:val="008D36EF"/>
    <w:rsid w:val="008D445B"/>
    <w:rsid w:val="008D4578"/>
    <w:rsid w:val="008D5328"/>
    <w:rsid w:val="008D78C2"/>
    <w:rsid w:val="008E07A7"/>
    <w:rsid w:val="008E2EA3"/>
    <w:rsid w:val="008E3D6D"/>
    <w:rsid w:val="008E49CC"/>
    <w:rsid w:val="008E6A18"/>
    <w:rsid w:val="008E78E6"/>
    <w:rsid w:val="008F2234"/>
    <w:rsid w:val="008F279C"/>
    <w:rsid w:val="008F6E08"/>
    <w:rsid w:val="008F782A"/>
    <w:rsid w:val="008F788B"/>
    <w:rsid w:val="009000B7"/>
    <w:rsid w:val="0090055A"/>
    <w:rsid w:val="00900764"/>
    <w:rsid w:val="00900D28"/>
    <w:rsid w:val="009010FE"/>
    <w:rsid w:val="0090158F"/>
    <w:rsid w:val="009015AF"/>
    <w:rsid w:val="009019CA"/>
    <w:rsid w:val="00902BA6"/>
    <w:rsid w:val="009036E0"/>
    <w:rsid w:val="0090377F"/>
    <w:rsid w:val="009055CE"/>
    <w:rsid w:val="00905677"/>
    <w:rsid w:val="00905698"/>
    <w:rsid w:val="0090578E"/>
    <w:rsid w:val="00905979"/>
    <w:rsid w:val="009078E4"/>
    <w:rsid w:val="0091010E"/>
    <w:rsid w:val="009107D0"/>
    <w:rsid w:val="0091125D"/>
    <w:rsid w:val="00911840"/>
    <w:rsid w:val="00911EE3"/>
    <w:rsid w:val="00912297"/>
    <w:rsid w:val="00912B6D"/>
    <w:rsid w:val="00912D85"/>
    <w:rsid w:val="00915275"/>
    <w:rsid w:val="00916084"/>
    <w:rsid w:val="00916AAA"/>
    <w:rsid w:val="0091759D"/>
    <w:rsid w:val="00917B58"/>
    <w:rsid w:val="00920499"/>
    <w:rsid w:val="009207CE"/>
    <w:rsid w:val="00921E22"/>
    <w:rsid w:val="00921F96"/>
    <w:rsid w:val="009234E0"/>
    <w:rsid w:val="0092411E"/>
    <w:rsid w:val="00924B4E"/>
    <w:rsid w:val="00924DCF"/>
    <w:rsid w:val="0092548B"/>
    <w:rsid w:val="00925742"/>
    <w:rsid w:val="009268B1"/>
    <w:rsid w:val="009270AC"/>
    <w:rsid w:val="009275B9"/>
    <w:rsid w:val="0093022C"/>
    <w:rsid w:val="00930796"/>
    <w:rsid w:val="0093102A"/>
    <w:rsid w:val="00931842"/>
    <w:rsid w:val="00932158"/>
    <w:rsid w:val="0093215C"/>
    <w:rsid w:val="00932348"/>
    <w:rsid w:val="0093545C"/>
    <w:rsid w:val="00940C3F"/>
    <w:rsid w:val="00941BB1"/>
    <w:rsid w:val="009436E5"/>
    <w:rsid w:val="00943A5F"/>
    <w:rsid w:val="00945D30"/>
    <w:rsid w:val="00947F5A"/>
    <w:rsid w:val="00950903"/>
    <w:rsid w:val="00950DE4"/>
    <w:rsid w:val="00951E52"/>
    <w:rsid w:val="00952051"/>
    <w:rsid w:val="00952CA7"/>
    <w:rsid w:val="009534A5"/>
    <w:rsid w:val="009542DE"/>
    <w:rsid w:val="009546BF"/>
    <w:rsid w:val="009547F6"/>
    <w:rsid w:val="009550E1"/>
    <w:rsid w:val="0095517B"/>
    <w:rsid w:val="009555B9"/>
    <w:rsid w:val="00955ADE"/>
    <w:rsid w:val="00955F50"/>
    <w:rsid w:val="00956329"/>
    <w:rsid w:val="00956861"/>
    <w:rsid w:val="00956A7F"/>
    <w:rsid w:val="00956EAA"/>
    <w:rsid w:val="00960227"/>
    <w:rsid w:val="00962C47"/>
    <w:rsid w:val="00962FBA"/>
    <w:rsid w:val="009630ED"/>
    <w:rsid w:val="00963167"/>
    <w:rsid w:val="009666FB"/>
    <w:rsid w:val="00966F75"/>
    <w:rsid w:val="00967504"/>
    <w:rsid w:val="009675C2"/>
    <w:rsid w:val="009679E2"/>
    <w:rsid w:val="00970704"/>
    <w:rsid w:val="00971629"/>
    <w:rsid w:val="009717E7"/>
    <w:rsid w:val="00971A52"/>
    <w:rsid w:val="00972832"/>
    <w:rsid w:val="00973685"/>
    <w:rsid w:val="00973AF3"/>
    <w:rsid w:val="00973E6B"/>
    <w:rsid w:val="00975A28"/>
    <w:rsid w:val="00975C15"/>
    <w:rsid w:val="00976147"/>
    <w:rsid w:val="009769AE"/>
    <w:rsid w:val="00976E6C"/>
    <w:rsid w:val="00983196"/>
    <w:rsid w:val="00984180"/>
    <w:rsid w:val="0098615E"/>
    <w:rsid w:val="00986786"/>
    <w:rsid w:val="00986A58"/>
    <w:rsid w:val="00986D31"/>
    <w:rsid w:val="00986E46"/>
    <w:rsid w:val="00990552"/>
    <w:rsid w:val="0099162B"/>
    <w:rsid w:val="009936E6"/>
    <w:rsid w:val="009946C0"/>
    <w:rsid w:val="00996446"/>
    <w:rsid w:val="009A045A"/>
    <w:rsid w:val="009A0CD4"/>
    <w:rsid w:val="009A14BC"/>
    <w:rsid w:val="009A431B"/>
    <w:rsid w:val="009A5E95"/>
    <w:rsid w:val="009A6FBD"/>
    <w:rsid w:val="009A748F"/>
    <w:rsid w:val="009B03BB"/>
    <w:rsid w:val="009B1679"/>
    <w:rsid w:val="009B250C"/>
    <w:rsid w:val="009B3D62"/>
    <w:rsid w:val="009B4415"/>
    <w:rsid w:val="009B4A7E"/>
    <w:rsid w:val="009B4AE3"/>
    <w:rsid w:val="009B5C2C"/>
    <w:rsid w:val="009C0309"/>
    <w:rsid w:val="009C0772"/>
    <w:rsid w:val="009C0CCC"/>
    <w:rsid w:val="009C1264"/>
    <w:rsid w:val="009C1D06"/>
    <w:rsid w:val="009C224C"/>
    <w:rsid w:val="009C229D"/>
    <w:rsid w:val="009C318F"/>
    <w:rsid w:val="009C510F"/>
    <w:rsid w:val="009C5676"/>
    <w:rsid w:val="009C635A"/>
    <w:rsid w:val="009C6825"/>
    <w:rsid w:val="009D2CC4"/>
    <w:rsid w:val="009D3E2F"/>
    <w:rsid w:val="009D443C"/>
    <w:rsid w:val="009D4F1D"/>
    <w:rsid w:val="009D513F"/>
    <w:rsid w:val="009D62BF"/>
    <w:rsid w:val="009D63E9"/>
    <w:rsid w:val="009D681A"/>
    <w:rsid w:val="009D7A40"/>
    <w:rsid w:val="009D7DEA"/>
    <w:rsid w:val="009E03F1"/>
    <w:rsid w:val="009E122F"/>
    <w:rsid w:val="009E2272"/>
    <w:rsid w:val="009E3C0E"/>
    <w:rsid w:val="009E47D4"/>
    <w:rsid w:val="009E52C5"/>
    <w:rsid w:val="009E5A9F"/>
    <w:rsid w:val="009E5CF0"/>
    <w:rsid w:val="009E6235"/>
    <w:rsid w:val="009E65DF"/>
    <w:rsid w:val="009E7258"/>
    <w:rsid w:val="009E7678"/>
    <w:rsid w:val="009F0925"/>
    <w:rsid w:val="009F0D4A"/>
    <w:rsid w:val="009F21DB"/>
    <w:rsid w:val="009F3164"/>
    <w:rsid w:val="009F4ABA"/>
    <w:rsid w:val="009F50EC"/>
    <w:rsid w:val="009F52B9"/>
    <w:rsid w:val="009F5BF3"/>
    <w:rsid w:val="009F63D6"/>
    <w:rsid w:val="009F6410"/>
    <w:rsid w:val="009F69C9"/>
    <w:rsid w:val="009F6AFF"/>
    <w:rsid w:val="00A0005E"/>
    <w:rsid w:val="00A0028E"/>
    <w:rsid w:val="00A023A8"/>
    <w:rsid w:val="00A02C26"/>
    <w:rsid w:val="00A03017"/>
    <w:rsid w:val="00A038C4"/>
    <w:rsid w:val="00A03DB8"/>
    <w:rsid w:val="00A06135"/>
    <w:rsid w:val="00A0639C"/>
    <w:rsid w:val="00A069C6"/>
    <w:rsid w:val="00A06E22"/>
    <w:rsid w:val="00A0740C"/>
    <w:rsid w:val="00A07F98"/>
    <w:rsid w:val="00A10BE1"/>
    <w:rsid w:val="00A10E84"/>
    <w:rsid w:val="00A13619"/>
    <w:rsid w:val="00A13D34"/>
    <w:rsid w:val="00A14098"/>
    <w:rsid w:val="00A151E6"/>
    <w:rsid w:val="00A155AD"/>
    <w:rsid w:val="00A158FF"/>
    <w:rsid w:val="00A15B30"/>
    <w:rsid w:val="00A15F24"/>
    <w:rsid w:val="00A1682E"/>
    <w:rsid w:val="00A16E21"/>
    <w:rsid w:val="00A171BE"/>
    <w:rsid w:val="00A175EE"/>
    <w:rsid w:val="00A1769C"/>
    <w:rsid w:val="00A179DB"/>
    <w:rsid w:val="00A205D8"/>
    <w:rsid w:val="00A20A8F"/>
    <w:rsid w:val="00A220C3"/>
    <w:rsid w:val="00A23804"/>
    <w:rsid w:val="00A246A9"/>
    <w:rsid w:val="00A266AF"/>
    <w:rsid w:val="00A27041"/>
    <w:rsid w:val="00A2707C"/>
    <w:rsid w:val="00A27B2A"/>
    <w:rsid w:val="00A27C9E"/>
    <w:rsid w:val="00A30003"/>
    <w:rsid w:val="00A308CE"/>
    <w:rsid w:val="00A30CF4"/>
    <w:rsid w:val="00A32B4E"/>
    <w:rsid w:val="00A33FA4"/>
    <w:rsid w:val="00A34383"/>
    <w:rsid w:val="00A34FDB"/>
    <w:rsid w:val="00A35077"/>
    <w:rsid w:val="00A352AB"/>
    <w:rsid w:val="00A36777"/>
    <w:rsid w:val="00A36C17"/>
    <w:rsid w:val="00A3778D"/>
    <w:rsid w:val="00A4067D"/>
    <w:rsid w:val="00A41C97"/>
    <w:rsid w:val="00A41D5B"/>
    <w:rsid w:val="00A426E5"/>
    <w:rsid w:val="00A4339E"/>
    <w:rsid w:val="00A43656"/>
    <w:rsid w:val="00A448FA"/>
    <w:rsid w:val="00A45C59"/>
    <w:rsid w:val="00A46768"/>
    <w:rsid w:val="00A46F2E"/>
    <w:rsid w:val="00A4707B"/>
    <w:rsid w:val="00A47EFE"/>
    <w:rsid w:val="00A50C15"/>
    <w:rsid w:val="00A50FCA"/>
    <w:rsid w:val="00A51345"/>
    <w:rsid w:val="00A51723"/>
    <w:rsid w:val="00A51DFE"/>
    <w:rsid w:val="00A52FE9"/>
    <w:rsid w:val="00A5477C"/>
    <w:rsid w:val="00A55500"/>
    <w:rsid w:val="00A55BCF"/>
    <w:rsid w:val="00A55EBD"/>
    <w:rsid w:val="00A561E5"/>
    <w:rsid w:val="00A563DC"/>
    <w:rsid w:val="00A566E6"/>
    <w:rsid w:val="00A567FB"/>
    <w:rsid w:val="00A57115"/>
    <w:rsid w:val="00A57AB1"/>
    <w:rsid w:val="00A6058A"/>
    <w:rsid w:val="00A60CE1"/>
    <w:rsid w:val="00A60EE0"/>
    <w:rsid w:val="00A61AA4"/>
    <w:rsid w:val="00A62095"/>
    <w:rsid w:val="00A62384"/>
    <w:rsid w:val="00A62659"/>
    <w:rsid w:val="00A62FF0"/>
    <w:rsid w:val="00A64496"/>
    <w:rsid w:val="00A6479B"/>
    <w:rsid w:val="00A6489F"/>
    <w:rsid w:val="00A64A87"/>
    <w:rsid w:val="00A667A7"/>
    <w:rsid w:val="00A70185"/>
    <w:rsid w:val="00A70A70"/>
    <w:rsid w:val="00A70FD2"/>
    <w:rsid w:val="00A71D5B"/>
    <w:rsid w:val="00A72B64"/>
    <w:rsid w:val="00A73322"/>
    <w:rsid w:val="00A737AB"/>
    <w:rsid w:val="00A73CC5"/>
    <w:rsid w:val="00A74A35"/>
    <w:rsid w:val="00A752D8"/>
    <w:rsid w:val="00A753FE"/>
    <w:rsid w:val="00A759FD"/>
    <w:rsid w:val="00A766E2"/>
    <w:rsid w:val="00A8057A"/>
    <w:rsid w:val="00A81B2C"/>
    <w:rsid w:val="00A82F63"/>
    <w:rsid w:val="00A84807"/>
    <w:rsid w:val="00A84FFA"/>
    <w:rsid w:val="00A85940"/>
    <w:rsid w:val="00A85BA8"/>
    <w:rsid w:val="00A86672"/>
    <w:rsid w:val="00A86999"/>
    <w:rsid w:val="00A86F65"/>
    <w:rsid w:val="00A90113"/>
    <w:rsid w:val="00A906B0"/>
    <w:rsid w:val="00A90EC3"/>
    <w:rsid w:val="00A9136D"/>
    <w:rsid w:val="00A913CC"/>
    <w:rsid w:val="00A9156D"/>
    <w:rsid w:val="00A91ACD"/>
    <w:rsid w:val="00A91BF8"/>
    <w:rsid w:val="00A924B6"/>
    <w:rsid w:val="00A93CBE"/>
    <w:rsid w:val="00A945D7"/>
    <w:rsid w:val="00A9573F"/>
    <w:rsid w:val="00A9597C"/>
    <w:rsid w:val="00A95CBE"/>
    <w:rsid w:val="00A960CB"/>
    <w:rsid w:val="00A96C60"/>
    <w:rsid w:val="00A972C0"/>
    <w:rsid w:val="00A972EA"/>
    <w:rsid w:val="00A974B0"/>
    <w:rsid w:val="00A97FCF"/>
    <w:rsid w:val="00AA0004"/>
    <w:rsid w:val="00AA0988"/>
    <w:rsid w:val="00AA43A8"/>
    <w:rsid w:val="00AA6B1B"/>
    <w:rsid w:val="00AB089A"/>
    <w:rsid w:val="00AB29C2"/>
    <w:rsid w:val="00AB30D1"/>
    <w:rsid w:val="00AB3238"/>
    <w:rsid w:val="00AB3251"/>
    <w:rsid w:val="00AB3933"/>
    <w:rsid w:val="00AB3C46"/>
    <w:rsid w:val="00AB41F0"/>
    <w:rsid w:val="00AB4346"/>
    <w:rsid w:val="00AB4A72"/>
    <w:rsid w:val="00AB4A9E"/>
    <w:rsid w:val="00AB503A"/>
    <w:rsid w:val="00AB6738"/>
    <w:rsid w:val="00AB6E4B"/>
    <w:rsid w:val="00AB6E51"/>
    <w:rsid w:val="00AC0D1B"/>
    <w:rsid w:val="00AC0E3D"/>
    <w:rsid w:val="00AC13DA"/>
    <w:rsid w:val="00AC25A8"/>
    <w:rsid w:val="00AC2EB8"/>
    <w:rsid w:val="00AC40EB"/>
    <w:rsid w:val="00AC540F"/>
    <w:rsid w:val="00AC6121"/>
    <w:rsid w:val="00AC6553"/>
    <w:rsid w:val="00AC7A54"/>
    <w:rsid w:val="00AD03C9"/>
    <w:rsid w:val="00AD149E"/>
    <w:rsid w:val="00AD1630"/>
    <w:rsid w:val="00AD1E09"/>
    <w:rsid w:val="00AD225D"/>
    <w:rsid w:val="00AD284F"/>
    <w:rsid w:val="00AD3124"/>
    <w:rsid w:val="00AD50B1"/>
    <w:rsid w:val="00AD55D3"/>
    <w:rsid w:val="00AD5C89"/>
    <w:rsid w:val="00AD5DB2"/>
    <w:rsid w:val="00AD61E1"/>
    <w:rsid w:val="00AD716D"/>
    <w:rsid w:val="00AE0B1A"/>
    <w:rsid w:val="00AE0E48"/>
    <w:rsid w:val="00AE15F3"/>
    <w:rsid w:val="00AE19ED"/>
    <w:rsid w:val="00AE1DDB"/>
    <w:rsid w:val="00AE2847"/>
    <w:rsid w:val="00AE3DF9"/>
    <w:rsid w:val="00AE414E"/>
    <w:rsid w:val="00AE4F41"/>
    <w:rsid w:val="00AE557E"/>
    <w:rsid w:val="00AE5744"/>
    <w:rsid w:val="00AE62E1"/>
    <w:rsid w:val="00AE77A0"/>
    <w:rsid w:val="00AF075E"/>
    <w:rsid w:val="00AF1AF6"/>
    <w:rsid w:val="00AF1BE4"/>
    <w:rsid w:val="00AF1D85"/>
    <w:rsid w:val="00AF1EA1"/>
    <w:rsid w:val="00AF1FD8"/>
    <w:rsid w:val="00AF2338"/>
    <w:rsid w:val="00AF24D9"/>
    <w:rsid w:val="00AF257A"/>
    <w:rsid w:val="00AF2CB4"/>
    <w:rsid w:val="00AF57EC"/>
    <w:rsid w:val="00AF5961"/>
    <w:rsid w:val="00AF5ED1"/>
    <w:rsid w:val="00AF66BA"/>
    <w:rsid w:val="00B02C13"/>
    <w:rsid w:val="00B0411F"/>
    <w:rsid w:val="00B05046"/>
    <w:rsid w:val="00B0537D"/>
    <w:rsid w:val="00B05595"/>
    <w:rsid w:val="00B0615C"/>
    <w:rsid w:val="00B06866"/>
    <w:rsid w:val="00B0737F"/>
    <w:rsid w:val="00B10B40"/>
    <w:rsid w:val="00B1315B"/>
    <w:rsid w:val="00B1367B"/>
    <w:rsid w:val="00B14665"/>
    <w:rsid w:val="00B15C41"/>
    <w:rsid w:val="00B1628F"/>
    <w:rsid w:val="00B16890"/>
    <w:rsid w:val="00B173F5"/>
    <w:rsid w:val="00B2003C"/>
    <w:rsid w:val="00B21383"/>
    <w:rsid w:val="00B21BAC"/>
    <w:rsid w:val="00B21D4A"/>
    <w:rsid w:val="00B22420"/>
    <w:rsid w:val="00B23A99"/>
    <w:rsid w:val="00B248F5"/>
    <w:rsid w:val="00B249F6"/>
    <w:rsid w:val="00B252B2"/>
    <w:rsid w:val="00B273EB"/>
    <w:rsid w:val="00B30273"/>
    <w:rsid w:val="00B30BF0"/>
    <w:rsid w:val="00B33D33"/>
    <w:rsid w:val="00B33D90"/>
    <w:rsid w:val="00B350CC"/>
    <w:rsid w:val="00B35D25"/>
    <w:rsid w:val="00B365ED"/>
    <w:rsid w:val="00B37C2D"/>
    <w:rsid w:val="00B404BC"/>
    <w:rsid w:val="00B41DEF"/>
    <w:rsid w:val="00B42890"/>
    <w:rsid w:val="00B42DBB"/>
    <w:rsid w:val="00B42F4B"/>
    <w:rsid w:val="00B43640"/>
    <w:rsid w:val="00B438E1"/>
    <w:rsid w:val="00B43A34"/>
    <w:rsid w:val="00B43AD7"/>
    <w:rsid w:val="00B4453C"/>
    <w:rsid w:val="00B44F0B"/>
    <w:rsid w:val="00B4672E"/>
    <w:rsid w:val="00B46C1C"/>
    <w:rsid w:val="00B47E72"/>
    <w:rsid w:val="00B5010A"/>
    <w:rsid w:val="00B50240"/>
    <w:rsid w:val="00B504D3"/>
    <w:rsid w:val="00B51983"/>
    <w:rsid w:val="00B5222F"/>
    <w:rsid w:val="00B524D6"/>
    <w:rsid w:val="00B5279A"/>
    <w:rsid w:val="00B52EC2"/>
    <w:rsid w:val="00B53C94"/>
    <w:rsid w:val="00B54779"/>
    <w:rsid w:val="00B556F9"/>
    <w:rsid w:val="00B569A2"/>
    <w:rsid w:val="00B579CD"/>
    <w:rsid w:val="00B604DE"/>
    <w:rsid w:val="00B60915"/>
    <w:rsid w:val="00B61A59"/>
    <w:rsid w:val="00B61E36"/>
    <w:rsid w:val="00B61F87"/>
    <w:rsid w:val="00B628F2"/>
    <w:rsid w:val="00B63609"/>
    <w:rsid w:val="00B641AB"/>
    <w:rsid w:val="00B642F0"/>
    <w:rsid w:val="00B64313"/>
    <w:rsid w:val="00B650F2"/>
    <w:rsid w:val="00B66A21"/>
    <w:rsid w:val="00B70928"/>
    <w:rsid w:val="00B7136E"/>
    <w:rsid w:val="00B71A9B"/>
    <w:rsid w:val="00B72221"/>
    <w:rsid w:val="00B72D12"/>
    <w:rsid w:val="00B75264"/>
    <w:rsid w:val="00B75418"/>
    <w:rsid w:val="00B7587E"/>
    <w:rsid w:val="00B76390"/>
    <w:rsid w:val="00B7682C"/>
    <w:rsid w:val="00B76CC5"/>
    <w:rsid w:val="00B76F2A"/>
    <w:rsid w:val="00B779C3"/>
    <w:rsid w:val="00B817B1"/>
    <w:rsid w:val="00B826AA"/>
    <w:rsid w:val="00B83651"/>
    <w:rsid w:val="00B83777"/>
    <w:rsid w:val="00B854A8"/>
    <w:rsid w:val="00B863F0"/>
    <w:rsid w:val="00B8705C"/>
    <w:rsid w:val="00B87442"/>
    <w:rsid w:val="00B9509E"/>
    <w:rsid w:val="00B95392"/>
    <w:rsid w:val="00B9579F"/>
    <w:rsid w:val="00B962FA"/>
    <w:rsid w:val="00B96AF8"/>
    <w:rsid w:val="00B96D4C"/>
    <w:rsid w:val="00B97A64"/>
    <w:rsid w:val="00BA0C2F"/>
    <w:rsid w:val="00BA13DE"/>
    <w:rsid w:val="00BA1B22"/>
    <w:rsid w:val="00BA29F2"/>
    <w:rsid w:val="00BA2F8B"/>
    <w:rsid w:val="00BA451E"/>
    <w:rsid w:val="00BA4526"/>
    <w:rsid w:val="00BA53C2"/>
    <w:rsid w:val="00BA70BD"/>
    <w:rsid w:val="00BA7DB2"/>
    <w:rsid w:val="00BA7E35"/>
    <w:rsid w:val="00BA7F67"/>
    <w:rsid w:val="00BB17DC"/>
    <w:rsid w:val="00BB18B3"/>
    <w:rsid w:val="00BB211A"/>
    <w:rsid w:val="00BB2604"/>
    <w:rsid w:val="00BB27C1"/>
    <w:rsid w:val="00BB3B7D"/>
    <w:rsid w:val="00BB577E"/>
    <w:rsid w:val="00BB7822"/>
    <w:rsid w:val="00BB7F9A"/>
    <w:rsid w:val="00BC1F75"/>
    <w:rsid w:val="00BC3AEA"/>
    <w:rsid w:val="00BC3F85"/>
    <w:rsid w:val="00BC4169"/>
    <w:rsid w:val="00BC4366"/>
    <w:rsid w:val="00BC449A"/>
    <w:rsid w:val="00BC45E0"/>
    <w:rsid w:val="00BC4FDF"/>
    <w:rsid w:val="00BC51BF"/>
    <w:rsid w:val="00BC53D5"/>
    <w:rsid w:val="00BC5D4B"/>
    <w:rsid w:val="00BC6164"/>
    <w:rsid w:val="00BC652C"/>
    <w:rsid w:val="00BC6B18"/>
    <w:rsid w:val="00BC7802"/>
    <w:rsid w:val="00BC7C31"/>
    <w:rsid w:val="00BD0080"/>
    <w:rsid w:val="00BD23CC"/>
    <w:rsid w:val="00BD3AAE"/>
    <w:rsid w:val="00BD51A6"/>
    <w:rsid w:val="00BD7930"/>
    <w:rsid w:val="00BE0758"/>
    <w:rsid w:val="00BE0941"/>
    <w:rsid w:val="00BE0EEB"/>
    <w:rsid w:val="00BE1901"/>
    <w:rsid w:val="00BE3E35"/>
    <w:rsid w:val="00BE467B"/>
    <w:rsid w:val="00BE5C4B"/>
    <w:rsid w:val="00BE6603"/>
    <w:rsid w:val="00BE6B7A"/>
    <w:rsid w:val="00BE7D3B"/>
    <w:rsid w:val="00BF0B0C"/>
    <w:rsid w:val="00BF1846"/>
    <w:rsid w:val="00BF2FFB"/>
    <w:rsid w:val="00BF370D"/>
    <w:rsid w:val="00BF3DAA"/>
    <w:rsid w:val="00BF3E5A"/>
    <w:rsid w:val="00BF43D5"/>
    <w:rsid w:val="00BF591E"/>
    <w:rsid w:val="00BF65B0"/>
    <w:rsid w:val="00BF6C79"/>
    <w:rsid w:val="00C00BC4"/>
    <w:rsid w:val="00C019D7"/>
    <w:rsid w:val="00C01A40"/>
    <w:rsid w:val="00C03E07"/>
    <w:rsid w:val="00C04138"/>
    <w:rsid w:val="00C045D3"/>
    <w:rsid w:val="00C04F25"/>
    <w:rsid w:val="00C055A0"/>
    <w:rsid w:val="00C10044"/>
    <w:rsid w:val="00C104BB"/>
    <w:rsid w:val="00C119E9"/>
    <w:rsid w:val="00C11CC5"/>
    <w:rsid w:val="00C14757"/>
    <w:rsid w:val="00C14A3F"/>
    <w:rsid w:val="00C158E4"/>
    <w:rsid w:val="00C16015"/>
    <w:rsid w:val="00C1716A"/>
    <w:rsid w:val="00C17381"/>
    <w:rsid w:val="00C174CC"/>
    <w:rsid w:val="00C175AE"/>
    <w:rsid w:val="00C232A1"/>
    <w:rsid w:val="00C232D2"/>
    <w:rsid w:val="00C237F8"/>
    <w:rsid w:val="00C24E09"/>
    <w:rsid w:val="00C26D61"/>
    <w:rsid w:val="00C2708F"/>
    <w:rsid w:val="00C272E9"/>
    <w:rsid w:val="00C2785B"/>
    <w:rsid w:val="00C27FF5"/>
    <w:rsid w:val="00C30017"/>
    <w:rsid w:val="00C30E1D"/>
    <w:rsid w:val="00C31A60"/>
    <w:rsid w:val="00C31C64"/>
    <w:rsid w:val="00C321A7"/>
    <w:rsid w:val="00C32432"/>
    <w:rsid w:val="00C32595"/>
    <w:rsid w:val="00C32A44"/>
    <w:rsid w:val="00C32E64"/>
    <w:rsid w:val="00C33AFF"/>
    <w:rsid w:val="00C350ED"/>
    <w:rsid w:val="00C35252"/>
    <w:rsid w:val="00C3527D"/>
    <w:rsid w:val="00C35671"/>
    <w:rsid w:val="00C37017"/>
    <w:rsid w:val="00C37A24"/>
    <w:rsid w:val="00C41332"/>
    <w:rsid w:val="00C4149F"/>
    <w:rsid w:val="00C41E81"/>
    <w:rsid w:val="00C435BF"/>
    <w:rsid w:val="00C44DBE"/>
    <w:rsid w:val="00C455E7"/>
    <w:rsid w:val="00C457BB"/>
    <w:rsid w:val="00C461D7"/>
    <w:rsid w:val="00C50558"/>
    <w:rsid w:val="00C50D57"/>
    <w:rsid w:val="00C50E59"/>
    <w:rsid w:val="00C511EC"/>
    <w:rsid w:val="00C51535"/>
    <w:rsid w:val="00C51564"/>
    <w:rsid w:val="00C51D3A"/>
    <w:rsid w:val="00C52912"/>
    <w:rsid w:val="00C53127"/>
    <w:rsid w:val="00C53283"/>
    <w:rsid w:val="00C53952"/>
    <w:rsid w:val="00C55096"/>
    <w:rsid w:val="00C55A77"/>
    <w:rsid w:val="00C56664"/>
    <w:rsid w:val="00C566BF"/>
    <w:rsid w:val="00C567BF"/>
    <w:rsid w:val="00C577FC"/>
    <w:rsid w:val="00C57FE1"/>
    <w:rsid w:val="00C607FB"/>
    <w:rsid w:val="00C60B5F"/>
    <w:rsid w:val="00C62854"/>
    <w:rsid w:val="00C62A0C"/>
    <w:rsid w:val="00C63742"/>
    <w:rsid w:val="00C637C3"/>
    <w:rsid w:val="00C638A8"/>
    <w:rsid w:val="00C64726"/>
    <w:rsid w:val="00C649AE"/>
    <w:rsid w:val="00C66ED4"/>
    <w:rsid w:val="00C671D7"/>
    <w:rsid w:val="00C67B32"/>
    <w:rsid w:val="00C70842"/>
    <w:rsid w:val="00C70F81"/>
    <w:rsid w:val="00C7176F"/>
    <w:rsid w:val="00C717D1"/>
    <w:rsid w:val="00C71E10"/>
    <w:rsid w:val="00C721D3"/>
    <w:rsid w:val="00C736B3"/>
    <w:rsid w:val="00C7430C"/>
    <w:rsid w:val="00C750CE"/>
    <w:rsid w:val="00C77A12"/>
    <w:rsid w:val="00C800A2"/>
    <w:rsid w:val="00C80CA8"/>
    <w:rsid w:val="00C816C5"/>
    <w:rsid w:val="00C81803"/>
    <w:rsid w:val="00C81DD9"/>
    <w:rsid w:val="00C823DC"/>
    <w:rsid w:val="00C83EC7"/>
    <w:rsid w:val="00C8481E"/>
    <w:rsid w:val="00C86A9D"/>
    <w:rsid w:val="00C879EE"/>
    <w:rsid w:val="00C92770"/>
    <w:rsid w:val="00C93220"/>
    <w:rsid w:val="00C95E17"/>
    <w:rsid w:val="00C9681E"/>
    <w:rsid w:val="00C96E86"/>
    <w:rsid w:val="00C9784A"/>
    <w:rsid w:val="00CA0B46"/>
    <w:rsid w:val="00CA1002"/>
    <w:rsid w:val="00CA1689"/>
    <w:rsid w:val="00CA1BDD"/>
    <w:rsid w:val="00CA3085"/>
    <w:rsid w:val="00CA336F"/>
    <w:rsid w:val="00CA3550"/>
    <w:rsid w:val="00CA3885"/>
    <w:rsid w:val="00CA4C25"/>
    <w:rsid w:val="00CA664C"/>
    <w:rsid w:val="00CA7367"/>
    <w:rsid w:val="00CB0648"/>
    <w:rsid w:val="00CB10C3"/>
    <w:rsid w:val="00CB17B3"/>
    <w:rsid w:val="00CB1C2F"/>
    <w:rsid w:val="00CB2C6F"/>
    <w:rsid w:val="00CB7045"/>
    <w:rsid w:val="00CB7779"/>
    <w:rsid w:val="00CC0DB8"/>
    <w:rsid w:val="00CC0E8D"/>
    <w:rsid w:val="00CC4FB0"/>
    <w:rsid w:val="00CC5D96"/>
    <w:rsid w:val="00CC61B3"/>
    <w:rsid w:val="00CC623C"/>
    <w:rsid w:val="00CC6BA5"/>
    <w:rsid w:val="00CC71A6"/>
    <w:rsid w:val="00CC7463"/>
    <w:rsid w:val="00CC7BA2"/>
    <w:rsid w:val="00CD07D4"/>
    <w:rsid w:val="00CD16EB"/>
    <w:rsid w:val="00CD3EF9"/>
    <w:rsid w:val="00CD4144"/>
    <w:rsid w:val="00CD4A95"/>
    <w:rsid w:val="00CD50F2"/>
    <w:rsid w:val="00CD5F37"/>
    <w:rsid w:val="00CD6C00"/>
    <w:rsid w:val="00CD7EBA"/>
    <w:rsid w:val="00CE00CE"/>
    <w:rsid w:val="00CE0EB9"/>
    <w:rsid w:val="00CE2195"/>
    <w:rsid w:val="00CE24DE"/>
    <w:rsid w:val="00CE2E9F"/>
    <w:rsid w:val="00CE4AE8"/>
    <w:rsid w:val="00CE4D1E"/>
    <w:rsid w:val="00CE60E9"/>
    <w:rsid w:val="00CE64C6"/>
    <w:rsid w:val="00CF0D45"/>
    <w:rsid w:val="00CF0FFB"/>
    <w:rsid w:val="00CF1B30"/>
    <w:rsid w:val="00CF1F83"/>
    <w:rsid w:val="00CF2493"/>
    <w:rsid w:val="00CF270B"/>
    <w:rsid w:val="00CF28FF"/>
    <w:rsid w:val="00CF311D"/>
    <w:rsid w:val="00CF31C5"/>
    <w:rsid w:val="00CF35A7"/>
    <w:rsid w:val="00CF47CC"/>
    <w:rsid w:val="00CF6BBA"/>
    <w:rsid w:val="00CF7316"/>
    <w:rsid w:val="00CF750A"/>
    <w:rsid w:val="00CF7698"/>
    <w:rsid w:val="00D00D73"/>
    <w:rsid w:val="00D014AE"/>
    <w:rsid w:val="00D01B73"/>
    <w:rsid w:val="00D01FB9"/>
    <w:rsid w:val="00D03F56"/>
    <w:rsid w:val="00D04AF3"/>
    <w:rsid w:val="00D06802"/>
    <w:rsid w:val="00D06FEC"/>
    <w:rsid w:val="00D10B13"/>
    <w:rsid w:val="00D118F4"/>
    <w:rsid w:val="00D12DC9"/>
    <w:rsid w:val="00D132A6"/>
    <w:rsid w:val="00D137E1"/>
    <w:rsid w:val="00D13C63"/>
    <w:rsid w:val="00D148A2"/>
    <w:rsid w:val="00D14D00"/>
    <w:rsid w:val="00D14F44"/>
    <w:rsid w:val="00D163C3"/>
    <w:rsid w:val="00D16A72"/>
    <w:rsid w:val="00D16AD1"/>
    <w:rsid w:val="00D17021"/>
    <w:rsid w:val="00D175FD"/>
    <w:rsid w:val="00D21EAA"/>
    <w:rsid w:val="00D23109"/>
    <w:rsid w:val="00D23364"/>
    <w:rsid w:val="00D23391"/>
    <w:rsid w:val="00D24C95"/>
    <w:rsid w:val="00D25C69"/>
    <w:rsid w:val="00D25F1B"/>
    <w:rsid w:val="00D261FF"/>
    <w:rsid w:val="00D30BB1"/>
    <w:rsid w:val="00D3276F"/>
    <w:rsid w:val="00D32F66"/>
    <w:rsid w:val="00D34020"/>
    <w:rsid w:val="00D364F6"/>
    <w:rsid w:val="00D3650A"/>
    <w:rsid w:val="00D36B01"/>
    <w:rsid w:val="00D41479"/>
    <w:rsid w:val="00D44EFE"/>
    <w:rsid w:val="00D45CC9"/>
    <w:rsid w:val="00D4657D"/>
    <w:rsid w:val="00D502DE"/>
    <w:rsid w:val="00D5097A"/>
    <w:rsid w:val="00D519D5"/>
    <w:rsid w:val="00D52717"/>
    <w:rsid w:val="00D52795"/>
    <w:rsid w:val="00D52BCB"/>
    <w:rsid w:val="00D53331"/>
    <w:rsid w:val="00D5370A"/>
    <w:rsid w:val="00D5470B"/>
    <w:rsid w:val="00D55047"/>
    <w:rsid w:val="00D55E70"/>
    <w:rsid w:val="00D57F1B"/>
    <w:rsid w:val="00D602AF"/>
    <w:rsid w:val="00D609B0"/>
    <w:rsid w:val="00D6115D"/>
    <w:rsid w:val="00D62520"/>
    <w:rsid w:val="00D636B0"/>
    <w:rsid w:val="00D64494"/>
    <w:rsid w:val="00D64A7A"/>
    <w:rsid w:val="00D64F65"/>
    <w:rsid w:val="00D658F7"/>
    <w:rsid w:val="00D65C86"/>
    <w:rsid w:val="00D66CFB"/>
    <w:rsid w:val="00D66E04"/>
    <w:rsid w:val="00D67DD4"/>
    <w:rsid w:val="00D701F6"/>
    <w:rsid w:val="00D7086A"/>
    <w:rsid w:val="00D70B62"/>
    <w:rsid w:val="00D721D4"/>
    <w:rsid w:val="00D7462E"/>
    <w:rsid w:val="00D7536B"/>
    <w:rsid w:val="00D756C6"/>
    <w:rsid w:val="00D756DF"/>
    <w:rsid w:val="00D75C70"/>
    <w:rsid w:val="00D7653F"/>
    <w:rsid w:val="00D8180F"/>
    <w:rsid w:val="00D8236A"/>
    <w:rsid w:val="00D828E4"/>
    <w:rsid w:val="00D84B6A"/>
    <w:rsid w:val="00D84E53"/>
    <w:rsid w:val="00D85C45"/>
    <w:rsid w:val="00D86134"/>
    <w:rsid w:val="00D865DD"/>
    <w:rsid w:val="00D879B2"/>
    <w:rsid w:val="00D87ADC"/>
    <w:rsid w:val="00D87FD6"/>
    <w:rsid w:val="00D90133"/>
    <w:rsid w:val="00D906D8"/>
    <w:rsid w:val="00D907D9"/>
    <w:rsid w:val="00D9106B"/>
    <w:rsid w:val="00D92474"/>
    <w:rsid w:val="00D94988"/>
    <w:rsid w:val="00D95F0D"/>
    <w:rsid w:val="00D968C3"/>
    <w:rsid w:val="00D97710"/>
    <w:rsid w:val="00DA05D2"/>
    <w:rsid w:val="00DA0968"/>
    <w:rsid w:val="00DA19F3"/>
    <w:rsid w:val="00DA1E41"/>
    <w:rsid w:val="00DA2715"/>
    <w:rsid w:val="00DA2827"/>
    <w:rsid w:val="00DA2A76"/>
    <w:rsid w:val="00DA2CFE"/>
    <w:rsid w:val="00DA31CB"/>
    <w:rsid w:val="00DA3C5A"/>
    <w:rsid w:val="00DA3F9A"/>
    <w:rsid w:val="00DA4C29"/>
    <w:rsid w:val="00DA78CD"/>
    <w:rsid w:val="00DB015F"/>
    <w:rsid w:val="00DB078F"/>
    <w:rsid w:val="00DB2688"/>
    <w:rsid w:val="00DB3E31"/>
    <w:rsid w:val="00DB435B"/>
    <w:rsid w:val="00DB5048"/>
    <w:rsid w:val="00DB5918"/>
    <w:rsid w:val="00DB5F52"/>
    <w:rsid w:val="00DB6763"/>
    <w:rsid w:val="00DB6DFE"/>
    <w:rsid w:val="00DB6F30"/>
    <w:rsid w:val="00DC0178"/>
    <w:rsid w:val="00DC01AF"/>
    <w:rsid w:val="00DC0B60"/>
    <w:rsid w:val="00DC0FD1"/>
    <w:rsid w:val="00DC4C49"/>
    <w:rsid w:val="00DC5522"/>
    <w:rsid w:val="00DC5538"/>
    <w:rsid w:val="00DC705C"/>
    <w:rsid w:val="00DC7359"/>
    <w:rsid w:val="00DC7BDF"/>
    <w:rsid w:val="00DD0ACA"/>
    <w:rsid w:val="00DD0CB5"/>
    <w:rsid w:val="00DD0E9F"/>
    <w:rsid w:val="00DD11EE"/>
    <w:rsid w:val="00DD1429"/>
    <w:rsid w:val="00DD16D5"/>
    <w:rsid w:val="00DD1AC8"/>
    <w:rsid w:val="00DD2341"/>
    <w:rsid w:val="00DD2F88"/>
    <w:rsid w:val="00DD306E"/>
    <w:rsid w:val="00DD3D34"/>
    <w:rsid w:val="00DD42B0"/>
    <w:rsid w:val="00DD72CA"/>
    <w:rsid w:val="00DD75F5"/>
    <w:rsid w:val="00DE0BC3"/>
    <w:rsid w:val="00DE0F53"/>
    <w:rsid w:val="00DE2ABD"/>
    <w:rsid w:val="00DE3835"/>
    <w:rsid w:val="00DE3F47"/>
    <w:rsid w:val="00DE4652"/>
    <w:rsid w:val="00DE4B36"/>
    <w:rsid w:val="00DE722F"/>
    <w:rsid w:val="00DF0879"/>
    <w:rsid w:val="00DF0DD3"/>
    <w:rsid w:val="00DF1CB8"/>
    <w:rsid w:val="00DF2B3C"/>
    <w:rsid w:val="00DF3F44"/>
    <w:rsid w:val="00DF4DCF"/>
    <w:rsid w:val="00DF5623"/>
    <w:rsid w:val="00DF5BB4"/>
    <w:rsid w:val="00DF6F8F"/>
    <w:rsid w:val="00E0031D"/>
    <w:rsid w:val="00E019A1"/>
    <w:rsid w:val="00E02936"/>
    <w:rsid w:val="00E03CA4"/>
    <w:rsid w:val="00E03D06"/>
    <w:rsid w:val="00E04735"/>
    <w:rsid w:val="00E06406"/>
    <w:rsid w:val="00E066A6"/>
    <w:rsid w:val="00E0763F"/>
    <w:rsid w:val="00E07BCA"/>
    <w:rsid w:val="00E119ED"/>
    <w:rsid w:val="00E11BB8"/>
    <w:rsid w:val="00E12BC8"/>
    <w:rsid w:val="00E12C20"/>
    <w:rsid w:val="00E12C4B"/>
    <w:rsid w:val="00E13527"/>
    <w:rsid w:val="00E14635"/>
    <w:rsid w:val="00E152D4"/>
    <w:rsid w:val="00E164EB"/>
    <w:rsid w:val="00E16DAB"/>
    <w:rsid w:val="00E17BBE"/>
    <w:rsid w:val="00E2134F"/>
    <w:rsid w:val="00E23039"/>
    <w:rsid w:val="00E2313A"/>
    <w:rsid w:val="00E236D6"/>
    <w:rsid w:val="00E24231"/>
    <w:rsid w:val="00E246AC"/>
    <w:rsid w:val="00E250D1"/>
    <w:rsid w:val="00E25B2E"/>
    <w:rsid w:val="00E260AC"/>
    <w:rsid w:val="00E2666B"/>
    <w:rsid w:val="00E26F57"/>
    <w:rsid w:val="00E277C1"/>
    <w:rsid w:val="00E307F3"/>
    <w:rsid w:val="00E30AB8"/>
    <w:rsid w:val="00E30FD8"/>
    <w:rsid w:val="00E326E6"/>
    <w:rsid w:val="00E32F90"/>
    <w:rsid w:val="00E33B39"/>
    <w:rsid w:val="00E3414F"/>
    <w:rsid w:val="00E34784"/>
    <w:rsid w:val="00E3496B"/>
    <w:rsid w:val="00E36C31"/>
    <w:rsid w:val="00E36CAC"/>
    <w:rsid w:val="00E37C67"/>
    <w:rsid w:val="00E417B6"/>
    <w:rsid w:val="00E42766"/>
    <w:rsid w:val="00E427E3"/>
    <w:rsid w:val="00E432CC"/>
    <w:rsid w:val="00E4330C"/>
    <w:rsid w:val="00E44F7F"/>
    <w:rsid w:val="00E44F98"/>
    <w:rsid w:val="00E45170"/>
    <w:rsid w:val="00E45CEB"/>
    <w:rsid w:val="00E46F69"/>
    <w:rsid w:val="00E47043"/>
    <w:rsid w:val="00E519EE"/>
    <w:rsid w:val="00E52718"/>
    <w:rsid w:val="00E530CC"/>
    <w:rsid w:val="00E53E5C"/>
    <w:rsid w:val="00E5404C"/>
    <w:rsid w:val="00E542EF"/>
    <w:rsid w:val="00E56B8F"/>
    <w:rsid w:val="00E570CD"/>
    <w:rsid w:val="00E57859"/>
    <w:rsid w:val="00E60245"/>
    <w:rsid w:val="00E61164"/>
    <w:rsid w:val="00E6247B"/>
    <w:rsid w:val="00E626EC"/>
    <w:rsid w:val="00E6323D"/>
    <w:rsid w:val="00E63DC3"/>
    <w:rsid w:val="00E64828"/>
    <w:rsid w:val="00E65908"/>
    <w:rsid w:val="00E659C1"/>
    <w:rsid w:val="00E70787"/>
    <w:rsid w:val="00E70A9B"/>
    <w:rsid w:val="00E70AC2"/>
    <w:rsid w:val="00E71B82"/>
    <w:rsid w:val="00E722B4"/>
    <w:rsid w:val="00E72384"/>
    <w:rsid w:val="00E72C4F"/>
    <w:rsid w:val="00E73458"/>
    <w:rsid w:val="00E73DDB"/>
    <w:rsid w:val="00E7480B"/>
    <w:rsid w:val="00E74820"/>
    <w:rsid w:val="00E749B3"/>
    <w:rsid w:val="00E75592"/>
    <w:rsid w:val="00E77438"/>
    <w:rsid w:val="00E80607"/>
    <w:rsid w:val="00E806E5"/>
    <w:rsid w:val="00E80D39"/>
    <w:rsid w:val="00E8164E"/>
    <w:rsid w:val="00E81A84"/>
    <w:rsid w:val="00E82AAA"/>
    <w:rsid w:val="00E82CA8"/>
    <w:rsid w:val="00E83832"/>
    <w:rsid w:val="00E839FD"/>
    <w:rsid w:val="00E83BD9"/>
    <w:rsid w:val="00E83E60"/>
    <w:rsid w:val="00E83F11"/>
    <w:rsid w:val="00E84BDF"/>
    <w:rsid w:val="00E85543"/>
    <w:rsid w:val="00E863DB"/>
    <w:rsid w:val="00E86524"/>
    <w:rsid w:val="00E86E1A"/>
    <w:rsid w:val="00E86E21"/>
    <w:rsid w:val="00E87814"/>
    <w:rsid w:val="00E90594"/>
    <w:rsid w:val="00E911B5"/>
    <w:rsid w:val="00E91C25"/>
    <w:rsid w:val="00E937E1"/>
    <w:rsid w:val="00E9389E"/>
    <w:rsid w:val="00E938E5"/>
    <w:rsid w:val="00E94027"/>
    <w:rsid w:val="00E95376"/>
    <w:rsid w:val="00E9590B"/>
    <w:rsid w:val="00E95B0C"/>
    <w:rsid w:val="00E96355"/>
    <w:rsid w:val="00EA1BA1"/>
    <w:rsid w:val="00EA2525"/>
    <w:rsid w:val="00EA27B4"/>
    <w:rsid w:val="00EA2BBD"/>
    <w:rsid w:val="00EA3894"/>
    <w:rsid w:val="00EA3B22"/>
    <w:rsid w:val="00EA3BD6"/>
    <w:rsid w:val="00EA66B6"/>
    <w:rsid w:val="00EA6EA0"/>
    <w:rsid w:val="00EA753A"/>
    <w:rsid w:val="00EB1898"/>
    <w:rsid w:val="00EB3858"/>
    <w:rsid w:val="00EB3899"/>
    <w:rsid w:val="00EB4456"/>
    <w:rsid w:val="00EB66A7"/>
    <w:rsid w:val="00EB6DAE"/>
    <w:rsid w:val="00EB78C5"/>
    <w:rsid w:val="00EC0767"/>
    <w:rsid w:val="00EC0FCC"/>
    <w:rsid w:val="00EC3700"/>
    <w:rsid w:val="00EC3932"/>
    <w:rsid w:val="00EC3A64"/>
    <w:rsid w:val="00EC41BA"/>
    <w:rsid w:val="00EC450F"/>
    <w:rsid w:val="00EC6CA0"/>
    <w:rsid w:val="00EC7A81"/>
    <w:rsid w:val="00ED1F7E"/>
    <w:rsid w:val="00ED46BA"/>
    <w:rsid w:val="00ED69A8"/>
    <w:rsid w:val="00ED741D"/>
    <w:rsid w:val="00ED74C8"/>
    <w:rsid w:val="00EE0909"/>
    <w:rsid w:val="00EE153D"/>
    <w:rsid w:val="00EE17F2"/>
    <w:rsid w:val="00EE2922"/>
    <w:rsid w:val="00EE2EB6"/>
    <w:rsid w:val="00EE3172"/>
    <w:rsid w:val="00EE386F"/>
    <w:rsid w:val="00EE38BC"/>
    <w:rsid w:val="00EE3A58"/>
    <w:rsid w:val="00EE4B64"/>
    <w:rsid w:val="00EE6043"/>
    <w:rsid w:val="00EE6C02"/>
    <w:rsid w:val="00EE6FB5"/>
    <w:rsid w:val="00EF0085"/>
    <w:rsid w:val="00EF184F"/>
    <w:rsid w:val="00EF1FD2"/>
    <w:rsid w:val="00EF3A0F"/>
    <w:rsid w:val="00EF3DE6"/>
    <w:rsid w:val="00EF47EB"/>
    <w:rsid w:val="00EF4869"/>
    <w:rsid w:val="00EF4D04"/>
    <w:rsid w:val="00EF4DE9"/>
    <w:rsid w:val="00F018A9"/>
    <w:rsid w:val="00F022DE"/>
    <w:rsid w:val="00F02AEB"/>
    <w:rsid w:val="00F03215"/>
    <w:rsid w:val="00F04403"/>
    <w:rsid w:val="00F05491"/>
    <w:rsid w:val="00F05A89"/>
    <w:rsid w:val="00F05B2B"/>
    <w:rsid w:val="00F05EB4"/>
    <w:rsid w:val="00F06567"/>
    <w:rsid w:val="00F06568"/>
    <w:rsid w:val="00F06FED"/>
    <w:rsid w:val="00F07F97"/>
    <w:rsid w:val="00F10274"/>
    <w:rsid w:val="00F10310"/>
    <w:rsid w:val="00F103B8"/>
    <w:rsid w:val="00F1109B"/>
    <w:rsid w:val="00F11ED0"/>
    <w:rsid w:val="00F11F5B"/>
    <w:rsid w:val="00F136E4"/>
    <w:rsid w:val="00F14948"/>
    <w:rsid w:val="00F14A40"/>
    <w:rsid w:val="00F15836"/>
    <w:rsid w:val="00F15EA5"/>
    <w:rsid w:val="00F200E2"/>
    <w:rsid w:val="00F2031A"/>
    <w:rsid w:val="00F20857"/>
    <w:rsid w:val="00F20EB4"/>
    <w:rsid w:val="00F21BC3"/>
    <w:rsid w:val="00F21EDD"/>
    <w:rsid w:val="00F225A5"/>
    <w:rsid w:val="00F2407A"/>
    <w:rsid w:val="00F241E5"/>
    <w:rsid w:val="00F2589F"/>
    <w:rsid w:val="00F26622"/>
    <w:rsid w:val="00F26769"/>
    <w:rsid w:val="00F279D7"/>
    <w:rsid w:val="00F30482"/>
    <w:rsid w:val="00F308EE"/>
    <w:rsid w:val="00F31410"/>
    <w:rsid w:val="00F319A1"/>
    <w:rsid w:val="00F32225"/>
    <w:rsid w:val="00F32E20"/>
    <w:rsid w:val="00F330F6"/>
    <w:rsid w:val="00F34107"/>
    <w:rsid w:val="00F377D6"/>
    <w:rsid w:val="00F40151"/>
    <w:rsid w:val="00F40273"/>
    <w:rsid w:val="00F41FE2"/>
    <w:rsid w:val="00F43736"/>
    <w:rsid w:val="00F43D16"/>
    <w:rsid w:val="00F44E8B"/>
    <w:rsid w:val="00F45D53"/>
    <w:rsid w:val="00F45E0D"/>
    <w:rsid w:val="00F469E1"/>
    <w:rsid w:val="00F50298"/>
    <w:rsid w:val="00F5161C"/>
    <w:rsid w:val="00F517D5"/>
    <w:rsid w:val="00F51A1F"/>
    <w:rsid w:val="00F51E81"/>
    <w:rsid w:val="00F52273"/>
    <w:rsid w:val="00F5308A"/>
    <w:rsid w:val="00F53D1C"/>
    <w:rsid w:val="00F53F85"/>
    <w:rsid w:val="00F548AE"/>
    <w:rsid w:val="00F54B6E"/>
    <w:rsid w:val="00F55AED"/>
    <w:rsid w:val="00F55BC5"/>
    <w:rsid w:val="00F606F9"/>
    <w:rsid w:val="00F60B65"/>
    <w:rsid w:val="00F61579"/>
    <w:rsid w:val="00F63CFC"/>
    <w:rsid w:val="00F64369"/>
    <w:rsid w:val="00F644FF"/>
    <w:rsid w:val="00F64E7A"/>
    <w:rsid w:val="00F64EC5"/>
    <w:rsid w:val="00F65889"/>
    <w:rsid w:val="00F65940"/>
    <w:rsid w:val="00F65BA8"/>
    <w:rsid w:val="00F663E4"/>
    <w:rsid w:val="00F67E01"/>
    <w:rsid w:val="00F70BDF"/>
    <w:rsid w:val="00F70E0E"/>
    <w:rsid w:val="00F70E84"/>
    <w:rsid w:val="00F710A1"/>
    <w:rsid w:val="00F71CFE"/>
    <w:rsid w:val="00F729A0"/>
    <w:rsid w:val="00F72F22"/>
    <w:rsid w:val="00F73553"/>
    <w:rsid w:val="00F741F9"/>
    <w:rsid w:val="00F77167"/>
    <w:rsid w:val="00F80F8A"/>
    <w:rsid w:val="00F831DE"/>
    <w:rsid w:val="00F832CE"/>
    <w:rsid w:val="00F83336"/>
    <w:rsid w:val="00F84D2F"/>
    <w:rsid w:val="00F84FF8"/>
    <w:rsid w:val="00F8546E"/>
    <w:rsid w:val="00F8662D"/>
    <w:rsid w:val="00F905AE"/>
    <w:rsid w:val="00F909AC"/>
    <w:rsid w:val="00F94F30"/>
    <w:rsid w:val="00F95117"/>
    <w:rsid w:val="00F95321"/>
    <w:rsid w:val="00F954C5"/>
    <w:rsid w:val="00F957AE"/>
    <w:rsid w:val="00F9590F"/>
    <w:rsid w:val="00F96949"/>
    <w:rsid w:val="00F96F7C"/>
    <w:rsid w:val="00F97C84"/>
    <w:rsid w:val="00F97CFD"/>
    <w:rsid w:val="00FA08FC"/>
    <w:rsid w:val="00FA10B3"/>
    <w:rsid w:val="00FA15AD"/>
    <w:rsid w:val="00FA1856"/>
    <w:rsid w:val="00FA1F0B"/>
    <w:rsid w:val="00FA27C6"/>
    <w:rsid w:val="00FA39CB"/>
    <w:rsid w:val="00FA3FE3"/>
    <w:rsid w:val="00FA56E1"/>
    <w:rsid w:val="00FA72A7"/>
    <w:rsid w:val="00FB0B7B"/>
    <w:rsid w:val="00FB1D5F"/>
    <w:rsid w:val="00FB1E9E"/>
    <w:rsid w:val="00FB31F0"/>
    <w:rsid w:val="00FB34BE"/>
    <w:rsid w:val="00FB5889"/>
    <w:rsid w:val="00FB61D9"/>
    <w:rsid w:val="00FB7766"/>
    <w:rsid w:val="00FB7D1F"/>
    <w:rsid w:val="00FB7F72"/>
    <w:rsid w:val="00FC0C4A"/>
    <w:rsid w:val="00FC1419"/>
    <w:rsid w:val="00FC168B"/>
    <w:rsid w:val="00FC1AEA"/>
    <w:rsid w:val="00FC21D3"/>
    <w:rsid w:val="00FC2A89"/>
    <w:rsid w:val="00FC4981"/>
    <w:rsid w:val="00FC4ACB"/>
    <w:rsid w:val="00FC6079"/>
    <w:rsid w:val="00FC70E9"/>
    <w:rsid w:val="00FC797A"/>
    <w:rsid w:val="00FD0745"/>
    <w:rsid w:val="00FD0CA1"/>
    <w:rsid w:val="00FD127C"/>
    <w:rsid w:val="00FD164F"/>
    <w:rsid w:val="00FD1D9B"/>
    <w:rsid w:val="00FD2656"/>
    <w:rsid w:val="00FD2B12"/>
    <w:rsid w:val="00FD4090"/>
    <w:rsid w:val="00FD45BC"/>
    <w:rsid w:val="00FD4A1B"/>
    <w:rsid w:val="00FD4C1D"/>
    <w:rsid w:val="00FD5162"/>
    <w:rsid w:val="00FD5F20"/>
    <w:rsid w:val="00FD6387"/>
    <w:rsid w:val="00FD6AC6"/>
    <w:rsid w:val="00FD7D70"/>
    <w:rsid w:val="00FE03E4"/>
    <w:rsid w:val="00FE0A44"/>
    <w:rsid w:val="00FE1F46"/>
    <w:rsid w:val="00FE21D6"/>
    <w:rsid w:val="00FE27B7"/>
    <w:rsid w:val="00FE29E0"/>
    <w:rsid w:val="00FE4709"/>
    <w:rsid w:val="00FE642B"/>
    <w:rsid w:val="00FE76BA"/>
    <w:rsid w:val="00FF222A"/>
    <w:rsid w:val="00FF2B92"/>
    <w:rsid w:val="00FF4309"/>
    <w:rsid w:val="00FF444E"/>
    <w:rsid w:val="00FF5BDE"/>
    <w:rsid w:val="00FF5DDD"/>
    <w:rsid w:val="00FF7539"/>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E1"/>
    <w:rPr>
      <w:rFonts w:cs="Mangal"/>
      <w:sz w:val="26"/>
      <w:szCs w:val="26"/>
    </w:rPr>
  </w:style>
  <w:style w:type="paragraph" w:styleId="Heading1">
    <w:name w:val="heading 1"/>
    <w:basedOn w:val="Normal"/>
    <w:next w:val="Normal"/>
    <w:link w:val="Heading1Char"/>
    <w:qFormat/>
    <w:rsid w:val="006C3EB4"/>
    <w:pPr>
      <w:keepNext/>
      <w:keepLines/>
      <w:spacing w:before="480"/>
      <w:ind w:firstLine="0"/>
      <w:outlineLvl w:val="0"/>
    </w:pPr>
    <w:rPr>
      <w:rFonts w:eastAsiaTheme="majorEastAsia" w:cstheme="majorBidi"/>
      <w:b/>
      <w:bCs/>
      <w:szCs w:val="28"/>
    </w:rPr>
  </w:style>
  <w:style w:type="paragraph" w:styleId="Heading2">
    <w:name w:val="heading 2"/>
    <w:basedOn w:val="Normal"/>
    <w:next w:val="Normal"/>
    <w:link w:val="Heading2Char"/>
    <w:qFormat/>
    <w:rsid w:val="00A3778D"/>
    <w:pPr>
      <w:keepNext/>
      <w:numPr>
        <w:numId w:val="1"/>
      </w:numPr>
      <w:ind w:left="1800"/>
      <w:outlineLvl w:val="1"/>
    </w:pPr>
    <w:rPr>
      <w:rFonts w:eastAsiaTheme="majorEastAsia" w:cstheme="majorBidi"/>
      <w:b/>
      <w:szCs w:val="20"/>
    </w:rPr>
  </w:style>
  <w:style w:type="paragraph" w:styleId="Heading3">
    <w:name w:val="heading 3"/>
    <w:basedOn w:val="Normal"/>
    <w:next w:val="Normal"/>
    <w:link w:val="Heading3Char"/>
    <w:qFormat/>
    <w:rsid w:val="003D1EA9"/>
    <w:pPr>
      <w:keepNext/>
      <w:numPr>
        <w:numId w:val="4"/>
      </w:numPr>
      <w:outlineLvl w:val="2"/>
    </w:pPr>
    <w:rPr>
      <w:rFonts w:eastAsiaTheme="majorEastAsia" w:cstheme="majorBidi"/>
      <w:b/>
      <w:szCs w:val="20"/>
    </w:rPr>
  </w:style>
  <w:style w:type="paragraph" w:styleId="Heading4">
    <w:name w:val="heading 4"/>
    <w:basedOn w:val="Normal"/>
    <w:next w:val="Normal"/>
    <w:link w:val="Heading4Char"/>
    <w:unhideWhenUsed/>
    <w:qFormat/>
    <w:rsid w:val="00AE19ED"/>
    <w:pPr>
      <w:keepNext/>
      <w:numPr>
        <w:numId w:val="5"/>
      </w:numPr>
      <w:outlineLvl w:val="3"/>
    </w:pPr>
    <w:rPr>
      <w:rFonts w:eastAsiaTheme="minorEastAsia" w:cstheme="minorBidi"/>
      <w:b/>
      <w:bCs/>
      <w:szCs w:val="28"/>
    </w:rPr>
  </w:style>
  <w:style w:type="paragraph" w:styleId="Heading5">
    <w:name w:val="heading 5"/>
    <w:basedOn w:val="Normal"/>
    <w:next w:val="Normal"/>
    <w:link w:val="Heading5Char"/>
    <w:unhideWhenUsed/>
    <w:qFormat/>
    <w:rsid w:val="00A3778D"/>
    <w:pPr>
      <w:numPr>
        <w:numId w:val="6"/>
      </w:numPr>
      <w:ind w:left="4320" w:hanging="720"/>
      <w:outlineLvl w:val="4"/>
    </w:pPr>
    <w:rPr>
      <w:rFonts w:eastAsiaTheme="minorEastAsia" w:cstheme="minorBidi"/>
      <w:b/>
      <w:bCs/>
      <w:iCs/>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rPr>
      <w:rFonts w:asciiTheme="majorHAnsi" w:eastAsiaTheme="majorEastAsia" w:hAnsiTheme="majorHAnsi"/>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sz w:val="28"/>
      <w:szCs w:val="21"/>
    </w:rPr>
  </w:style>
  <w:style w:type="character" w:customStyle="1" w:styleId="Heading1Char">
    <w:name w:val="Heading 1 Char"/>
    <w:basedOn w:val="DefaultParagraphFont"/>
    <w:link w:val="Heading1"/>
    <w:rsid w:val="006C3EB4"/>
    <w:rPr>
      <w:rFonts w:eastAsiaTheme="majorEastAsia" w:cstheme="majorBidi"/>
      <w:b/>
      <w:bCs/>
      <w:sz w:val="26"/>
      <w:szCs w:val="28"/>
    </w:rPr>
  </w:style>
  <w:style w:type="character" w:customStyle="1" w:styleId="Heading2Char">
    <w:name w:val="Heading 2 Char"/>
    <w:basedOn w:val="DefaultParagraphFont"/>
    <w:link w:val="Heading2"/>
    <w:rsid w:val="00A3778D"/>
    <w:rPr>
      <w:rFonts w:eastAsiaTheme="majorEastAsia" w:cstheme="majorBidi"/>
      <w:b/>
      <w:sz w:val="26"/>
    </w:rPr>
  </w:style>
  <w:style w:type="character" w:customStyle="1" w:styleId="Heading3Char">
    <w:name w:val="Heading 3 Char"/>
    <w:basedOn w:val="DefaultParagraphFont"/>
    <w:link w:val="Heading3"/>
    <w:rsid w:val="003D1EA9"/>
    <w:rPr>
      <w:rFonts w:eastAsiaTheme="majorEastAsia" w:cstheme="majorBidi"/>
      <w:b/>
      <w:sz w:val="26"/>
    </w:rPr>
  </w:style>
  <w:style w:type="character" w:customStyle="1" w:styleId="Heading4Char">
    <w:name w:val="Heading 4 Char"/>
    <w:basedOn w:val="DefaultParagraphFont"/>
    <w:link w:val="Heading4"/>
    <w:rsid w:val="00AE19ED"/>
    <w:rPr>
      <w:rFonts w:eastAsiaTheme="minorEastAsia" w:cstheme="minorBidi"/>
      <w:b/>
      <w:bCs/>
      <w:sz w:val="26"/>
      <w:szCs w:val="28"/>
    </w:rPr>
  </w:style>
  <w:style w:type="character" w:customStyle="1" w:styleId="Heading5Char">
    <w:name w:val="Heading 5 Char"/>
    <w:basedOn w:val="DefaultParagraphFont"/>
    <w:link w:val="Heading5"/>
    <w:rsid w:val="00A3778D"/>
    <w:rPr>
      <w:rFonts w:eastAsiaTheme="minorEastAsia" w:cstheme="minorBidi"/>
      <w:b/>
      <w:bCs/>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spacing w:after="100"/>
    </w:pPr>
    <w:rPr>
      <w:rFonts w:cs="Times New Roman"/>
    </w:rPr>
  </w:style>
  <w:style w:type="paragraph" w:styleId="TOC2">
    <w:name w:val="toc 2"/>
    <w:basedOn w:val="Normal"/>
    <w:next w:val="Normal"/>
    <w:autoRedefine/>
    <w:uiPriority w:val="39"/>
    <w:unhideWhenUsed/>
    <w:rsid w:val="006C24AA"/>
    <w:pPr>
      <w:tabs>
        <w:tab w:val="left" w:pos="1080"/>
        <w:tab w:val="right" w:leader="dot" w:pos="9350"/>
      </w:tabs>
      <w:spacing w:after="100"/>
      <w:ind w:left="240"/>
    </w:pPr>
    <w:rPr>
      <w:rFonts w:cs="Times New Roman"/>
    </w:r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rPr>
      <w:rFonts w:cs="Times New Roman"/>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ind w:left="720"/>
    </w:pPr>
    <w:rPr>
      <w:rFonts w:cs="Times New Roman"/>
    </w:rPr>
  </w:style>
  <w:style w:type="paragraph" w:styleId="TOCHeading">
    <w:name w:val="TOC Heading"/>
    <w:basedOn w:val="Heading1"/>
    <w:next w:val="Normal"/>
    <w:uiPriority w:val="39"/>
    <w:semiHidden/>
    <w:unhideWhenUsed/>
    <w:qFormat/>
    <w:rsid w:val="006C24AA"/>
    <w:pPr>
      <w:outlineLvl w:val="9"/>
    </w:p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semiHidden/>
    <w:unhideWhenUsed/>
    <w:qFormat/>
    <w:rsid w:val="00865951"/>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semiHidden/>
    <w:rsid w:val="00865951"/>
    <w:rPr>
      <w:rFonts w:cs="Mangal"/>
    </w:rPr>
  </w:style>
  <w:style w:type="character" w:styleId="FootnoteReference">
    <w:name w:val="footnote reference"/>
    <w:basedOn w:val="DefaultParagraphFont"/>
    <w:semiHidden/>
    <w:unhideWhenUsed/>
    <w:rsid w:val="00865951"/>
    <w:rPr>
      <w:vertAlign w:val="superscript"/>
    </w:rPr>
  </w:style>
  <w:style w:type="paragraph" w:styleId="Header">
    <w:name w:val="header"/>
    <w:basedOn w:val="Normal"/>
    <w:link w:val="HeaderChar"/>
    <w:uiPriority w:val="99"/>
    <w:semiHidden/>
    <w:unhideWhenUsed/>
    <w:rsid w:val="00E45CE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45CEB"/>
    <w:rPr>
      <w:rFonts w:cs="Mangal"/>
      <w:sz w:val="26"/>
      <w:szCs w:val="26"/>
    </w:rPr>
  </w:style>
  <w:style w:type="paragraph" w:styleId="Footer">
    <w:name w:val="footer"/>
    <w:basedOn w:val="Normal"/>
    <w:link w:val="FooterChar"/>
    <w:uiPriority w:val="99"/>
    <w:unhideWhenUsed/>
    <w:rsid w:val="00E45CEB"/>
    <w:pPr>
      <w:tabs>
        <w:tab w:val="center" w:pos="4680"/>
        <w:tab w:val="right" w:pos="9360"/>
      </w:tabs>
      <w:spacing w:line="240" w:lineRule="auto"/>
    </w:pPr>
  </w:style>
  <w:style w:type="character" w:customStyle="1" w:styleId="FooterChar">
    <w:name w:val="Footer Char"/>
    <w:basedOn w:val="DefaultParagraphFont"/>
    <w:link w:val="Footer"/>
    <w:uiPriority w:val="99"/>
    <w:rsid w:val="00E45CEB"/>
    <w:rPr>
      <w:rFonts w:cs="Mangal"/>
      <w:sz w:val="26"/>
      <w:szCs w:val="26"/>
    </w:rPr>
  </w:style>
  <w:style w:type="table" w:styleId="TableGrid">
    <w:name w:val="Table Grid"/>
    <w:basedOn w:val="TableNormal"/>
    <w:uiPriority w:val="59"/>
    <w:rsid w:val="008461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2F3A94"/>
    <w:rPr>
      <w:rFonts w:cs="Times New Roman"/>
      <w:szCs w:val="20"/>
    </w:rPr>
  </w:style>
  <w:style w:type="character" w:customStyle="1" w:styleId="PlainTextChar">
    <w:name w:val="Plain Text Char"/>
    <w:basedOn w:val="DefaultParagraphFont"/>
    <w:link w:val="PlainText"/>
    <w:uiPriority w:val="99"/>
    <w:rsid w:val="002F3A94"/>
    <w:rPr>
      <w:sz w:val="26"/>
    </w:rPr>
  </w:style>
  <w:style w:type="paragraph" w:styleId="BodyText">
    <w:name w:val="Body Text"/>
    <w:basedOn w:val="Normal"/>
    <w:link w:val="BodyTextChar"/>
    <w:rsid w:val="00F65BA8"/>
    <w:pPr>
      <w:ind w:firstLine="0"/>
    </w:pPr>
    <w:rPr>
      <w:rFonts w:cs="Times New Roman"/>
      <w:szCs w:val="20"/>
    </w:rPr>
  </w:style>
  <w:style w:type="character" w:customStyle="1" w:styleId="BodyTextChar">
    <w:name w:val="Body Text Char"/>
    <w:basedOn w:val="DefaultParagraphFont"/>
    <w:link w:val="BodyText"/>
    <w:rsid w:val="00F65BA8"/>
    <w:rPr>
      <w:sz w:val="26"/>
    </w:rPr>
  </w:style>
  <w:style w:type="paragraph" w:styleId="BodyText2">
    <w:name w:val="Body Text 2"/>
    <w:basedOn w:val="Normal"/>
    <w:link w:val="BodyText2Char"/>
    <w:rsid w:val="00E019A1"/>
    <w:pPr>
      <w:spacing w:after="120" w:line="480" w:lineRule="auto"/>
      <w:ind w:firstLine="0"/>
    </w:pPr>
    <w:rPr>
      <w:rFonts w:cs="Times New Roman"/>
      <w:sz w:val="24"/>
      <w:szCs w:val="24"/>
    </w:rPr>
  </w:style>
  <w:style w:type="character" w:customStyle="1" w:styleId="BodyText2Char">
    <w:name w:val="Body Text 2 Char"/>
    <w:basedOn w:val="DefaultParagraphFont"/>
    <w:link w:val="BodyText2"/>
    <w:rsid w:val="00E019A1"/>
    <w:rPr>
      <w:sz w:val="24"/>
      <w:szCs w:val="24"/>
    </w:rPr>
  </w:style>
  <w:style w:type="paragraph" w:styleId="BodyText3">
    <w:name w:val="Body Text 3"/>
    <w:basedOn w:val="Normal"/>
    <w:link w:val="BodyText3Char"/>
    <w:rsid w:val="00E019A1"/>
    <w:pPr>
      <w:spacing w:after="120" w:line="240" w:lineRule="auto"/>
      <w:ind w:firstLine="0"/>
    </w:pPr>
    <w:rPr>
      <w:rFonts w:cs="Times New Roman"/>
      <w:sz w:val="16"/>
      <w:szCs w:val="16"/>
    </w:rPr>
  </w:style>
  <w:style w:type="character" w:customStyle="1" w:styleId="BodyText3Char">
    <w:name w:val="Body Text 3 Char"/>
    <w:basedOn w:val="DefaultParagraphFont"/>
    <w:link w:val="BodyText3"/>
    <w:rsid w:val="00E019A1"/>
    <w:rPr>
      <w:sz w:val="16"/>
      <w:szCs w:val="16"/>
    </w:rPr>
  </w:style>
  <w:style w:type="paragraph" w:customStyle="1" w:styleId="p6">
    <w:name w:val="p6"/>
    <w:basedOn w:val="Normal"/>
    <w:rsid w:val="00386456"/>
    <w:pPr>
      <w:widowControl w:val="0"/>
      <w:tabs>
        <w:tab w:val="left" w:pos="1513"/>
        <w:tab w:val="left" w:pos="2239"/>
      </w:tabs>
      <w:autoSpaceDE w:val="0"/>
      <w:autoSpaceDN w:val="0"/>
      <w:adjustRightInd w:val="0"/>
      <w:spacing w:line="240" w:lineRule="auto"/>
      <w:ind w:firstLine="1513"/>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6D1353F-8E89-4795-9CCA-30491F13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4874</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joyce marie farner</cp:lastModifiedBy>
  <cp:revision>5</cp:revision>
  <cp:lastPrinted>2011-06-09T15:17:00Z</cp:lastPrinted>
  <dcterms:created xsi:type="dcterms:W3CDTF">2011-05-19T22:39:00Z</dcterms:created>
  <dcterms:modified xsi:type="dcterms:W3CDTF">2011-06-09T15:17:00Z</dcterms:modified>
</cp:coreProperties>
</file>