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78" w:type="dxa"/>
        <w:tblLayout w:type="fixed"/>
        <w:tblLook w:val="0000"/>
      </w:tblPr>
      <w:tblGrid>
        <w:gridCol w:w="2448"/>
        <w:gridCol w:w="5130"/>
        <w:gridCol w:w="2700"/>
      </w:tblGrid>
      <w:tr w:rsidR="00D850D4" w:rsidRPr="00CD6C97">
        <w:tc>
          <w:tcPr>
            <w:tcW w:w="2448" w:type="dxa"/>
          </w:tcPr>
          <w:p w:rsidR="00D850D4" w:rsidRPr="00CD6C97" w:rsidRDefault="00D850D4" w:rsidP="00092C0A">
            <w:pPr>
              <w:pStyle w:val="Heading3"/>
            </w:pPr>
          </w:p>
        </w:tc>
        <w:tc>
          <w:tcPr>
            <w:tcW w:w="5130" w:type="dxa"/>
          </w:tcPr>
          <w:p w:rsidR="00D850D4" w:rsidRPr="00CD6C97" w:rsidRDefault="00D850D4">
            <w:pPr>
              <w:jc w:val="center"/>
              <w:rPr>
                <w:b/>
                <w:sz w:val="26"/>
              </w:rPr>
            </w:pPr>
            <w:smartTag w:uri="urn:schemas-microsoft-com:office:smarttags" w:element="place">
              <w:smartTag w:uri="urn:schemas-microsoft-com:office:smarttags" w:element="State">
                <w:r w:rsidRPr="00CD6C97">
                  <w:rPr>
                    <w:b/>
                    <w:sz w:val="26"/>
                  </w:rPr>
                  <w:t>PENNSYLVANIA</w:t>
                </w:r>
              </w:smartTag>
            </w:smartTag>
          </w:p>
          <w:p w:rsidR="00D850D4" w:rsidRPr="00CD6C97" w:rsidRDefault="00D850D4">
            <w:pPr>
              <w:jc w:val="center"/>
              <w:rPr>
                <w:b/>
                <w:sz w:val="26"/>
              </w:rPr>
            </w:pPr>
            <w:r w:rsidRPr="00CD6C97">
              <w:rPr>
                <w:b/>
                <w:sz w:val="26"/>
              </w:rPr>
              <w:t>PUBLIC UTILITY COMMISSION</w:t>
            </w:r>
          </w:p>
          <w:p w:rsidR="00D850D4" w:rsidRPr="006048E2" w:rsidRDefault="00D850D4" w:rsidP="00092C0A">
            <w:pPr>
              <w:pStyle w:val="StyleCentered"/>
              <w:rPr>
                <w:b/>
              </w:rPr>
            </w:pPr>
            <w:r w:rsidRPr="006048E2">
              <w:rPr>
                <w:b/>
              </w:rPr>
              <w:t>Harrisburg</w:t>
            </w:r>
            <w:r w:rsidR="006048E2" w:rsidRPr="006048E2">
              <w:rPr>
                <w:b/>
              </w:rPr>
              <w:t>, PA</w:t>
            </w:r>
            <w:r w:rsidRPr="006048E2">
              <w:rPr>
                <w:b/>
              </w:rPr>
              <w:t xml:space="preserve">  17105-3265</w:t>
            </w:r>
          </w:p>
        </w:tc>
        <w:tc>
          <w:tcPr>
            <w:tcW w:w="2700" w:type="dxa"/>
          </w:tcPr>
          <w:p w:rsidR="00D850D4" w:rsidRPr="00CD6C97" w:rsidRDefault="00D850D4"/>
        </w:tc>
      </w:tr>
    </w:tbl>
    <w:p w:rsidR="00D850D4" w:rsidRPr="00CD6C97" w:rsidRDefault="00D850D4">
      <w:pPr>
        <w:rPr>
          <w:sz w:val="26"/>
        </w:rPr>
      </w:pPr>
    </w:p>
    <w:tbl>
      <w:tblPr>
        <w:tblW w:w="0" w:type="auto"/>
        <w:tblLayout w:type="fixed"/>
        <w:tblLook w:val="0000"/>
      </w:tblPr>
      <w:tblGrid>
        <w:gridCol w:w="5148"/>
        <w:gridCol w:w="5148"/>
      </w:tblGrid>
      <w:tr w:rsidR="00D850D4" w:rsidRPr="00CD6C97">
        <w:tc>
          <w:tcPr>
            <w:tcW w:w="5148" w:type="dxa"/>
          </w:tcPr>
          <w:p w:rsidR="00D850D4" w:rsidRPr="00CD6C97" w:rsidRDefault="00D850D4">
            <w:pPr>
              <w:rPr>
                <w:sz w:val="26"/>
              </w:rPr>
            </w:pPr>
          </w:p>
        </w:tc>
        <w:tc>
          <w:tcPr>
            <w:tcW w:w="5148" w:type="dxa"/>
          </w:tcPr>
          <w:p w:rsidR="00D850D4" w:rsidRPr="00CD6C97" w:rsidRDefault="00D850D4" w:rsidP="00DB0C0C">
            <w:pPr>
              <w:ind w:firstLine="612"/>
              <w:rPr>
                <w:sz w:val="26"/>
              </w:rPr>
            </w:pPr>
            <w:r w:rsidRPr="00CD6C97">
              <w:rPr>
                <w:sz w:val="26"/>
              </w:rPr>
              <w:t xml:space="preserve">Public Meeting held </w:t>
            </w:r>
            <w:r w:rsidR="00DB0C0C">
              <w:rPr>
                <w:sz w:val="26"/>
              </w:rPr>
              <w:t xml:space="preserve">June </w:t>
            </w:r>
            <w:r w:rsidR="000946A1">
              <w:rPr>
                <w:sz w:val="26"/>
              </w:rPr>
              <w:t>9</w:t>
            </w:r>
            <w:r w:rsidR="00D77859">
              <w:rPr>
                <w:sz w:val="26"/>
              </w:rPr>
              <w:t>, 2011</w:t>
            </w:r>
          </w:p>
        </w:tc>
      </w:tr>
      <w:tr w:rsidR="00D850D4" w:rsidRPr="00CD6C97" w:rsidTr="00C60F42">
        <w:trPr>
          <w:trHeight w:val="297"/>
        </w:trPr>
        <w:tc>
          <w:tcPr>
            <w:tcW w:w="5148" w:type="dxa"/>
          </w:tcPr>
          <w:p w:rsidR="00D850D4" w:rsidRPr="00CD6C97" w:rsidRDefault="00D850D4">
            <w:pPr>
              <w:rPr>
                <w:sz w:val="26"/>
              </w:rPr>
            </w:pPr>
            <w:r w:rsidRPr="00CD6C97">
              <w:rPr>
                <w:sz w:val="26"/>
              </w:rPr>
              <w:t>Commissioners Present:</w:t>
            </w:r>
          </w:p>
        </w:tc>
        <w:tc>
          <w:tcPr>
            <w:tcW w:w="5148" w:type="dxa"/>
          </w:tcPr>
          <w:p w:rsidR="00D850D4" w:rsidRPr="00CD6C97" w:rsidRDefault="00D850D4">
            <w:pPr>
              <w:rPr>
                <w:sz w:val="26"/>
              </w:rPr>
            </w:pPr>
          </w:p>
        </w:tc>
      </w:tr>
    </w:tbl>
    <w:p w:rsidR="00D850D4" w:rsidRPr="00CD6C97" w:rsidRDefault="00D850D4">
      <w:pPr>
        <w:rPr>
          <w:sz w:val="26"/>
        </w:rPr>
      </w:pPr>
    </w:p>
    <w:tbl>
      <w:tblPr>
        <w:tblW w:w="10296" w:type="dxa"/>
        <w:tblLayout w:type="fixed"/>
        <w:tblLook w:val="0000"/>
      </w:tblPr>
      <w:tblGrid>
        <w:gridCol w:w="5958"/>
        <w:gridCol w:w="2898"/>
        <w:gridCol w:w="522"/>
        <w:gridCol w:w="918"/>
      </w:tblGrid>
      <w:tr w:rsidR="00C60F42" w:rsidRPr="00CD6C97" w:rsidTr="00107AB8">
        <w:tc>
          <w:tcPr>
            <w:tcW w:w="9378" w:type="dxa"/>
            <w:gridSpan w:val="3"/>
          </w:tcPr>
          <w:p w:rsidR="00C60F42" w:rsidRPr="00C60F42" w:rsidRDefault="00C60F42" w:rsidP="00790906">
            <w:pPr>
              <w:rPr>
                <w:sz w:val="26"/>
                <w:szCs w:val="26"/>
              </w:rPr>
            </w:pPr>
            <w:r w:rsidRPr="00C60F42">
              <w:rPr>
                <w:sz w:val="26"/>
                <w:szCs w:val="26"/>
              </w:rPr>
              <w:t>Robert F. Powelson, Chairman</w:t>
            </w:r>
          </w:p>
        </w:tc>
        <w:tc>
          <w:tcPr>
            <w:tcW w:w="918" w:type="dxa"/>
          </w:tcPr>
          <w:p w:rsidR="00C60F42" w:rsidRPr="00CD6C97" w:rsidRDefault="00C60F42">
            <w:pPr>
              <w:rPr>
                <w:sz w:val="26"/>
              </w:rPr>
            </w:pPr>
          </w:p>
        </w:tc>
      </w:tr>
      <w:tr w:rsidR="00C60F42" w:rsidRPr="00CD6C97" w:rsidTr="00107AB8">
        <w:tc>
          <w:tcPr>
            <w:tcW w:w="9378" w:type="dxa"/>
            <w:gridSpan w:val="3"/>
          </w:tcPr>
          <w:p w:rsidR="00C60F42" w:rsidRPr="00C60F42" w:rsidRDefault="00C60F42" w:rsidP="00790906">
            <w:pPr>
              <w:rPr>
                <w:color w:val="1F497D"/>
                <w:sz w:val="26"/>
                <w:szCs w:val="26"/>
              </w:rPr>
            </w:pPr>
            <w:r w:rsidRPr="00C60F42">
              <w:rPr>
                <w:sz w:val="26"/>
                <w:szCs w:val="26"/>
              </w:rPr>
              <w:t>John F. Coleman, Jr., Vice Chairman</w:t>
            </w:r>
          </w:p>
        </w:tc>
        <w:tc>
          <w:tcPr>
            <w:tcW w:w="918" w:type="dxa"/>
          </w:tcPr>
          <w:p w:rsidR="00C60F42" w:rsidRPr="00CD6C97" w:rsidRDefault="00C60F42">
            <w:pPr>
              <w:rPr>
                <w:sz w:val="26"/>
              </w:rPr>
            </w:pPr>
          </w:p>
        </w:tc>
      </w:tr>
      <w:tr w:rsidR="00C60F42" w:rsidRPr="00CD6C97" w:rsidTr="00107AB8">
        <w:tc>
          <w:tcPr>
            <w:tcW w:w="9378" w:type="dxa"/>
            <w:gridSpan w:val="3"/>
          </w:tcPr>
          <w:p w:rsidR="00C60F42" w:rsidRPr="00C60F42" w:rsidRDefault="00C60F42" w:rsidP="00790906">
            <w:pPr>
              <w:rPr>
                <w:color w:val="1F497D"/>
                <w:sz w:val="26"/>
                <w:szCs w:val="26"/>
              </w:rPr>
            </w:pPr>
            <w:r w:rsidRPr="00C60F42">
              <w:rPr>
                <w:sz w:val="26"/>
                <w:szCs w:val="26"/>
              </w:rPr>
              <w:t>Tyrone J. Christy</w:t>
            </w:r>
          </w:p>
        </w:tc>
        <w:tc>
          <w:tcPr>
            <w:tcW w:w="918" w:type="dxa"/>
          </w:tcPr>
          <w:p w:rsidR="00C60F42" w:rsidRPr="00CD6C97" w:rsidRDefault="00C60F42">
            <w:pPr>
              <w:rPr>
                <w:sz w:val="26"/>
              </w:rPr>
            </w:pPr>
          </w:p>
        </w:tc>
      </w:tr>
      <w:tr w:rsidR="00C60F42" w:rsidRPr="00CD6C97" w:rsidTr="00107AB8">
        <w:tc>
          <w:tcPr>
            <w:tcW w:w="9378" w:type="dxa"/>
            <w:gridSpan w:val="3"/>
          </w:tcPr>
          <w:p w:rsidR="00C60F42" w:rsidRPr="00C60F42" w:rsidRDefault="00C60F42" w:rsidP="00790906">
            <w:pPr>
              <w:rPr>
                <w:sz w:val="26"/>
                <w:szCs w:val="26"/>
              </w:rPr>
            </w:pPr>
            <w:r w:rsidRPr="00C60F42">
              <w:rPr>
                <w:sz w:val="26"/>
                <w:szCs w:val="26"/>
              </w:rPr>
              <w:t>Wayne E. Gardner</w:t>
            </w:r>
          </w:p>
        </w:tc>
        <w:tc>
          <w:tcPr>
            <w:tcW w:w="918" w:type="dxa"/>
          </w:tcPr>
          <w:p w:rsidR="00C60F42" w:rsidRPr="00CD6C97" w:rsidRDefault="00C60F42">
            <w:pPr>
              <w:rPr>
                <w:sz w:val="26"/>
              </w:rPr>
            </w:pPr>
          </w:p>
        </w:tc>
      </w:tr>
      <w:tr w:rsidR="00C60F42" w:rsidRPr="00C60F42" w:rsidTr="00571027">
        <w:trPr>
          <w:gridAfter w:val="2"/>
          <w:wAfter w:w="1440" w:type="dxa"/>
        </w:trPr>
        <w:tc>
          <w:tcPr>
            <w:tcW w:w="5958" w:type="dxa"/>
          </w:tcPr>
          <w:p w:rsidR="00C60F42" w:rsidRPr="00C60F42" w:rsidRDefault="00C60F42" w:rsidP="00790906">
            <w:pPr>
              <w:rPr>
                <w:sz w:val="26"/>
                <w:szCs w:val="26"/>
              </w:rPr>
            </w:pPr>
            <w:r w:rsidRPr="00C60F42">
              <w:rPr>
                <w:sz w:val="26"/>
                <w:szCs w:val="26"/>
              </w:rPr>
              <w:t>James H. Cawley</w:t>
            </w:r>
          </w:p>
        </w:tc>
        <w:tc>
          <w:tcPr>
            <w:tcW w:w="2898" w:type="dxa"/>
          </w:tcPr>
          <w:p w:rsidR="00C60F42" w:rsidRPr="00C60F42" w:rsidRDefault="00C60F42" w:rsidP="00A82FC9">
            <w:pPr>
              <w:rPr>
                <w:sz w:val="26"/>
                <w:szCs w:val="26"/>
              </w:rPr>
            </w:pPr>
          </w:p>
        </w:tc>
      </w:tr>
      <w:tr w:rsidR="00E441EC" w:rsidRPr="00CD6C97" w:rsidTr="00571027">
        <w:trPr>
          <w:gridAfter w:val="2"/>
          <w:wAfter w:w="1440" w:type="dxa"/>
        </w:trPr>
        <w:tc>
          <w:tcPr>
            <w:tcW w:w="5958" w:type="dxa"/>
          </w:tcPr>
          <w:p w:rsidR="00E441EC" w:rsidRPr="00CD6C97" w:rsidRDefault="00E441EC" w:rsidP="00F649E4">
            <w:pPr>
              <w:rPr>
                <w:sz w:val="26"/>
              </w:rPr>
            </w:pPr>
          </w:p>
        </w:tc>
        <w:tc>
          <w:tcPr>
            <w:tcW w:w="2898" w:type="dxa"/>
          </w:tcPr>
          <w:p w:rsidR="00E441EC" w:rsidRPr="00CD6C97" w:rsidRDefault="00E441EC" w:rsidP="00A82FC9">
            <w:pPr>
              <w:rPr>
                <w:sz w:val="26"/>
              </w:rPr>
            </w:pPr>
          </w:p>
        </w:tc>
      </w:tr>
      <w:tr w:rsidR="00107AB8" w:rsidRPr="00CD6C97" w:rsidTr="00571027">
        <w:trPr>
          <w:gridAfter w:val="2"/>
          <w:wAfter w:w="1440" w:type="dxa"/>
        </w:trPr>
        <w:tc>
          <w:tcPr>
            <w:tcW w:w="5958" w:type="dxa"/>
          </w:tcPr>
          <w:p w:rsidR="00107AB8" w:rsidRPr="00CD6C97" w:rsidRDefault="00107AB8" w:rsidP="00F649E4">
            <w:pPr>
              <w:rPr>
                <w:sz w:val="26"/>
              </w:rPr>
            </w:pPr>
          </w:p>
        </w:tc>
        <w:tc>
          <w:tcPr>
            <w:tcW w:w="2898" w:type="dxa"/>
          </w:tcPr>
          <w:p w:rsidR="00107AB8" w:rsidRPr="00CD6C97" w:rsidRDefault="00107AB8" w:rsidP="00A82FC9">
            <w:pPr>
              <w:rPr>
                <w:sz w:val="26"/>
              </w:rPr>
            </w:pPr>
          </w:p>
        </w:tc>
      </w:tr>
    </w:tbl>
    <w:p w:rsidR="00D850D4" w:rsidRPr="00CD6C97" w:rsidRDefault="00D850D4">
      <w:pPr>
        <w:jc w:val="center"/>
        <w:rPr>
          <w:b/>
          <w:sz w:val="26"/>
        </w:rPr>
      </w:pPr>
    </w:p>
    <w:p w:rsidR="00304D95" w:rsidRDefault="009E1014" w:rsidP="00304D95">
      <w:pPr>
        <w:rPr>
          <w:sz w:val="26"/>
        </w:rPr>
      </w:pPr>
      <w:r>
        <w:rPr>
          <w:sz w:val="26"/>
          <w:szCs w:val="26"/>
        </w:rPr>
        <w:t>Petition</w:t>
      </w:r>
      <w:r w:rsidR="009722DE" w:rsidRPr="009722DE">
        <w:rPr>
          <w:sz w:val="26"/>
          <w:szCs w:val="26"/>
        </w:rPr>
        <w:t xml:space="preserve"> of the Department of Transportation of </w:t>
      </w:r>
      <w:r w:rsidR="00304D95">
        <w:rPr>
          <w:sz w:val="26"/>
          <w:szCs w:val="26"/>
        </w:rPr>
        <w:tab/>
      </w:r>
      <w:r w:rsidR="00304D95">
        <w:rPr>
          <w:sz w:val="26"/>
          <w:szCs w:val="26"/>
        </w:rPr>
        <w:tab/>
      </w:r>
      <w:r w:rsidR="00304D95">
        <w:rPr>
          <w:sz w:val="26"/>
          <w:szCs w:val="26"/>
        </w:rPr>
        <w:tab/>
      </w:r>
      <w:r w:rsidR="00304D95">
        <w:rPr>
          <w:sz w:val="26"/>
        </w:rPr>
        <w:t>A-2008-2079988</w:t>
      </w:r>
    </w:p>
    <w:p w:rsidR="00304D95" w:rsidRDefault="009722DE" w:rsidP="00304D95">
      <w:pPr>
        <w:rPr>
          <w:sz w:val="26"/>
          <w:szCs w:val="26"/>
        </w:rPr>
      </w:pPr>
      <w:r w:rsidRPr="009722DE">
        <w:rPr>
          <w:sz w:val="26"/>
          <w:szCs w:val="26"/>
        </w:rPr>
        <w:t>the C</w:t>
      </w:r>
      <w:r w:rsidR="009E1014">
        <w:rPr>
          <w:sz w:val="26"/>
          <w:szCs w:val="26"/>
        </w:rPr>
        <w:t>ommonwealth of Pennsylvania to transfer</w:t>
      </w:r>
    </w:p>
    <w:p w:rsidR="00304D95" w:rsidRDefault="009E1014" w:rsidP="00304D95">
      <w:pPr>
        <w:tabs>
          <w:tab w:val="left" w:pos="0"/>
        </w:tabs>
        <w:rPr>
          <w:sz w:val="26"/>
          <w:szCs w:val="26"/>
        </w:rPr>
      </w:pPr>
      <w:r>
        <w:rPr>
          <w:sz w:val="26"/>
          <w:szCs w:val="26"/>
        </w:rPr>
        <w:t>jurisdiction to the Court of Common Pleas of</w:t>
      </w:r>
    </w:p>
    <w:p w:rsidR="009722DE" w:rsidRPr="009722DE" w:rsidRDefault="009E1014" w:rsidP="00304D95">
      <w:pPr>
        <w:tabs>
          <w:tab w:val="left" w:pos="0"/>
        </w:tabs>
        <w:rPr>
          <w:sz w:val="26"/>
          <w:szCs w:val="26"/>
        </w:rPr>
      </w:pPr>
      <w:r>
        <w:rPr>
          <w:sz w:val="26"/>
          <w:szCs w:val="26"/>
        </w:rPr>
        <w:t>Lancaster County</w:t>
      </w:r>
      <w:r w:rsidR="0085401A">
        <w:rPr>
          <w:sz w:val="26"/>
          <w:szCs w:val="26"/>
        </w:rPr>
        <w:t>.</w:t>
      </w:r>
    </w:p>
    <w:p w:rsidR="009722DE" w:rsidRDefault="009722DE" w:rsidP="00304D95">
      <w:pPr>
        <w:rPr>
          <w:sz w:val="26"/>
          <w:szCs w:val="26"/>
        </w:rPr>
      </w:pPr>
      <w:r>
        <w:rPr>
          <w:sz w:val="26"/>
          <w:szCs w:val="26"/>
        </w:rPr>
        <w:tab/>
      </w:r>
    </w:p>
    <w:p w:rsidR="006B30EC" w:rsidRDefault="006B30EC" w:rsidP="00304D95">
      <w:pPr>
        <w:rPr>
          <w:sz w:val="26"/>
          <w:szCs w:val="26"/>
        </w:rPr>
      </w:pPr>
    </w:p>
    <w:p w:rsidR="006B30EC" w:rsidRPr="006B30EC" w:rsidRDefault="006B30EC" w:rsidP="006B30EC">
      <w:pPr>
        <w:jc w:val="center"/>
        <w:rPr>
          <w:b/>
          <w:sz w:val="26"/>
          <w:szCs w:val="26"/>
        </w:rPr>
      </w:pPr>
      <w:r>
        <w:rPr>
          <w:b/>
          <w:sz w:val="26"/>
          <w:szCs w:val="26"/>
        </w:rPr>
        <w:t>ORDER</w:t>
      </w:r>
    </w:p>
    <w:p w:rsidR="00E96680" w:rsidRPr="00CD6C97" w:rsidRDefault="00E96680">
      <w:pPr>
        <w:spacing w:line="360" w:lineRule="auto"/>
        <w:rPr>
          <w:sz w:val="26"/>
        </w:rPr>
      </w:pPr>
    </w:p>
    <w:p w:rsidR="00DF0470" w:rsidRDefault="00DF0470" w:rsidP="00304D95">
      <w:pPr>
        <w:pStyle w:val="p3"/>
        <w:spacing w:line="360" w:lineRule="auto"/>
        <w:rPr>
          <w:b/>
          <w:sz w:val="26"/>
          <w:szCs w:val="26"/>
        </w:rPr>
      </w:pPr>
      <w:r w:rsidRPr="00CD6C97">
        <w:rPr>
          <w:b/>
          <w:sz w:val="26"/>
          <w:szCs w:val="26"/>
        </w:rPr>
        <w:t>BY THE COMMISSION:</w:t>
      </w:r>
    </w:p>
    <w:p w:rsidR="009722DE" w:rsidRPr="009722DE" w:rsidRDefault="009722DE" w:rsidP="00304D95">
      <w:pPr>
        <w:spacing w:line="360" w:lineRule="auto"/>
        <w:rPr>
          <w:sz w:val="26"/>
          <w:szCs w:val="26"/>
        </w:rPr>
      </w:pPr>
      <w:r>
        <w:tab/>
      </w:r>
      <w:r w:rsidRPr="009722DE">
        <w:rPr>
          <w:sz w:val="26"/>
          <w:szCs w:val="26"/>
        </w:rPr>
        <w:t>This Commission, by order adopted January 10, 2008</w:t>
      </w:r>
      <w:r w:rsidR="00407389">
        <w:rPr>
          <w:sz w:val="26"/>
          <w:szCs w:val="26"/>
        </w:rPr>
        <w:t>,</w:t>
      </w:r>
      <w:r w:rsidRPr="009722DE">
        <w:rPr>
          <w:sz w:val="26"/>
          <w:szCs w:val="26"/>
        </w:rPr>
        <w:t xml:space="preserve"> and entered January 11, 2008, approved the Application of the Pennsylvania</w:t>
      </w:r>
      <w:r w:rsidR="00961ED4">
        <w:rPr>
          <w:sz w:val="26"/>
          <w:szCs w:val="26"/>
        </w:rPr>
        <w:t xml:space="preserve"> Department of Transportation (Penn DOT</w:t>
      </w:r>
      <w:r w:rsidRPr="009722DE">
        <w:rPr>
          <w:sz w:val="26"/>
          <w:szCs w:val="26"/>
        </w:rPr>
        <w:t xml:space="preserve">) to </w:t>
      </w:r>
      <w:r w:rsidR="00961ED4">
        <w:rPr>
          <w:sz w:val="26"/>
          <w:szCs w:val="26"/>
        </w:rPr>
        <w:t>reconstruct the crossing of State Route 0772 above the grade of the tracks of National Railroad Passenger Corporation (AMTRAK) in Mount Joy Borough, Lancaster County</w:t>
      </w:r>
      <w:r w:rsidR="001E7926">
        <w:rPr>
          <w:sz w:val="26"/>
          <w:szCs w:val="26"/>
        </w:rPr>
        <w:t>, with an exemption to the Commission’s minimum overhead clearance requirements of 22.0 feet</w:t>
      </w:r>
      <w:r w:rsidRPr="009722DE">
        <w:rPr>
          <w:sz w:val="26"/>
          <w:szCs w:val="26"/>
        </w:rPr>
        <w:t>.  The above-mentioned order approved</w:t>
      </w:r>
      <w:r w:rsidR="00B85195">
        <w:rPr>
          <w:sz w:val="26"/>
          <w:szCs w:val="26"/>
        </w:rPr>
        <w:t>, pursuant to Section 2702</w:t>
      </w:r>
      <w:r w:rsidR="00B85195" w:rsidRPr="009722DE">
        <w:rPr>
          <w:sz w:val="26"/>
          <w:szCs w:val="26"/>
        </w:rPr>
        <w:t xml:space="preserve"> of the Public</w:t>
      </w:r>
      <w:r w:rsidR="00B85195">
        <w:rPr>
          <w:sz w:val="26"/>
          <w:szCs w:val="26"/>
        </w:rPr>
        <w:t xml:space="preserve"> Utility Code, 66 Pa.C.S. § 2702, Penn DOT’s</w:t>
      </w:r>
      <w:r w:rsidRPr="009722DE">
        <w:rPr>
          <w:sz w:val="26"/>
          <w:szCs w:val="26"/>
        </w:rPr>
        <w:t xml:space="preserve"> appropriation</w:t>
      </w:r>
      <w:r w:rsidR="00161C36">
        <w:rPr>
          <w:sz w:val="26"/>
          <w:szCs w:val="26"/>
        </w:rPr>
        <w:t xml:space="preserve"> of property belonging to AMTRAK</w:t>
      </w:r>
      <w:r w:rsidR="00D95CA0">
        <w:rPr>
          <w:sz w:val="26"/>
          <w:szCs w:val="26"/>
        </w:rPr>
        <w:t xml:space="preserve"> for use during the construction period only and for the purpose of the improvement in accordance with the approved right-of-way plan</w:t>
      </w:r>
      <w:r w:rsidR="00161C36">
        <w:rPr>
          <w:sz w:val="26"/>
          <w:szCs w:val="26"/>
        </w:rPr>
        <w:t>.</w:t>
      </w:r>
    </w:p>
    <w:p w:rsidR="009722DE" w:rsidRPr="009722DE" w:rsidRDefault="009722DE" w:rsidP="00304D95">
      <w:pPr>
        <w:spacing w:line="360" w:lineRule="auto"/>
        <w:rPr>
          <w:sz w:val="26"/>
          <w:szCs w:val="26"/>
        </w:rPr>
      </w:pPr>
    </w:p>
    <w:p w:rsidR="009722DE" w:rsidRPr="009722DE" w:rsidRDefault="009722DE" w:rsidP="00304D95">
      <w:pPr>
        <w:spacing w:line="360" w:lineRule="auto"/>
        <w:rPr>
          <w:sz w:val="26"/>
          <w:szCs w:val="26"/>
        </w:rPr>
      </w:pPr>
      <w:r w:rsidRPr="009722DE">
        <w:rPr>
          <w:sz w:val="26"/>
          <w:szCs w:val="26"/>
        </w:rPr>
        <w:tab/>
        <w:t xml:space="preserve">On </w:t>
      </w:r>
      <w:r w:rsidR="00856C64">
        <w:rPr>
          <w:sz w:val="26"/>
          <w:szCs w:val="26"/>
        </w:rPr>
        <w:t>April 22, 2011</w:t>
      </w:r>
      <w:r w:rsidRPr="009722DE">
        <w:rPr>
          <w:sz w:val="26"/>
          <w:szCs w:val="26"/>
        </w:rPr>
        <w:t>, Penn DOT filed a pe</w:t>
      </w:r>
      <w:r w:rsidR="00ED0E01">
        <w:rPr>
          <w:sz w:val="26"/>
          <w:szCs w:val="26"/>
        </w:rPr>
        <w:t>tition with this Commission to transfer j</w:t>
      </w:r>
      <w:r w:rsidRPr="009722DE">
        <w:rPr>
          <w:sz w:val="26"/>
          <w:szCs w:val="26"/>
        </w:rPr>
        <w:t xml:space="preserve">urisdiction to the Court of Common Pleas of </w:t>
      </w:r>
      <w:r w:rsidR="00856C64">
        <w:rPr>
          <w:sz w:val="26"/>
          <w:szCs w:val="26"/>
        </w:rPr>
        <w:t>Lancaster County</w:t>
      </w:r>
      <w:r w:rsidRPr="009722DE">
        <w:rPr>
          <w:sz w:val="26"/>
          <w:szCs w:val="26"/>
        </w:rPr>
        <w:t xml:space="preserve">, requesting that this </w:t>
      </w:r>
      <w:r w:rsidRPr="009722DE">
        <w:rPr>
          <w:sz w:val="26"/>
          <w:szCs w:val="26"/>
        </w:rPr>
        <w:lastRenderedPageBreak/>
        <w:t xml:space="preserve">Commission, pursuant to 66 Pa.C.S. § 2704, refer this matter to the Court of Common Pleas of </w:t>
      </w:r>
      <w:r w:rsidR="00856C64">
        <w:rPr>
          <w:sz w:val="26"/>
          <w:szCs w:val="26"/>
        </w:rPr>
        <w:t>Lancaster</w:t>
      </w:r>
      <w:r w:rsidRPr="009722DE">
        <w:rPr>
          <w:sz w:val="26"/>
          <w:szCs w:val="26"/>
        </w:rPr>
        <w:t xml:space="preserve"> County, for the filing of a Petition to deposit Penn DOT’s estimate of just compensation into court pursuant to Sections 307, 521, and 522 of the Eminent Domain Code, 26 Pa.C.S. §§ 307, 521, and 522 as they may apply.  </w:t>
      </w:r>
    </w:p>
    <w:p w:rsidR="009722DE" w:rsidRPr="009722DE" w:rsidRDefault="009722DE" w:rsidP="00304D95">
      <w:pPr>
        <w:spacing w:line="360" w:lineRule="auto"/>
        <w:rPr>
          <w:sz w:val="26"/>
          <w:szCs w:val="26"/>
        </w:rPr>
      </w:pPr>
    </w:p>
    <w:p w:rsidR="009722DE" w:rsidRPr="009722DE" w:rsidRDefault="009722DE" w:rsidP="00304D95">
      <w:pPr>
        <w:spacing w:line="360" w:lineRule="auto"/>
        <w:rPr>
          <w:sz w:val="26"/>
          <w:szCs w:val="26"/>
        </w:rPr>
      </w:pPr>
      <w:r w:rsidRPr="009722DE">
        <w:rPr>
          <w:sz w:val="26"/>
          <w:szCs w:val="26"/>
        </w:rPr>
        <w:tab/>
        <w:t>Section 2704(a) of the Public Utility Code, 66 Pa.C.S. § 2704(a) provides in pertinent part:</w:t>
      </w:r>
    </w:p>
    <w:p w:rsidR="009722DE" w:rsidRPr="009722DE" w:rsidRDefault="009722DE" w:rsidP="009722DE">
      <w:pPr>
        <w:rPr>
          <w:sz w:val="26"/>
          <w:szCs w:val="26"/>
        </w:rPr>
      </w:pPr>
    </w:p>
    <w:p w:rsidR="009722DE" w:rsidRPr="009722DE" w:rsidRDefault="009722DE" w:rsidP="009722DE">
      <w:pPr>
        <w:ind w:left="1080" w:right="1080"/>
        <w:rPr>
          <w:sz w:val="26"/>
          <w:szCs w:val="26"/>
        </w:rPr>
      </w:pPr>
      <w:r w:rsidRPr="009722DE">
        <w:rPr>
          <w:sz w:val="26"/>
          <w:szCs w:val="26"/>
        </w:rPr>
        <w:t>The compensation for damages which the owners of adjacent property taken, injured, or destroyed may sustain in the construction, relocation, alteration, protection or abolition of any crossing under the provisions of this part, shall, after due notice and hearing, be ascertained and determined by the [C]omission.</w:t>
      </w:r>
    </w:p>
    <w:p w:rsidR="009722DE" w:rsidRPr="009722DE" w:rsidRDefault="009722DE" w:rsidP="009722DE">
      <w:pPr>
        <w:rPr>
          <w:sz w:val="26"/>
          <w:szCs w:val="26"/>
        </w:rPr>
      </w:pPr>
    </w:p>
    <w:p w:rsidR="009722DE" w:rsidRPr="009722DE" w:rsidRDefault="009722DE" w:rsidP="00304D95">
      <w:pPr>
        <w:spacing w:line="360" w:lineRule="auto"/>
        <w:rPr>
          <w:sz w:val="26"/>
          <w:szCs w:val="26"/>
        </w:rPr>
      </w:pPr>
      <w:r w:rsidRPr="009722DE">
        <w:rPr>
          <w:sz w:val="26"/>
          <w:szCs w:val="26"/>
        </w:rPr>
        <w:tab/>
        <w:t>Section 2704(b) of the Public Utility Code, 66 Pa.C.S. § 2704(b) provides in pertinent part:</w:t>
      </w:r>
    </w:p>
    <w:p w:rsidR="009722DE" w:rsidRPr="009722DE" w:rsidRDefault="009722DE" w:rsidP="009722DE">
      <w:pPr>
        <w:rPr>
          <w:sz w:val="26"/>
          <w:szCs w:val="26"/>
        </w:rPr>
      </w:pPr>
    </w:p>
    <w:p w:rsidR="009722DE" w:rsidRPr="009722DE" w:rsidRDefault="009722DE" w:rsidP="009722DE">
      <w:pPr>
        <w:ind w:left="1080" w:right="1080"/>
        <w:rPr>
          <w:sz w:val="26"/>
          <w:szCs w:val="26"/>
        </w:rPr>
      </w:pPr>
      <w:r w:rsidRPr="009722DE">
        <w:rPr>
          <w:sz w:val="26"/>
          <w:szCs w:val="26"/>
        </w:rPr>
        <w:t>The [C]omission may, of its own motion, or upon application of any party in interest, submit to the court of common pleas of the county wherein the property affected is located, the determination of the amount of damages to any property owner due to such condemnation.</w:t>
      </w:r>
    </w:p>
    <w:p w:rsidR="009722DE" w:rsidRPr="009722DE" w:rsidRDefault="009722DE" w:rsidP="009722DE">
      <w:pPr>
        <w:rPr>
          <w:sz w:val="26"/>
          <w:szCs w:val="26"/>
        </w:rPr>
      </w:pPr>
    </w:p>
    <w:p w:rsidR="009722DE" w:rsidRPr="00304D95" w:rsidRDefault="009722DE" w:rsidP="00304D95">
      <w:pPr>
        <w:spacing w:line="360" w:lineRule="auto"/>
        <w:rPr>
          <w:sz w:val="26"/>
          <w:szCs w:val="26"/>
        </w:rPr>
      </w:pPr>
      <w:r w:rsidRPr="009722DE">
        <w:rPr>
          <w:sz w:val="26"/>
          <w:szCs w:val="26"/>
        </w:rPr>
        <w:tab/>
        <w:t xml:space="preserve">We determine it appropriate to refer the subject property damage claim of </w:t>
      </w:r>
      <w:r w:rsidR="0056254B">
        <w:rPr>
          <w:sz w:val="26"/>
          <w:szCs w:val="26"/>
        </w:rPr>
        <w:t>AMTRAK</w:t>
      </w:r>
      <w:r w:rsidRPr="009722DE">
        <w:rPr>
          <w:sz w:val="26"/>
          <w:szCs w:val="26"/>
        </w:rPr>
        <w:t xml:space="preserve"> to the Court of Common Pleas of </w:t>
      </w:r>
      <w:r w:rsidR="0056254B">
        <w:rPr>
          <w:sz w:val="26"/>
          <w:szCs w:val="26"/>
        </w:rPr>
        <w:t>Lancaster</w:t>
      </w:r>
      <w:r w:rsidRPr="009722DE">
        <w:rPr>
          <w:sz w:val="26"/>
          <w:szCs w:val="26"/>
        </w:rPr>
        <w:t xml:space="preserve"> County in accordance with 66 Pa.C.S. § 2704(b).  Accordingly, this Commission finds that the instant petition of the Pennsylvania Department of Transportation should be granted and that the property damage claim should be referred to the Court of Common Pleas of </w:t>
      </w:r>
      <w:r w:rsidR="0056254B">
        <w:rPr>
          <w:sz w:val="26"/>
          <w:szCs w:val="26"/>
        </w:rPr>
        <w:t xml:space="preserve">Lancaster </w:t>
      </w:r>
      <w:r w:rsidRPr="009722DE">
        <w:rPr>
          <w:sz w:val="26"/>
          <w:szCs w:val="26"/>
        </w:rPr>
        <w:t xml:space="preserve">County;  </w:t>
      </w:r>
      <w:r w:rsidRPr="009722DE">
        <w:rPr>
          <w:b/>
          <w:sz w:val="26"/>
          <w:szCs w:val="26"/>
        </w:rPr>
        <w:t>THEREFORE,</w:t>
      </w:r>
    </w:p>
    <w:p w:rsidR="009722DE" w:rsidRDefault="009722DE" w:rsidP="009722DE">
      <w:pPr>
        <w:rPr>
          <w:b/>
          <w:sz w:val="26"/>
          <w:szCs w:val="26"/>
        </w:rPr>
      </w:pPr>
    </w:p>
    <w:p w:rsidR="00304D95" w:rsidRDefault="00304D95" w:rsidP="009722DE">
      <w:pPr>
        <w:rPr>
          <w:b/>
          <w:sz w:val="26"/>
          <w:szCs w:val="26"/>
        </w:rPr>
      </w:pPr>
    </w:p>
    <w:p w:rsidR="00304D95" w:rsidRDefault="00304D95" w:rsidP="009722DE">
      <w:pPr>
        <w:rPr>
          <w:b/>
          <w:sz w:val="26"/>
          <w:szCs w:val="26"/>
        </w:rPr>
      </w:pPr>
    </w:p>
    <w:p w:rsidR="00304D95" w:rsidRDefault="00304D95" w:rsidP="009722DE">
      <w:pPr>
        <w:rPr>
          <w:b/>
          <w:sz w:val="26"/>
          <w:szCs w:val="26"/>
        </w:rPr>
      </w:pPr>
    </w:p>
    <w:p w:rsidR="00304D95" w:rsidRDefault="00304D95" w:rsidP="009722DE">
      <w:pPr>
        <w:rPr>
          <w:b/>
          <w:sz w:val="26"/>
          <w:szCs w:val="26"/>
        </w:rPr>
      </w:pPr>
    </w:p>
    <w:p w:rsidR="00304D95" w:rsidRDefault="00304D95" w:rsidP="009722DE">
      <w:pPr>
        <w:rPr>
          <w:b/>
          <w:sz w:val="26"/>
          <w:szCs w:val="26"/>
        </w:rPr>
      </w:pPr>
    </w:p>
    <w:p w:rsidR="00304D95" w:rsidRDefault="00304D95" w:rsidP="009722DE">
      <w:pPr>
        <w:rPr>
          <w:b/>
          <w:sz w:val="26"/>
          <w:szCs w:val="26"/>
        </w:rPr>
      </w:pPr>
    </w:p>
    <w:p w:rsidR="00304D95" w:rsidRPr="009722DE" w:rsidRDefault="00304D95" w:rsidP="009722DE">
      <w:pPr>
        <w:rPr>
          <w:b/>
          <w:sz w:val="26"/>
          <w:szCs w:val="26"/>
        </w:rPr>
      </w:pPr>
    </w:p>
    <w:p w:rsidR="009722DE" w:rsidRPr="009722DE" w:rsidRDefault="009722DE" w:rsidP="009722DE">
      <w:pPr>
        <w:rPr>
          <w:sz w:val="26"/>
          <w:szCs w:val="26"/>
        </w:rPr>
      </w:pPr>
      <w:r w:rsidRPr="009722DE">
        <w:rPr>
          <w:b/>
          <w:sz w:val="26"/>
          <w:szCs w:val="26"/>
        </w:rPr>
        <w:tab/>
        <w:t>IT IS ORDERED:</w:t>
      </w:r>
    </w:p>
    <w:p w:rsidR="009722DE" w:rsidRPr="009722DE" w:rsidRDefault="009722DE" w:rsidP="009722DE">
      <w:pPr>
        <w:rPr>
          <w:sz w:val="26"/>
          <w:szCs w:val="26"/>
        </w:rPr>
      </w:pPr>
    </w:p>
    <w:p w:rsidR="009722DE" w:rsidRPr="009722DE" w:rsidRDefault="009722DE" w:rsidP="00304D95">
      <w:pPr>
        <w:spacing w:line="360" w:lineRule="auto"/>
        <w:rPr>
          <w:sz w:val="26"/>
          <w:szCs w:val="26"/>
        </w:rPr>
      </w:pPr>
      <w:r w:rsidRPr="009722DE">
        <w:rPr>
          <w:sz w:val="26"/>
          <w:szCs w:val="26"/>
        </w:rPr>
        <w:tab/>
        <w:t>1.</w:t>
      </w:r>
      <w:r w:rsidRPr="009722DE">
        <w:rPr>
          <w:sz w:val="26"/>
          <w:szCs w:val="26"/>
        </w:rPr>
        <w:tab/>
        <w:t xml:space="preserve">That the petition filed by the Pennsylvania Department of Transportation on </w:t>
      </w:r>
      <w:r w:rsidR="0056254B">
        <w:rPr>
          <w:sz w:val="26"/>
          <w:szCs w:val="26"/>
        </w:rPr>
        <w:t>April 22, 2011,</w:t>
      </w:r>
      <w:r w:rsidRPr="009722DE">
        <w:rPr>
          <w:sz w:val="26"/>
          <w:szCs w:val="26"/>
        </w:rPr>
        <w:t xml:space="preserve"> at A-</w:t>
      </w:r>
      <w:r w:rsidR="0056254B">
        <w:rPr>
          <w:sz w:val="26"/>
          <w:szCs w:val="26"/>
        </w:rPr>
        <w:t>2008-2079988</w:t>
      </w:r>
      <w:r w:rsidRPr="009722DE">
        <w:rPr>
          <w:sz w:val="26"/>
          <w:szCs w:val="26"/>
        </w:rPr>
        <w:t xml:space="preserve"> is granted to the extent herein indicated.</w:t>
      </w:r>
    </w:p>
    <w:p w:rsidR="009722DE" w:rsidRPr="009722DE" w:rsidRDefault="009722DE" w:rsidP="00304D95">
      <w:pPr>
        <w:spacing w:line="360" w:lineRule="auto"/>
        <w:rPr>
          <w:sz w:val="26"/>
          <w:szCs w:val="26"/>
        </w:rPr>
      </w:pPr>
    </w:p>
    <w:p w:rsidR="009722DE" w:rsidRPr="009722DE" w:rsidRDefault="009722DE" w:rsidP="00304D95">
      <w:pPr>
        <w:spacing w:line="360" w:lineRule="auto"/>
        <w:rPr>
          <w:sz w:val="26"/>
          <w:szCs w:val="26"/>
        </w:rPr>
      </w:pPr>
      <w:r w:rsidRPr="009722DE">
        <w:rPr>
          <w:sz w:val="26"/>
          <w:szCs w:val="26"/>
        </w:rPr>
        <w:tab/>
        <w:t>2.</w:t>
      </w:r>
      <w:r w:rsidRPr="009722DE">
        <w:rPr>
          <w:sz w:val="26"/>
          <w:szCs w:val="26"/>
        </w:rPr>
        <w:tab/>
        <w:t xml:space="preserve">That this matter is referred to the Court of Common Pleas of </w:t>
      </w:r>
      <w:r w:rsidR="0056254B">
        <w:rPr>
          <w:sz w:val="26"/>
          <w:szCs w:val="26"/>
        </w:rPr>
        <w:t xml:space="preserve">Lancaster </w:t>
      </w:r>
      <w:r w:rsidRPr="009722DE">
        <w:rPr>
          <w:sz w:val="26"/>
          <w:szCs w:val="26"/>
        </w:rPr>
        <w:t xml:space="preserve">County for a determination of the amount of damages due </w:t>
      </w:r>
      <w:r w:rsidR="00161C36">
        <w:rPr>
          <w:sz w:val="26"/>
          <w:szCs w:val="26"/>
        </w:rPr>
        <w:t>AMTRAK</w:t>
      </w:r>
      <w:r w:rsidR="00300CED">
        <w:rPr>
          <w:sz w:val="26"/>
          <w:szCs w:val="26"/>
        </w:rPr>
        <w:t xml:space="preserve"> </w:t>
      </w:r>
      <w:r w:rsidR="00161C36">
        <w:rPr>
          <w:sz w:val="26"/>
          <w:szCs w:val="26"/>
        </w:rPr>
        <w:t>f</w:t>
      </w:r>
      <w:r w:rsidRPr="009722DE">
        <w:rPr>
          <w:sz w:val="26"/>
          <w:szCs w:val="26"/>
        </w:rPr>
        <w:t xml:space="preserve">or the property interests that have been appropriated, and as more fully set forth in this Commission’s order entered </w:t>
      </w:r>
      <w:r w:rsidR="0056254B">
        <w:rPr>
          <w:sz w:val="26"/>
          <w:szCs w:val="26"/>
        </w:rPr>
        <w:t>December 3, 2009</w:t>
      </w:r>
      <w:r w:rsidRPr="009722DE">
        <w:rPr>
          <w:sz w:val="26"/>
          <w:szCs w:val="26"/>
        </w:rPr>
        <w:t xml:space="preserve"> at A-</w:t>
      </w:r>
      <w:r w:rsidR="0056254B">
        <w:rPr>
          <w:sz w:val="26"/>
          <w:szCs w:val="26"/>
        </w:rPr>
        <w:t>2008-2079988</w:t>
      </w:r>
      <w:r w:rsidRPr="009722DE">
        <w:rPr>
          <w:sz w:val="26"/>
          <w:szCs w:val="26"/>
        </w:rPr>
        <w:t>.</w:t>
      </w:r>
    </w:p>
    <w:p w:rsidR="009722DE" w:rsidRPr="009722DE" w:rsidRDefault="009722DE" w:rsidP="009722DE">
      <w:pPr>
        <w:ind w:left="1080" w:right="1080"/>
        <w:rPr>
          <w:sz w:val="26"/>
          <w:szCs w:val="26"/>
        </w:rPr>
      </w:pPr>
    </w:p>
    <w:p w:rsidR="00DF0470" w:rsidRPr="009722DE" w:rsidRDefault="00DF0470" w:rsidP="00DF0470">
      <w:pPr>
        <w:tabs>
          <w:tab w:val="left" w:pos="4320"/>
        </w:tabs>
        <w:rPr>
          <w:sz w:val="26"/>
          <w:szCs w:val="26"/>
        </w:rPr>
      </w:pPr>
      <w:r w:rsidRPr="009722DE">
        <w:rPr>
          <w:sz w:val="26"/>
          <w:szCs w:val="26"/>
        </w:rPr>
        <w:tab/>
      </w:r>
      <w:r w:rsidRPr="009722DE">
        <w:rPr>
          <w:sz w:val="26"/>
          <w:szCs w:val="26"/>
        </w:rPr>
        <w:tab/>
      </w:r>
      <w:r w:rsidRPr="009722DE">
        <w:rPr>
          <w:sz w:val="26"/>
          <w:szCs w:val="26"/>
        </w:rPr>
        <w:tab/>
      </w:r>
    </w:p>
    <w:p w:rsidR="00DF0470" w:rsidRPr="009722DE" w:rsidRDefault="00DF0470" w:rsidP="00DF0470">
      <w:pPr>
        <w:tabs>
          <w:tab w:val="left" w:pos="742"/>
        </w:tabs>
        <w:rPr>
          <w:sz w:val="26"/>
          <w:szCs w:val="26"/>
        </w:rPr>
      </w:pPr>
    </w:p>
    <w:p w:rsidR="00DF0470" w:rsidRPr="009722DE" w:rsidRDefault="0089215E" w:rsidP="00DF0470">
      <w:pPr>
        <w:pStyle w:val="p17"/>
        <w:ind w:left="5057"/>
        <w:rPr>
          <w:b/>
          <w:bCs/>
          <w:sz w:val="26"/>
          <w:szCs w:val="26"/>
        </w:rPr>
      </w:pPr>
      <w:r w:rsidRPr="0089215E">
        <w:rPr>
          <w:b/>
          <w:bCs/>
          <w:noProof/>
          <w:sz w:val="26"/>
          <w:szCs w:val="26"/>
        </w:rPr>
        <w:drawing>
          <wp:anchor distT="0" distB="0" distL="114300" distR="114300" simplePos="0" relativeHeight="251659264" behindDoc="1" locked="0" layoutInCell="1" allowOverlap="1">
            <wp:simplePos x="0" y="0"/>
            <wp:positionH relativeFrom="column">
              <wp:posOffset>2981325</wp:posOffset>
            </wp:positionH>
            <wp:positionV relativeFrom="paragraph">
              <wp:posOffset>10160</wp:posOffset>
            </wp:positionV>
            <wp:extent cx="2200275" cy="838200"/>
            <wp:effectExtent l="19050" t="0" r="9525" b="0"/>
            <wp:wrapNone/>
            <wp:docPr id="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DF0470" w:rsidRPr="009722DE">
        <w:rPr>
          <w:b/>
          <w:bCs/>
          <w:sz w:val="26"/>
          <w:szCs w:val="26"/>
        </w:rPr>
        <w:t>BY THE COMMISSION</w:t>
      </w:r>
    </w:p>
    <w:p w:rsidR="00DF0470" w:rsidRPr="009722DE" w:rsidRDefault="00DF0470" w:rsidP="00DF0470">
      <w:pPr>
        <w:tabs>
          <w:tab w:val="left" w:pos="5057"/>
        </w:tabs>
        <w:rPr>
          <w:bCs/>
          <w:sz w:val="26"/>
          <w:szCs w:val="26"/>
        </w:rPr>
      </w:pPr>
    </w:p>
    <w:p w:rsidR="00DF0470" w:rsidRPr="009722DE" w:rsidRDefault="00DF0470" w:rsidP="00DF0470">
      <w:pPr>
        <w:tabs>
          <w:tab w:val="left" w:pos="5057"/>
        </w:tabs>
        <w:rPr>
          <w:b/>
          <w:bCs/>
          <w:sz w:val="26"/>
          <w:szCs w:val="26"/>
        </w:rPr>
      </w:pPr>
    </w:p>
    <w:p w:rsidR="00DF0470" w:rsidRPr="009722DE" w:rsidRDefault="00DF0470" w:rsidP="00DF0470">
      <w:pPr>
        <w:tabs>
          <w:tab w:val="left" w:pos="5057"/>
        </w:tabs>
        <w:rPr>
          <w:b/>
          <w:bCs/>
          <w:sz w:val="26"/>
          <w:szCs w:val="26"/>
        </w:rPr>
      </w:pPr>
    </w:p>
    <w:p w:rsidR="00671D91" w:rsidRPr="009722DE" w:rsidRDefault="00671D91" w:rsidP="00DF0470">
      <w:pPr>
        <w:pStyle w:val="p18"/>
        <w:ind w:left="5062"/>
        <w:rPr>
          <w:sz w:val="26"/>
          <w:szCs w:val="26"/>
        </w:rPr>
      </w:pPr>
      <w:r w:rsidRPr="009722DE">
        <w:rPr>
          <w:sz w:val="26"/>
          <w:szCs w:val="26"/>
        </w:rPr>
        <w:t>Rosemary Chiavetta</w:t>
      </w:r>
    </w:p>
    <w:p w:rsidR="00DF0470" w:rsidRPr="009722DE" w:rsidRDefault="00DF0470" w:rsidP="00DF0470">
      <w:pPr>
        <w:pStyle w:val="p18"/>
        <w:ind w:left="5062"/>
        <w:rPr>
          <w:sz w:val="26"/>
          <w:szCs w:val="26"/>
        </w:rPr>
      </w:pPr>
      <w:r w:rsidRPr="009722DE">
        <w:rPr>
          <w:sz w:val="26"/>
          <w:szCs w:val="26"/>
        </w:rPr>
        <w:t>Secretary</w:t>
      </w:r>
    </w:p>
    <w:p w:rsidR="00DF0470" w:rsidRPr="009722DE" w:rsidRDefault="00DF0470" w:rsidP="00DF0470">
      <w:pPr>
        <w:tabs>
          <w:tab w:val="left" w:pos="5062"/>
        </w:tabs>
        <w:rPr>
          <w:sz w:val="26"/>
          <w:szCs w:val="26"/>
        </w:rPr>
      </w:pPr>
    </w:p>
    <w:p w:rsidR="00DF0470" w:rsidRPr="009722DE" w:rsidRDefault="00DF0470" w:rsidP="00DF0470">
      <w:pPr>
        <w:pStyle w:val="p14"/>
        <w:rPr>
          <w:sz w:val="26"/>
          <w:szCs w:val="26"/>
        </w:rPr>
      </w:pPr>
      <w:r w:rsidRPr="009722DE">
        <w:rPr>
          <w:sz w:val="26"/>
          <w:szCs w:val="26"/>
        </w:rPr>
        <w:t>(SEAL)</w:t>
      </w:r>
    </w:p>
    <w:p w:rsidR="00DF0470" w:rsidRPr="009722DE" w:rsidRDefault="00DF0470" w:rsidP="00DF0470">
      <w:pPr>
        <w:tabs>
          <w:tab w:val="left" w:pos="204"/>
        </w:tabs>
        <w:rPr>
          <w:sz w:val="26"/>
          <w:szCs w:val="26"/>
        </w:rPr>
      </w:pPr>
    </w:p>
    <w:p w:rsidR="00DF0470" w:rsidRPr="009722DE" w:rsidRDefault="00DF0470" w:rsidP="00BE499A">
      <w:pPr>
        <w:pStyle w:val="p14"/>
        <w:rPr>
          <w:sz w:val="26"/>
          <w:szCs w:val="26"/>
        </w:rPr>
      </w:pPr>
      <w:r w:rsidRPr="009722DE">
        <w:rPr>
          <w:sz w:val="26"/>
          <w:szCs w:val="26"/>
        </w:rPr>
        <w:t xml:space="preserve">ORDER ADOPTED:  </w:t>
      </w:r>
      <w:r w:rsidR="00DB0C0C" w:rsidRPr="009722DE">
        <w:rPr>
          <w:sz w:val="26"/>
          <w:szCs w:val="26"/>
        </w:rPr>
        <w:t xml:space="preserve">June </w:t>
      </w:r>
      <w:r w:rsidR="000946A1" w:rsidRPr="009722DE">
        <w:rPr>
          <w:sz w:val="26"/>
          <w:szCs w:val="26"/>
        </w:rPr>
        <w:t>9</w:t>
      </w:r>
      <w:r w:rsidR="00D77859" w:rsidRPr="009722DE">
        <w:rPr>
          <w:sz w:val="26"/>
          <w:szCs w:val="26"/>
        </w:rPr>
        <w:t>, 2011</w:t>
      </w:r>
    </w:p>
    <w:p w:rsidR="00BE499A" w:rsidRPr="009722DE" w:rsidRDefault="00BE499A" w:rsidP="00BE499A">
      <w:pPr>
        <w:pStyle w:val="p14"/>
        <w:rPr>
          <w:sz w:val="26"/>
          <w:szCs w:val="26"/>
        </w:rPr>
      </w:pPr>
    </w:p>
    <w:p w:rsidR="00CD6C97" w:rsidRDefault="00DF0470" w:rsidP="005A7356">
      <w:pPr>
        <w:pStyle w:val="p14"/>
      </w:pPr>
      <w:r w:rsidRPr="009722DE">
        <w:rPr>
          <w:sz w:val="26"/>
          <w:szCs w:val="26"/>
        </w:rPr>
        <w:t>ORDER ENTERED</w:t>
      </w:r>
      <w:r w:rsidRPr="00CD6C97">
        <w:t xml:space="preserve">:  </w:t>
      </w:r>
      <w:r w:rsidR="0089215E">
        <w:t>June 13, 2011</w:t>
      </w:r>
    </w:p>
    <w:p w:rsidR="0089215E" w:rsidRPr="005A7356" w:rsidRDefault="0089215E" w:rsidP="005A7356">
      <w:pPr>
        <w:pStyle w:val="p14"/>
        <w:rPr>
          <w:sz w:val="26"/>
          <w:szCs w:val="26"/>
        </w:rPr>
      </w:pPr>
    </w:p>
    <w:sectPr w:rsidR="0089215E" w:rsidRPr="005A7356" w:rsidSect="00D83182">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6F8A" w:rsidRDefault="00DD6F8A">
      <w:r>
        <w:separator/>
      </w:r>
    </w:p>
  </w:endnote>
  <w:endnote w:type="continuationSeparator" w:id="0">
    <w:p w:rsidR="00DD6F8A" w:rsidRDefault="00DD6F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1F9" w:rsidRDefault="002C7DE5">
    <w:pPr>
      <w:pStyle w:val="Footer"/>
      <w:framePr w:wrap="around" w:vAnchor="text" w:hAnchor="margin" w:xAlign="center" w:y="1"/>
      <w:rPr>
        <w:rStyle w:val="PageNumber"/>
      </w:rPr>
    </w:pPr>
    <w:r>
      <w:rPr>
        <w:rStyle w:val="PageNumber"/>
      </w:rPr>
      <w:fldChar w:fldCharType="begin"/>
    </w:r>
    <w:r w:rsidR="006A01F9">
      <w:rPr>
        <w:rStyle w:val="PageNumber"/>
      </w:rPr>
      <w:instrText xml:space="preserve">PAGE  </w:instrText>
    </w:r>
    <w:r>
      <w:rPr>
        <w:rStyle w:val="PageNumber"/>
      </w:rPr>
      <w:fldChar w:fldCharType="end"/>
    </w:r>
  </w:p>
  <w:p w:rsidR="006A01F9" w:rsidRDefault="006A01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1F9" w:rsidRDefault="002C7DE5">
    <w:pPr>
      <w:pStyle w:val="Footer"/>
      <w:framePr w:wrap="around" w:vAnchor="text" w:hAnchor="margin" w:xAlign="center" w:y="1"/>
      <w:rPr>
        <w:rStyle w:val="PageNumber"/>
      </w:rPr>
    </w:pPr>
    <w:r>
      <w:rPr>
        <w:rStyle w:val="PageNumber"/>
      </w:rPr>
      <w:fldChar w:fldCharType="begin"/>
    </w:r>
    <w:r w:rsidR="006A01F9">
      <w:rPr>
        <w:rStyle w:val="PageNumber"/>
      </w:rPr>
      <w:instrText xml:space="preserve">PAGE  </w:instrText>
    </w:r>
    <w:r>
      <w:rPr>
        <w:rStyle w:val="PageNumber"/>
      </w:rPr>
      <w:fldChar w:fldCharType="separate"/>
    </w:r>
    <w:r w:rsidR="006B30EC">
      <w:rPr>
        <w:rStyle w:val="PageNumber"/>
        <w:noProof/>
      </w:rPr>
      <w:t>3</w:t>
    </w:r>
    <w:r>
      <w:rPr>
        <w:rStyle w:val="PageNumber"/>
      </w:rPr>
      <w:fldChar w:fldCharType="end"/>
    </w:r>
  </w:p>
  <w:p w:rsidR="006A01F9" w:rsidRDefault="006A01F9" w:rsidP="00FA58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6F8A" w:rsidRDefault="00DD6F8A">
      <w:r>
        <w:separator/>
      </w:r>
    </w:p>
  </w:footnote>
  <w:footnote w:type="continuationSeparator" w:id="0">
    <w:p w:rsidR="00DD6F8A" w:rsidRDefault="00DD6F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4E0F48"/>
    <w:lvl w:ilvl="0">
      <w:numFmt w:val="bullet"/>
      <w:lvlText w:val="*"/>
      <w:lvlJc w:val="left"/>
      <w:pPr>
        <w:ind w:left="0" w:firstLine="0"/>
      </w:pPr>
    </w:lvl>
  </w:abstractNum>
  <w:num w:numId="1">
    <w:abstractNumId w:val="0"/>
    <w:lvlOverride w:ilvl="0">
      <w:lvl w:ilvl="0">
        <w:numFmt w:val="bullet"/>
        <w:lvlText w:val=""/>
        <w:legacy w:legacy="1" w:legacySpace="0" w:legacyIndent="0"/>
        <w:lvlJc w:val="left"/>
        <w:pPr>
          <w:ind w:left="0" w:firstLine="0"/>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
  <w:rsids>
    <w:rsidRoot w:val="00D850D4"/>
    <w:rsid w:val="0000186B"/>
    <w:rsid w:val="00037D28"/>
    <w:rsid w:val="000675A4"/>
    <w:rsid w:val="00076AE2"/>
    <w:rsid w:val="000811B9"/>
    <w:rsid w:val="00092C0A"/>
    <w:rsid w:val="000946A1"/>
    <w:rsid w:val="000A6AC7"/>
    <w:rsid w:val="000E3ECD"/>
    <w:rsid w:val="00107AB8"/>
    <w:rsid w:val="001119EF"/>
    <w:rsid w:val="00133BD1"/>
    <w:rsid w:val="00142828"/>
    <w:rsid w:val="00155365"/>
    <w:rsid w:val="0015549B"/>
    <w:rsid w:val="00161C36"/>
    <w:rsid w:val="001673BE"/>
    <w:rsid w:val="001740E9"/>
    <w:rsid w:val="001B6DC1"/>
    <w:rsid w:val="001B6FAA"/>
    <w:rsid w:val="001B7588"/>
    <w:rsid w:val="001E7926"/>
    <w:rsid w:val="001F27E7"/>
    <w:rsid w:val="00214C36"/>
    <w:rsid w:val="00217DE1"/>
    <w:rsid w:val="00217EF7"/>
    <w:rsid w:val="002412D3"/>
    <w:rsid w:val="00250087"/>
    <w:rsid w:val="00251C6E"/>
    <w:rsid w:val="00290A3D"/>
    <w:rsid w:val="002A23AC"/>
    <w:rsid w:val="002B18E0"/>
    <w:rsid w:val="002B49E8"/>
    <w:rsid w:val="002C30F7"/>
    <w:rsid w:val="002C736A"/>
    <w:rsid w:val="002C7630"/>
    <w:rsid w:val="002C7DE5"/>
    <w:rsid w:val="002E2B14"/>
    <w:rsid w:val="002F7691"/>
    <w:rsid w:val="00300CED"/>
    <w:rsid w:val="00304809"/>
    <w:rsid w:val="00304D95"/>
    <w:rsid w:val="0035040B"/>
    <w:rsid w:val="00353A13"/>
    <w:rsid w:val="003A15A3"/>
    <w:rsid w:val="003B178D"/>
    <w:rsid w:val="00407389"/>
    <w:rsid w:val="00452838"/>
    <w:rsid w:val="004768B5"/>
    <w:rsid w:val="004E58A5"/>
    <w:rsid w:val="004F370A"/>
    <w:rsid w:val="00520427"/>
    <w:rsid w:val="00520A38"/>
    <w:rsid w:val="00523A8C"/>
    <w:rsid w:val="00524B6D"/>
    <w:rsid w:val="005529E9"/>
    <w:rsid w:val="0056254B"/>
    <w:rsid w:val="00571027"/>
    <w:rsid w:val="00572CCC"/>
    <w:rsid w:val="005878E7"/>
    <w:rsid w:val="005A7356"/>
    <w:rsid w:val="005D03E0"/>
    <w:rsid w:val="005F1C61"/>
    <w:rsid w:val="005F3889"/>
    <w:rsid w:val="005F72F6"/>
    <w:rsid w:val="00600A17"/>
    <w:rsid w:val="006027A7"/>
    <w:rsid w:val="006048E2"/>
    <w:rsid w:val="00605A1A"/>
    <w:rsid w:val="00621EEE"/>
    <w:rsid w:val="00622AFA"/>
    <w:rsid w:val="0062727C"/>
    <w:rsid w:val="00642B25"/>
    <w:rsid w:val="00664271"/>
    <w:rsid w:val="00665270"/>
    <w:rsid w:val="00671D91"/>
    <w:rsid w:val="00697266"/>
    <w:rsid w:val="006A01F9"/>
    <w:rsid w:val="006B1962"/>
    <w:rsid w:val="006B2984"/>
    <w:rsid w:val="006B30EC"/>
    <w:rsid w:val="006B77BE"/>
    <w:rsid w:val="006C0AE9"/>
    <w:rsid w:val="006D7595"/>
    <w:rsid w:val="00734AE2"/>
    <w:rsid w:val="00747283"/>
    <w:rsid w:val="00753775"/>
    <w:rsid w:val="007632B0"/>
    <w:rsid w:val="00781608"/>
    <w:rsid w:val="00790906"/>
    <w:rsid w:val="007A13C7"/>
    <w:rsid w:val="007A6E93"/>
    <w:rsid w:val="007B744C"/>
    <w:rsid w:val="007E6598"/>
    <w:rsid w:val="007F20F0"/>
    <w:rsid w:val="007F37C1"/>
    <w:rsid w:val="00806E34"/>
    <w:rsid w:val="00816287"/>
    <w:rsid w:val="00823498"/>
    <w:rsid w:val="00835BE7"/>
    <w:rsid w:val="00837D29"/>
    <w:rsid w:val="0085401A"/>
    <w:rsid w:val="00856C64"/>
    <w:rsid w:val="008779DC"/>
    <w:rsid w:val="008866CB"/>
    <w:rsid w:val="0089215E"/>
    <w:rsid w:val="008A3A0D"/>
    <w:rsid w:val="008B5653"/>
    <w:rsid w:val="008C7ABF"/>
    <w:rsid w:val="009205C7"/>
    <w:rsid w:val="009248F5"/>
    <w:rsid w:val="00941451"/>
    <w:rsid w:val="00961ED4"/>
    <w:rsid w:val="00964AC1"/>
    <w:rsid w:val="009722DE"/>
    <w:rsid w:val="00981EE0"/>
    <w:rsid w:val="00985472"/>
    <w:rsid w:val="009D5F04"/>
    <w:rsid w:val="009E1014"/>
    <w:rsid w:val="009F0727"/>
    <w:rsid w:val="00A20BE8"/>
    <w:rsid w:val="00A508B3"/>
    <w:rsid w:val="00A70532"/>
    <w:rsid w:val="00A82B74"/>
    <w:rsid w:val="00A82FC9"/>
    <w:rsid w:val="00A9040A"/>
    <w:rsid w:val="00AD5F40"/>
    <w:rsid w:val="00AE3E24"/>
    <w:rsid w:val="00B10F16"/>
    <w:rsid w:val="00B3246D"/>
    <w:rsid w:val="00B363B0"/>
    <w:rsid w:val="00B84095"/>
    <w:rsid w:val="00B85195"/>
    <w:rsid w:val="00B86214"/>
    <w:rsid w:val="00B9643A"/>
    <w:rsid w:val="00BB02BC"/>
    <w:rsid w:val="00BD7C30"/>
    <w:rsid w:val="00BE0D8F"/>
    <w:rsid w:val="00BE2339"/>
    <w:rsid w:val="00BE499A"/>
    <w:rsid w:val="00C01D96"/>
    <w:rsid w:val="00C07C12"/>
    <w:rsid w:val="00C14B6E"/>
    <w:rsid w:val="00C31CD1"/>
    <w:rsid w:val="00C410FE"/>
    <w:rsid w:val="00C5353F"/>
    <w:rsid w:val="00C53C98"/>
    <w:rsid w:val="00C54299"/>
    <w:rsid w:val="00C60F42"/>
    <w:rsid w:val="00C753C2"/>
    <w:rsid w:val="00CD6C97"/>
    <w:rsid w:val="00D53CF7"/>
    <w:rsid w:val="00D61F9F"/>
    <w:rsid w:val="00D77859"/>
    <w:rsid w:val="00D83182"/>
    <w:rsid w:val="00D850D4"/>
    <w:rsid w:val="00D95CA0"/>
    <w:rsid w:val="00DA4F7F"/>
    <w:rsid w:val="00DB0C0C"/>
    <w:rsid w:val="00DB5BBF"/>
    <w:rsid w:val="00DB623A"/>
    <w:rsid w:val="00DC7F2D"/>
    <w:rsid w:val="00DD6F8A"/>
    <w:rsid w:val="00DF0470"/>
    <w:rsid w:val="00E441EC"/>
    <w:rsid w:val="00E52E18"/>
    <w:rsid w:val="00E96680"/>
    <w:rsid w:val="00EA78E6"/>
    <w:rsid w:val="00EC0F33"/>
    <w:rsid w:val="00ED0E01"/>
    <w:rsid w:val="00F14A88"/>
    <w:rsid w:val="00F15A31"/>
    <w:rsid w:val="00F27679"/>
    <w:rsid w:val="00F55B91"/>
    <w:rsid w:val="00F649E4"/>
    <w:rsid w:val="00F80429"/>
    <w:rsid w:val="00FA29A2"/>
    <w:rsid w:val="00FA40BB"/>
    <w:rsid w:val="00FA58EC"/>
    <w:rsid w:val="00FF7A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2C0A"/>
    <w:pPr>
      <w:overflowPunct w:val="0"/>
      <w:autoSpaceDE w:val="0"/>
      <w:autoSpaceDN w:val="0"/>
      <w:adjustRightInd w:val="0"/>
      <w:textAlignment w:val="baseline"/>
    </w:pPr>
    <w:rPr>
      <w:sz w:val="24"/>
    </w:rPr>
  </w:style>
  <w:style w:type="paragraph" w:styleId="Heading1">
    <w:name w:val="heading 1"/>
    <w:basedOn w:val="Normal"/>
    <w:next w:val="Normal"/>
    <w:qFormat/>
    <w:rsid w:val="00092C0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92C0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92C0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92C0A"/>
    <w:pPr>
      <w:tabs>
        <w:tab w:val="center" w:pos="4320"/>
        <w:tab w:val="right" w:pos="8640"/>
      </w:tabs>
    </w:pPr>
  </w:style>
  <w:style w:type="paragraph" w:styleId="Footer">
    <w:name w:val="footer"/>
    <w:basedOn w:val="Normal"/>
    <w:rsid w:val="00092C0A"/>
    <w:pPr>
      <w:tabs>
        <w:tab w:val="center" w:pos="4320"/>
        <w:tab w:val="right" w:pos="8640"/>
      </w:tabs>
    </w:pPr>
  </w:style>
  <w:style w:type="character" w:styleId="PageNumber">
    <w:name w:val="page number"/>
    <w:basedOn w:val="DefaultParagraphFont"/>
    <w:rsid w:val="002412D3"/>
  </w:style>
  <w:style w:type="paragraph" w:styleId="FootnoteText">
    <w:name w:val="footnote text"/>
    <w:basedOn w:val="Normal"/>
    <w:semiHidden/>
    <w:rsid w:val="009248F5"/>
    <w:rPr>
      <w:sz w:val="20"/>
    </w:rPr>
  </w:style>
  <w:style w:type="character" w:styleId="FootnoteReference">
    <w:name w:val="footnote reference"/>
    <w:basedOn w:val="DefaultParagraphFont"/>
    <w:semiHidden/>
    <w:rsid w:val="009248F5"/>
    <w:rPr>
      <w:vertAlign w:val="superscript"/>
    </w:rPr>
  </w:style>
  <w:style w:type="paragraph" w:customStyle="1" w:styleId="c1">
    <w:name w:val="c1"/>
    <w:basedOn w:val="Normal"/>
    <w:rsid w:val="00DF0470"/>
    <w:pPr>
      <w:widowControl w:val="0"/>
      <w:overflowPunct/>
      <w:jc w:val="center"/>
      <w:textAlignment w:val="auto"/>
    </w:pPr>
    <w:rPr>
      <w:szCs w:val="24"/>
    </w:rPr>
  </w:style>
  <w:style w:type="paragraph" w:customStyle="1" w:styleId="p3">
    <w:name w:val="p3"/>
    <w:basedOn w:val="Normal"/>
    <w:rsid w:val="00DF0470"/>
    <w:pPr>
      <w:widowControl w:val="0"/>
      <w:tabs>
        <w:tab w:val="left" w:pos="204"/>
      </w:tabs>
      <w:overflowPunct/>
      <w:textAlignment w:val="auto"/>
    </w:pPr>
    <w:rPr>
      <w:szCs w:val="24"/>
    </w:rPr>
  </w:style>
  <w:style w:type="paragraph" w:customStyle="1" w:styleId="p6">
    <w:name w:val="p6"/>
    <w:basedOn w:val="Normal"/>
    <w:rsid w:val="00DF0470"/>
    <w:pPr>
      <w:widowControl w:val="0"/>
      <w:overflowPunct/>
      <w:ind w:firstLine="742"/>
      <w:textAlignment w:val="auto"/>
    </w:pPr>
    <w:rPr>
      <w:szCs w:val="24"/>
    </w:rPr>
  </w:style>
  <w:style w:type="paragraph" w:customStyle="1" w:styleId="p8">
    <w:name w:val="p8"/>
    <w:basedOn w:val="Normal"/>
    <w:rsid w:val="00DF0470"/>
    <w:pPr>
      <w:widowControl w:val="0"/>
      <w:tabs>
        <w:tab w:val="left" w:pos="204"/>
      </w:tabs>
      <w:overflowPunct/>
      <w:textAlignment w:val="auto"/>
    </w:pPr>
    <w:rPr>
      <w:szCs w:val="24"/>
    </w:rPr>
  </w:style>
  <w:style w:type="paragraph" w:customStyle="1" w:styleId="c9">
    <w:name w:val="c9"/>
    <w:basedOn w:val="Normal"/>
    <w:rsid w:val="00DF0470"/>
    <w:pPr>
      <w:widowControl w:val="0"/>
      <w:overflowPunct/>
      <w:jc w:val="center"/>
      <w:textAlignment w:val="auto"/>
    </w:pPr>
    <w:rPr>
      <w:szCs w:val="24"/>
    </w:rPr>
  </w:style>
  <w:style w:type="paragraph" w:customStyle="1" w:styleId="c10">
    <w:name w:val="c10"/>
    <w:basedOn w:val="Normal"/>
    <w:rsid w:val="00DF0470"/>
    <w:pPr>
      <w:widowControl w:val="0"/>
      <w:overflowPunct/>
      <w:jc w:val="center"/>
      <w:textAlignment w:val="auto"/>
    </w:pPr>
    <w:rPr>
      <w:szCs w:val="24"/>
    </w:rPr>
  </w:style>
  <w:style w:type="paragraph" w:customStyle="1" w:styleId="p13">
    <w:name w:val="p13"/>
    <w:basedOn w:val="Normal"/>
    <w:rsid w:val="00DF0470"/>
    <w:pPr>
      <w:widowControl w:val="0"/>
      <w:tabs>
        <w:tab w:val="left" w:pos="742"/>
        <w:tab w:val="left" w:pos="1451"/>
      </w:tabs>
      <w:overflowPunct/>
      <w:ind w:left="742" w:firstLine="709"/>
      <w:textAlignment w:val="auto"/>
    </w:pPr>
    <w:rPr>
      <w:szCs w:val="24"/>
    </w:rPr>
  </w:style>
  <w:style w:type="paragraph" w:customStyle="1" w:styleId="p14">
    <w:name w:val="p14"/>
    <w:basedOn w:val="Normal"/>
    <w:rsid w:val="00DF0470"/>
    <w:pPr>
      <w:widowControl w:val="0"/>
      <w:tabs>
        <w:tab w:val="left" w:pos="204"/>
      </w:tabs>
      <w:overflowPunct/>
      <w:textAlignment w:val="auto"/>
    </w:pPr>
    <w:rPr>
      <w:szCs w:val="24"/>
    </w:rPr>
  </w:style>
  <w:style w:type="paragraph" w:customStyle="1" w:styleId="p15">
    <w:name w:val="p15"/>
    <w:basedOn w:val="Normal"/>
    <w:rsid w:val="00DF0470"/>
    <w:pPr>
      <w:widowControl w:val="0"/>
      <w:tabs>
        <w:tab w:val="left" w:pos="204"/>
      </w:tabs>
      <w:overflowPunct/>
      <w:textAlignment w:val="auto"/>
    </w:pPr>
    <w:rPr>
      <w:szCs w:val="24"/>
    </w:rPr>
  </w:style>
  <w:style w:type="paragraph" w:customStyle="1" w:styleId="p17">
    <w:name w:val="p17"/>
    <w:basedOn w:val="Normal"/>
    <w:rsid w:val="00DF0470"/>
    <w:pPr>
      <w:widowControl w:val="0"/>
      <w:tabs>
        <w:tab w:val="left" w:pos="5057"/>
      </w:tabs>
      <w:overflowPunct/>
      <w:ind w:left="3617"/>
      <w:textAlignment w:val="auto"/>
    </w:pPr>
    <w:rPr>
      <w:szCs w:val="24"/>
    </w:rPr>
  </w:style>
  <w:style w:type="paragraph" w:customStyle="1" w:styleId="p18">
    <w:name w:val="p18"/>
    <w:basedOn w:val="Normal"/>
    <w:rsid w:val="00DF0470"/>
    <w:pPr>
      <w:widowControl w:val="0"/>
      <w:tabs>
        <w:tab w:val="left" w:pos="5062"/>
      </w:tabs>
      <w:overflowPunct/>
      <w:ind w:left="3622"/>
      <w:textAlignment w:val="auto"/>
    </w:pPr>
    <w:rPr>
      <w:szCs w:val="24"/>
    </w:rPr>
  </w:style>
  <w:style w:type="paragraph" w:styleId="BalloonText">
    <w:name w:val="Balloon Text"/>
    <w:basedOn w:val="Normal"/>
    <w:semiHidden/>
    <w:rsid w:val="00214C36"/>
    <w:rPr>
      <w:rFonts w:ascii="Tahoma" w:hAnsi="Tahoma" w:cs="Tahoma"/>
      <w:sz w:val="16"/>
      <w:szCs w:val="16"/>
    </w:rPr>
  </w:style>
  <w:style w:type="paragraph" w:customStyle="1" w:styleId="StyleCentered">
    <w:name w:val="Style Centered"/>
    <w:basedOn w:val="Normal"/>
    <w:rsid w:val="00092C0A"/>
    <w:pPr>
      <w:jc w:val="center"/>
    </w:pPr>
  </w:style>
</w:styles>
</file>

<file path=word/webSettings.xml><?xml version="1.0" encoding="utf-8"?>
<w:webSettings xmlns:r="http://schemas.openxmlformats.org/officeDocument/2006/relationships" xmlns:w="http://schemas.openxmlformats.org/wordprocessingml/2006/main">
  <w:divs>
    <w:div w:id="77772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519</Words>
  <Characters>2962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FUS-0435*; P-00981628.O; Citizens Tel. Co. of New York</vt:lpstr>
    </vt:vector>
  </TitlesOfParts>
  <Company/>
  <LinksUpToDate>false</LinksUpToDate>
  <CharactersWithSpaces>3475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FUS-0435*; P-00981628.O; Citizens Tel. Co. of New York</dc:title>
  <dc:subject/>
  <dc:creator>REYNOLDS</dc:creator>
  <cp:keywords/>
  <cp:lastModifiedBy>joyce marie farner</cp:lastModifiedBy>
  <cp:revision>11</cp:revision>
  <cp:lastPrinted>2011-06-13T17:50:00Z</cp:lastPrinted>
  <dcterms:created xsi:type="dcterms:W3CDTF">2011-05-26T14:41:00Z</dcterms:created>
  <dcterms:modified xsi:type="dcterms:W3CDTF">2011-06-13T17:50:00Z</dcterms:modified>
</cp:coreProperties>
</file>