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8A" w:rsidRDefault="00DE6F8A" w:rsidP="00DE6F8A">
      <w:pPr>
        <w:pStyle w:val="Title"/>
        <w:rPr>
          <w:sz w:val="24"/>
          <w:szCs w:val="24"/>
        </w:rPr>
      </w:pPr>
    </w:p>
    <w:p w:rsidR="00DE6F8A" w:rsidRPr="0002002C" w:rsidRDefault="00DE6F8A" w:rsidP="00DE6F8A">
      <w:pPr>
        <w:pStyle w:val="Title"/>
        <w:rPr>
          <w:sz w:val="24"/>
          <w:szCs w:val="24"/>
        </w:rPr>
      </w:pPr>
      <w:r w:rsidRPr="0002002C">
        <w:rPr>
          <w:sz w:val="24"/>
          <w:szCs w:val="24"/>
        </w:rPr>
        <w:t>BEFORE THE</w:t>
      </w:r>
    </w:p>
    <w:p w:rsidR="00DE6F8A" w:rsidRPr="0002002C" w:rsidRDefault="00DE6F8A" w:rsidP="00DE6F8A">
      <w:pPr>
        <w:pStyle w:val="Subtitle"/>
        <w:rPr>
          <w:sz w:val="24"/>
          <w:szCs w:val="24"/>
        </w:rPr>
      </w:pPr>
      <w:smartTag w:uri="urn:schemas-microsoft-com:office:smarttags" w:element="place">
        <w:smartTag w:uri="urn:schemas-microsoft-com:office:smarttags" w:element="State">
          <w:r w:rsidRPr="0002002C">
            <w:rPr>
              <w:sz w:val="24"/>
              <w:szCs w:val="24"/>
            </w:rPr>
            <w:t>PENNSYLVANIA</w:t>
          </w:r>
        </w:smartTag>
      </w:smartTag>
      <w:r w:rsidRPr="0002002C">
        <w:rPr>
          <w:sz w:val="24"/>
          <w:szCs w:val="24"/>
        </w:rPr>
        <w:t xml:space="preserve"> PUBLIC UTILITY COMMISSION</w:t>
      </w:r>
    </w:p>
    <w:p w:rsidR="00DE6F8A" w:rsidRPr="0002002C" w:rsidRDefault="00DE6F8A" w:rsidP="00DE6F8A">
      <w:pPr>
        <w:rPr>
          <w:szCs w:val="24"/>
        </w:rPr>
      </w:pPr>
    </w:p>
    <w:p w:rsidR="00DE6F8A" w:rsidRPr="0002002C" w:rsidRDefault="00DE6F8A" w:rsidP="00DE6F8A">
      <w:pPr>
        <w:rPr>
          <w:szCs w:val="24"/>
        </w:rPr>
      </w:pPr>
    </w:p>
    <w:p w:rsidR="00DE6F8A" w:rsidRPr="0002002C" w:rsidRDefault="00DE6F8A" w:rsidP="00DE6F8A">
      <w:pPr>
        <w:rPr>
          <w:szCs w:val="24"/>
        </w:rPr>
      </w:pPr>
    </w:p>
    <w:p w:rsidR="00DE6F8A" w:rsidRPr="0002002C" w:rsidRDefault="00DE6F8A" w:rsidP="00DE6F8A">
      <w:pPr>
        <w:rPr>
          <w:szCs w:val="24"/>
        </w:rPr>
      </w:pPr>
      <w:r>
        <w:rPr>
          <w:szCs w:val="24"/>
        </w:rPr>
        <w:t xml:space="preserve">Joseph A. </w:t>
      </w:r>
      <w:proofErr w:type="spellStart"/>
      <w:r>
        <w:rPr>
          <w:szCs w:val="24"/>
        </w:rPr>
        <w:t>Piole</w:t>
      </w:r>
      <w:proofErr w:type="spellEnd"/>
      <w:r>
        <w:rPr>
          <w:szCs w:val="24"/>
        </w:rPr>
        <w:tab/>
      </w:r>
      <w:r w:rsidRPr="0002002C">
        <w:rPr>
          <w:szCs w:val="24"/>
        </w:rPr>
        <w:tab/>
      </w:r>
      <w:r w:rsidRPr="0002002C">
        <w:rPr>
          <w:szCs w:val="24"/>
        </w:rPr>
        <w:tab/>
      </w:r>
      <w:r w:rsidRPr="0002002C">
        <w:rPr>
          <w:szCs w:val="24"/>
        </w:rPr>
        <w:tab/>
      </w:r>
      <w:r>
        <w:rPr>
          <w:szCs w:val="24"/>
        </w:rPr>
        <w:tab/>
      </w:r>
      <w:r w:rsidRPr="0002002C">
        <w:rPr>
          <w:szCs w:val="24"/>
        </w:rPr>
        <w:t>:</w:t>
      </w:r>
    </w:p>
    <w:p w:rsidR="00DE6F8A" w:rsidRPr="0002002C" w:rsidRDefault="00DE6F8A" w:rsidP="00DE6F8A">
      <w:pPr>
        <w:rPr>
          <w:szCs w:val="24"/>
        </w:rPr>
      </w:pP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t>:</w:t>
      </w:r>
    </w:p>
    <w:p w:rsidR="00DE6F8A" w:rsidRPr="0002002C" w:rsidRDefault="00DE6F8A" w:rsidP="00DE6F8A">
      <w:pPr>
        <w:rPr>
          <w:szCs w:val="24"/>
        </w:rPr>
      </w:pPr>
      <w:r w:rsidRPr="0002002C">
        <w:rPr>
          <w:szCs w:val="24"/>
        </w:rPr>
        <w:tab/>
        <w:t>v.</w:t>
      </w: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t>:</w:t>
      </w:r>
      <w:r w:rsidRPr="0002002C">
        <w:rPr>
          <w:szCs w:val="24"/>
        </w:rPr>
        <w:tab/>
      </w:r>
      <w:r>
        <w:rPr>
          <w:szCs w:val="24"/>
        </w:rPr>
        <w:tab/>
        <w:t>C-2010-2179846</w:t>
      </w:r>
    </w:p>
    <w:p w:rsidR="00DE6F8A" w:rsidRPr="0002002C" w:rsidRDefault="00DE6F8A" w:rsidP="00DE6F8A">
      <w:pPr>
        <w:rPr>
          <w:szCs w:val="24"/>
        </w:rPr>
      </w:pP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t>:</w:t>
      </w:r>
    </w:p>
    <w:p w:rsidR="00DE6F8A" w:rsidRPr="0002002C" w:rsidRDefault="00DE6F8A" w:rsidP="00DE6F8A">
      <w:pPr>
        <w:rPr>
          <w:szCs w:val="24"/>
        </w:rPr>
      </w:pPr>
      <w:r>
        <w:rPr>
          <w:szCs w:val="24"/>
        </w:rPr>
        <w:t>Duquesne Light Company</w:t>
      </w:r>
      <w:r>
        <w:rPr>
          <w:szCs w:val="24"/>
        </w:rPr>
        <w:tab/>
      </w:r>
      <w:r>
        <w:rPr>
          <w:szCs w:val="24"/>
        </w:rPr>
        <w:tab/>
      </w:r>
      <w:r w:rsidRPr="0002002C">
        <w:rPr>
          <w:szCs w:val="24"/>
        </w:rPr>
        <w:tab/>
      </w:r>
      <w:r w:rsidRPr="0002002C">
        <w:rPr>
          <w:szCs w:val="24"/>
        </w:rPr>
        <w:tab/>
        <w:t>:</w:t>
      </w:r>
    </w:p>
    <w:p w:rsidR="00DE6F8A" w:rsidRPr="0002002C" w:rsidRDefault="00DE6F8A" w:rsidP="00DE6F8A">
      <w:pPr>
        <w:rPr>
          <w:szCs w:val="24"/>
        </w:rPr>
      </w:pPr>
    </w:p>
    <w:p w:rsidR="00DE6F8A" w:rsidRPr="0002002C" w:rsidRDefault="00DE6F8A" w:rsidP="00DE6F8A">
      <w:pPr>
        <w:rPr>
          <w:szCs w:val="24"/>
        </w:rPr>
      </w:pPr>
    </w:p>
    <w:p w:rsidR="00DE6F8A" w:rsidRPr="0002002C" w:rsidRDefault="00DE6F8A" w:rsidP="00DE6F8A">
      <w:pPr>
        <w:rPr>
          <w:szCs w:val="24"/>
        </w:rPr>
      </w:pPr>
    </w:p>
    <w:p w:rsidR="00DE6F8A" w:rsidRPr="00EC1681" w:rsidRDefault="00DE6F8A" w:rsidP="00DE6F8A">
      <w:pPr>
        <w:pStyle w:val="Heading1"/>
        <w:jc w:val="center"/>
        <w:rPr>
          <w:b/>
          <w:szCs w:val="24"/>
          <w:u w:val="single"/>
        </w:rPr>
      </w:pPr>
      <w:r w:rsidRPr="00EC1681">
        <w:rPr>
          <w:b/>
          <w:szCs w:val="24"/>
          <w:u w:val="single"/>
        </w:rPr>
        <w:t>INITIAL DECISION</w:t>
      </w:r>
    </w:p>
    <w:p w:rsidR="00DE6F8A" w:rsidRPr="0002002C" w:rsidRDefault="00DE6F8A" w:rsidP="00DE6F8A">
      <w:pPr>
        <w:jc w:val="center"/>
        <w:rPr>
          <w:szCs w:val="24"/>
        </w:rPr>
      </w:pPr>
    </w:p>
    <w:p w:rsidR="00DE6F8A" w:rsidRPr="0002002C" w:rsidRDefault="00DE6F8A" w:rsidP="00DE6F8A">
      <w:pPr>
        <w:jc w:val="center"/>
        <w:rPr>
          <w:szCs w:val="24"/>
        </w:rPr>
      </w:pPr>
    </w:p>
    <w:p w:rsidR="00DE6F8A" w:rsidRPr="0002002C" w:rsidRDefault="00DE6F8A" w:rsidP="00DE6F8A">
      <w:pPr>
        <w:jc w:val="center"/>
        <w:rPr>
          <w:szCs w:val="24"/>
        </w:rPr>
      </w:pPr>
      <w:r w:rsidRPr="0002002C">
        <w:rPr>
          <w:szCs w:val="24"/>
        </w:rPr>
        <w:t>Before</w:t>
      </w:r>
    </w:p>
    <w:p w:rsidR="00DE6F8A" w:rsidRPr="0002002C" w:rsidRDefault="00DE6F8A" w:rsidP="00DE6F8A">
      <w:pPr>
        <w:jc w:val="center"/>
        <w:rPr>
          <w:szCs w:val="24"/>
        </w:rPr>
      </w:pPr>
      <w:r>
        <w:rPr>
          <w:szCs w:val="24"/>
        </w:rPr>
        <w:t>Mary D. Long</w:t>
      </w:r>
    </w:p>
    <w:p w:rsidR="00DE6F8A" w:rsidRPr="0002002C" w:rsidRDefault="00DE6F8A" w:rsidP="00DE6F8A">
      <w:pPr>
        <w:jc w:val="center"/>
        <w:rPr>
          <w:szCs w:val="24"/>
        </w:rPr>
      </w:pPr>
      <w:r w:rsidRPr="0002002C">
        <w:rPr>
          <w:szCs w:val="24"/>
        </w:rPr>
        <w:t>Administrative Law Judge</w:t>
      </w:r>
    </w:p>
    <w:p w:rsidR="00DE6F8A" w:rsidRPr="0002002C" w:rsidRDefault="00DE6F8A" w:rsidP="00DE6F8A">
      <w:pPr>
        <w:rPr>
          <w:szCs w:val="24"/>
        </w:rPr>
      </w:pPr>
    </w:p>
    <w:p w:rsidR="00DE6F8A" w:rsidRPr="0002002C" w:rsidRDefault="00DE6F8A" w:rsidP="00DE6F8A">
      <w:pPr>
        <w:rPr>
          <w:szCs w:val="24"/>
        </w:rPr>
      </w:pPr>
    </w:p>
    <w:p w:rsidR="00DE6F8A" w:rsidRPr="00EC1681" w:rsidRDefault="00DE6F8A" w:rsidP="00DE6F8A">
      <w:pPr>
        <w:pStyle w:val="Heading1"/>
        <w:jc w:val="center"/>
        <w:rPr>
          <w:szCs w:val="24"/>
          <w:u w:val="single"/>
        </w:rPr>
      </w:pPr>
      <w:r w:rsidRPr="00EC1681">
        <w:rPr>
          <w:szCs w:val="24"/>
          <w:u w:val="single"/>
        </w:rPr>
        <w:t>HISTORY OF THE PROCEEDING</w:t>
      </w:r>
    </w:p>
    <w:p w:rsidR="00DE6F8A" w:rsidRPr="0002002C" w:rsidRDefault="00DE6F8A" w:rsidP="00DE6F8A">
      <w:pPr>
        <w:rPr>
          <w:szCs w:val="24"/>
        </w:rPr>
      </w:pPr>
    </w:p>
    <w:p w:rsidR="00DE6F8A" w:rsidRPr="0002002C" w:rsidRDefault="00DE6F8A" w:rsidP="00DE6F8A">
      <w:pPr>
        <w:rPr>
          <w:szCs w:val="24"/>
        </w:rPr>
      </w:pPr>
    </w:p>
    <w:p w:rsidR="00DE6F8A" w:rsidRPr="0002002C" w:rsidRDefault="00DE6F8A" w:rsidP="00DE6F8A">
      <w:pPr>
        <w:pStyle w:val="BodyText"/>
        <w:spacing w:line="360" w:lineRule="auto"/>
        <w:jc w:val="left"/>
        <w:rPr>
          <w:szCs w:val="24"/>
        </w:rPr>
      </w:pPr>
      <w:r w:rsidRPr="0002002C">
        <w:rPr>
          <w:szCs w:val="24"/>
        </w:rPr>
        <w:tab/>
      </w:r>
      <w:r w:rsidRPr="0002002C">
        <w:rPr>
          <w:szCs w:val="24"/>
        </w:rPr>
        <w:tab/>
        <w:t xml:space="preserve">This decision dismisses a complaint that </w:t>
      </w:r>
      <w:r>
        <w:rPr>
          <w:szCs w:val="24"/>
        </w:rPr>
        <w:t xml:space="preserve">Joseph A. </w:t>
      </w:r>
      <w:proofErr w:type="spellStart"/>
      <w:r>
        <w:rPr>
          <w:szCs w:val="24"/>
        </w:rPr>
        <w:t>Piole</w:t>
      </w:r>
      <w:proofErr w:type="spellEnd"/>
      <w:r>
        <w:rPr>
          <w:szCs w:val="24"/>
        </w:rPr>
        <w:t xml:space="preserve"> (the Complainant) filed with the</w:t>
      </w:r>
      <w:r w:rsidRPr="0002002C">
        <w:rPr>
          <w:szCs w:val="24"/>
        </w:rPr>
        <w:t xml:space="preserve"> Com</w:t>
      </w:r>
      <w:r>
        <w:rPr>
          <w:szCs w:val="24"/>
        </w:rPr>
        <w:t>mission on June 3, 2010.  He alleges, among other things, that Duquesne Light Company (Respondent) improperly sought a deposit to transfer the account of his deceased father into his name</w:t>
      </w:r>
      <w:r w:rsidRPr="0002002C">
        <w:rPr>
          <w:szCs w:val="24"/>
        </w:rPr>
        <w:t xml:space="preserve">. </w:t>
      </w:r>
      <w:r>
        <w:rPr>
          <w:szCs w:val="24"/>
        </w:rPr>
        <w:t xml:space="preserve"> </w:t>
      </w:r>
      <w:r w:rsidRPr="0002002C">
        <w:rPr>
          <w:szCs w:val="24"/>
        </w:rPr>
        <w:t xml:space="preserve">The Respondent answered the complaint </w:t>
      </w:r>
      <w:r>
        <w:rPr>
          <w:szCs w:val="24"/>
        </w:rPr>
        <w:t>on June 28, 2010</w:t>
      </w:r>
      <w:r w:rsidRPr="0002002C">
        <w:rPr>
          <w:szCs w:val="24"/>
        </w:rPr>
        <w:t>.</w:t>
      </w:r>
    </w:p>
    <w:p w:rsidR="00DE6F8A" w:rsidRPr="0002002C" w:rsidRDefault="00DE6F8A" w:rsidP="00DE6F8A">
      <w:pPr>
        <w:spacing w:line="360" w:lineRule="auto"/>
        <w:rPr>
          <w:szCs w:val="24"/>
        </w:rPr>
      </w:pPr>
    </w:p>
    <w:p w:rsidR="00DE6F8A" w:rsidRDefault="00DE6F8A" w:rsidP="00DE6F8A">
      <w:pPr>
        <w:spacing w:line="360" w:lineRule="auto"/>
        <w:ind w:firstLine="1440"/>
        <w:rPr>
          <w:szCs w:val="24"/>
        </w:rPr>
      </w:pPr>
      <w:r>
        <w:rPr>
          <w:szCs w:val="24"/>
        </w:rPr>
        <w:t xml:space="preserve">On March 30, 2011, a hearing notice was sent to the Complainant notifying him that a hearing had been scheduled on his complaint for May 18, 2011 at 10 a.m.  I also issued a prehearing order on March 31, 2011, and sent it to the same address provided by the Complainant on his formal complaint form.  Neither the hearing notice nor the prehearing </w:t>
      </w:r>
      <w:proofErr w:type="gramStart"/>
      <w:r>
        <w:rPr>
          <w:szCs w:val="24"/>
        </w:rPr>
        <w:t>order were</w:t>
      </w:r>
      <w:proofErr w:type="gramEnd"/>
      <w:r>
        <w:rPr>
          <w:szCs w:val="24"/>
        </w:rPr>
        <w:t xml:space="preserve"> returned by the postal service.  </w:t>
      </w:r>
    </w:p>
    <w:p w:rsidR="00DE6F8A" w:rsidRDefault="00DE6F8A" w:rsidP="00DE6F8A">
      <w:pPr>
        <w:spacing w:line="360" w:lineRule="auto"/>
        <w:ind w:firstLine="1440"/>
        <w:rPr>
          <w:szCs w:val="24"/>
        </w:rPr>
      </w:pPr>
    </w:p>
    <w:p w:rsidR="00DE6F8A" w:rsidRPr="0002002C" w:rsidRDefault="00DE6F8A" w:rsidP="00DE6F8A">
      <w:pPr>
        <w:spacing w:line="360" w:lineRule="auto"/>
        <w:ind w:firstLine="1440"/>
        <w:rPr>
          <w:szCs w:val="24"/>
        </w:rPr>
      </w:pPr>
      <w:r>
        <w:rPr>
          <w:szCs w:val="24"/>
        </w:rPr>
        <w:t>The</w:t>
      </w:r>
      <w:r w:rsidRPr="0002002C">
        <w:rPr>
          <w:szCs w:val="24"/>
        </w:rPr>
        <w:t xml:space="preserve"> hearing was </w:t>
      </w:r>
      <w:r>
        <w:rPr>
          <w:szCs w:val="24"/>
        </w:rPr>
        <w:t>convened at 10 a.m. on May 18, 2011, at the Commission’s offices in Pittsburgh</w:t>
      </w:r>
      <w:r w:rsidRPr="0002002C">
        <w:rPr>
          <w:szCs w:val="24"/>
        </w:rPr>
        <w:t xml:space="preserve">. </w:t>
      </w:r>
      <w:r>
        <w:rPr>
          <w:szCs w:val="24"/>
        </w:rPr>
        <w:t xml:space="preserve"> The Complainant did not appear.  I recessed the proceedings for 20 minutes in order to provide additional time for the Complainant to appear.  He did not appear.  </w:t>
      </w:r>
      <w:r>
        <w:rPr>
          <w:szCs w:val="24"/>
        </w:rPr>
        <w:lastRenderedPageBreak/>
        <w:t xml:space="preserve">Counsel for Respondent, </w:t>
      </w:r>
      <w:proofErr w:type="spellStart"/>
      <w:r>
        <w:rPr>
          <w:szCs w:val="24"/>
        </w:rPr>
        <w:t>Krysia</w:t>
      </w:r>
      <w:proofErr w:type="spellEnd"/>
      <w:r>
        <w:rPr>
          <w:szCs w:val="24"/>
        </w:rPr>
        <w:t xml:space="preserve"> </w:t>
      </w:r>
      <w:proofErr w:type="spellStart"/>
      <w:r>
        <w:rPr>
          <w:szCs w:val="24"/>
        </w:rPr>
        <w:t>Kubiak</w:t>
      </w:r>
      <w:proofErr w:type="spellEnd"/>
      <w:r>
        <w:rPr>
          <w:szCs w:val="24"/>
        </w:rPr>
        <w:t xml:space="preserve">, Esq., was present in the hearing room with witnesses and proposed exhibits.  In view of the Complainant’s failure to appear at the hearing, Ms. </w:t>
      </w:r>
      <w:proofErr w:type="spellStart"/>
      <w:r>
        <w:rPr>
          <w:szCs w:val="24"/>
        </w:rPr>
        <w:t>Kubiak</w:t>
      </w:r>
      <w:proofErr w:type="spellEnd"/>
      <w:r w:rsidRPr="0002002C">
        <w:rPr>
          <w:szCs w:val="24"/>
        </w:rPr>
        <w:t xml:space="preserve"> moved to dismiss the comp</w:t>
      </w:r>
      <w:r>
        <w:rPr>
          <w:szCs w:val="24"/>
        </w:rPr>
        <w:t>laint for lack of prosecution.</w:t>
      </w:r>
      <w:r w:rsidRPr="0002002C">
        <w:rPr>
          <w:szCs w:val="24"/>
        </w:rPr>
        <w:t xml:space="preserve"> </w:t>
      </w:r>
      <w:r>
        <w:rPr>
          <w:szCs w:val="24"/>
        </w:rPr>
        <w:t xml:space="preserve"> </w:t>
      </w:r>
      <w:r w:rsidRPr="0002002C">
        <w:rPr>
          <w:szCs w:val="24"/>
        </w:rPr>
        <w:t>No briefs were</w:t>
      </w:r>
      <w:r>
        <w:rPr>
          <w:szCs w:val="24"/>
        </w:rPr>
        <w:t xml:space="preserve"> filed.  The record closed by order dated June 9, 2011</w:t>
      </w:r>
      <w:r w:rsidRPr="0002002C">
        <w:rPr>
          <w:szCs w:val="24"/>
        </w:rPr>
        <w:t xml:space="preserve">. </w:t>
      </w:r>
      <w:r>
        <w:rPr>
          <w:szCs w:val="24"/>
        </w:rPr>
        <w:t xml:space="preserve"> </w:t>
      </w:r>
      <w:r w:rsidRPr="0002002C">
        <w:rPr>
          <w:szCs w:val="24"/>
        </w:rPr>
        <w:t xml:space="preserve">This decision </w:t>
      </w:r>
      <w:r>
        <w:rPr>
          <w:szCs w:val="24"/>
        </w:rPr>
        <w:t>grants</w:t>
      </w:r>
      <w:r w:rsidRPr="0002002C">
        <w:rPr>
          <w:szCs w:val="24"/>
        </w:rPr>
        <w:t xml:space="preserve"> the motion to dismiss the complaint.</w:t>
      </w:r>
    </w:p>
    <w:p w:rsidR="00DE6F8A" w:rsidRPr="0002002C" w:rsidRDefault="00DE6F8A" w:rsidP="00DE6F8A">
      <w:pPr>
        <w:spacing w:line="360" w:lineRule="auto"/>
        <w:rPr>
          <w:szCs w:val="24"/>
        </w:rPr>
      </w:pPr>
    </w:p>
    <w:p w:rsidR="00DE6F8A" w:rsidRPr="00EC1681" w:rsidRDefault="00DE6F8A" w:rsidP="00DE6F8A">
      <w:pPr>
        <w:pStyle w:val="Heading1"/>
        <w:spacing w:line="360" w:lineRule="auto"/>
        <w:jc w:val="center"/>
        <w:rPr>
          <w:szCs w:val="24"/>
          <w:u w:val="single"/>
        </w:rPr>
      </w:pPr>
      <w:r w:rsidRPr="00EC1681">
        <w:rPr>
          <w:szCs w:val="24"/>
          <w:u w:val="single"/>
        </w:rPr>
        <w:t>FINDINGS OF FACT</w:t>
      </w:r>
    </w:p>
    <w:p w:rsidR="00DE6F8A" w:rsidRPr="0002002C" w:rsidRDefault="00DE6F8A" w:rsidP="00DE6F8A">
      <w:pPr>
        <w:spacing w:line="360" w:lineRule="auto"/>
        <w:rPr>
          <w:szCs w:val="24"/>
        </w:rPr>
      </w:pPr>
    </w:p>
    <w:p w:rsidR="00DE6F8A" w:rsidRPr="0002002C" w:rsidRDefault="00DE6F8A" w:rsidP="00DE6F8A">
      <w:pPr>
        <w:spacing w:line="360" w:lineRule="auto"/>
        <w:rPr>
          <w:szCs w:val="24"/>
        </w:rPr>
      </w:pPr>
      <w:r>
        <w:rPr>
          <w:szCs w:val="24"/>
        </w:rPr>
        <w:tab/>
      </w:r>
      <w:r>
        <w:rPr>
          <w:szCs w:val="24"/>
        </w:rPr>
        <w:tab/>
        <w:t>1.</w:t>
      </w:r>
      <w:r>
        <w:rPr>
          <w:szCs w:val="24"/>
        </w:rPr>
        <w:tab/>
      </w:r>
      <w:r w:rsidRPr="001E5EC9">
        <w:rPr>
          <w:szCs w:val="24"/>
        </w:rPr>
        <w:t>On</w:t>
      </w:r>
      <w:r>
        <w:rPr>
          <w:szCs w:val="24"/>
        </w:rPr>
        <w:t xml:space="preserve"> June 3, 2010, the </w:t>
      </w:r>
      <w:r w:rsidRPr="001E5EC9">
        <w:rPr>
          <w:szCs w:val="24"/>
        </w:rPr>
        <w:t xml:space="preserve">Complainant filed a formal </w:t>
      </w:r>
      <w:r>
        <w:rPr>
          <w:szCs w:val="24"/>
        </w:rPr>
        <w:t>c</w:t>
      </w:r>
      <w:r w:rsidRPr="001E5EC9">
        <w:rPr>
          <w:szCs w:val="24"/>
        </w:rPr>
        <w:t xml:space="preserve">omplaint with the Commission </w:t>
      </w:r>
      <w:r>
        <w:rPr>
          <w:szCs w:val="24"/>
        </w:rPr>
        <w:t xml:space="preserve">which </w:t>
      </w:r>
      <w:r w:rsidRPr="0002002C">
        <w:rPr>
          <w:szCs w:val="24"/>
        </w:rPr>
        <w:t>allege</w:t>
      </w:r>
      <w:r>
        <w:rPr>
          <w:szCs w:val="24"/>
        </w:rPr>
        <w:t>d</w:t>
      </w:r>
      <w:r w:rsidRPr="0002002C">
        <w:rPr>
          <w:szCs w:val="24"/>
        </w:rPr>
        <w:t xml:space="preserve"> </w:t>
      </w:r>
      <w:r>
        <w:rPr>
          <w:szCs w:val="24"/>
        </w:rPr>
        <w:t>he should not have to pay a deposit to transfer his deceased father’s account into his name.</w:t>
      </w:r>
    </w:p>
    <w:p w:rsidR="00DE6F8A" w:rsidRPr="0002002C" w:rsidRDefault="00DE6F8A" w:rsidP="00DE6F8A">
      <w:pPr>
        <w:spacing w:line="360" w:lineRule="auto"/>
        <w:rPr>
          <w:szCs w:val="24"/>
        </w:rPr>
      </w:pPr>
    </w:p>
    <w:p w:rsidR="00DE6F8A" w:rsidRDefault="00DE6F8A" w:rsidP="00DE6F8A">
      <w:pPr>
        <w:spacing w:line="360" w:lineRule="auto"/>
        <w:rPr>
          <w:szCs w:val="24"/>
        </w:rPr>
      </w:pPr>
      <w:r>
        <w:rPr>
          <w:szCs w:val="24"/>
        </w:rPr>
        <w:tab/>
      </w:r>
      <w:r>
        <w:rPr>
          <w:szCs w:val="24"/>
        </w:rPr>
        <w:tab/>
        <w:t>2.</w:t>
      </w:r>
      <w:r>
        <w:rPr>
          <w:szCs w:val="24"/>
        </w:rPr>
        <w:tab/>
      </w:r>
      <w:r w:rsidRPr="0002002C">
        <w:rPr>
          <w:szCs w:val="24"/>
        </w:rPr>
        <w:t>The Respondent</w:t>
      </w:r>
      <w:r>
        <w:rPr>
          <w:szCs w:val="24"/>
        </w:rPr>
        <w:t>, Duquesne Light Company, provides</w:t>
      </w:r>
      <w:r w:rsidRPr="0002002C">
        <w:rPr>
          <w:szCs w:val="24"/>
        </w:rPr>
        <w:t xml:space="preserve"> residential </w:t>
      </w:r>
      <w:r>
        <w:rPr>
          <w:szCs w:val="24"/>
        </w:rPr>
        <w:t>electric distribution service to the Complainant.</w:t>
      </w:r>
    </w:p>
    <w:p w:rsidR="00DE6F8A" w:rsidRDefault="00DE6F8A" w:rsidP="00DE6F8A">
      <w:pPr>
        <w:spacing w:line="360" w:lineRule="auto"/>
        <w:rPr>
          <w:szCs w:val="24"/>
        </w:rPr>
      </w:pPr>
    </w:p>
    <w:p w:rsidR="00DE6F8A" w:rsidRDefault="00DE6F8A" w:rsidP="00DE6F8A">
      <w:pPr>
        <w:spacing w:line="360" w:lineRule="auto"/>
        <w:rPr>
          <w:szCs w:val="24"/>
        </w:rPr>
      </w:pPr>
      <w:r>
        <w:rPr>
          <w:szCs w:val="24"/>
        </w:rPr>
        <w:tab/>
      </w:r>
      <w:r>
        <w:rPr>
          <w:szCs w:val="24"/>
        </w:rPr>
        <w:tab/>
        <w:t>3.</w:t>
      </w:r>
      <w:r>
        <w:rPr>
          <w:szCs w:val="24"/>
        </w:rPr>
        <w:tab/>
        <w:t>On March 30, 2011, a hearing notice scheduling an initial hearing for Wednesday May 18, 2011, was sent to the Complainant to the address that he provided on his complaint form.</w:t>
      </w:r>
    </w:p>
    <w:p w:rsidR="00DE6F8A" w:rsidRDefault="00DE6F8A" w:rsidP="00DE6F8A">
      <w:pPr>
        <w:spacing w:line="360" w:lineRule="auto"/>
        <w:rPr>
          <w:szCs w:val="24"/>
        </w:rPr>
      </w:pPr>
    </w:p>
    <w:p w:rsidR="00DE6F8A" w:rsidRDefault="00DE6F8A" w:rsidP="00DE6F8A">
      <w:pPr>
        <w:spacing w:line="360" w:lineRule="auto"/>
        <w:rPr>
          <w:szCs w:val="24"/>
        </w:rPr>
      </w:pPr>
      <w:r>
        <w:rPr>
          <w:szCs w:val="24"/>
        </w:rPr>
        <w:tab/>
      </w:r>
      <w:r>
        <w:rPr>
          <w:szCs w:val="24"/>
        </w:rPr>
        <w:tab/>
        <w:t>4.</w:t>
      </w:r>
      <w:r>
        <w:rPr>
          <w:szCs w:val="24"/>
        </w:rPr>
        <w:tab/>
        <w:t>On March 31, 2011, a prehearing order was sent to the Complainant which also notified him that an initial hearing had been scheduled for May 18, 2011, and provided instructions for contacting the Office of Administrative Law Judge if he needed to reschedule the hearing.  The order also informed him of the consequences if he failed to appear.</w:t>
      </w:r>
    </w:p>
    <w:p w:rsidR="00DE6F8A" w:rsidRDefault="00DE6F8A" w:rsidP="00DE6F8A">
      <w:pPr>
        <w:spacing w:line="360" w:lineRule="auto"/>
        <w:rPr>
          <w:szCs w:val="24"/>
        </w:rPr>
      </w:pPr>
    </w:p>
    <w:p w:rsidR="00DE6F8A" w:rsidRDefault="00DE6F8A" w:rsidP="00DE6F8A">
      <w:pPr>
        <w:spacing w:line="360" w:lineRule="auto"/>
        <w:rPr>
          <w:szCs w:val="24"/>
          <w:u w:val="single"/>
        </w:rPr>
      </w:pPr>
      <w:r>
        <w:rPr>
          <w:szCs w:val="24"/>
        </w:rPr>
        <w:tab/>
      </w:r>
      <w:r>
        <w:rPr>
          <w:szCs w:val="24"/>
        </w:rPr>
        <w:tab/>
        <w:t>5.</w:t>
      </w:r>
      <w:r>
        <w:rPr>
          <w:szCs w:val="24"/>
        </w:rPr>
        <w:tab/>
        <w:t>The Complainant, without excuse, failed to appear for the hearing.</w:t>
      </w:r>
    </w:p>
    <w:p w:rsidR="00DE6F8A" w:rsidRDefault="00DE6F8A" w:rsidP="00DE6F8A">
      <w:pPr>
        <w:spacing w:line="360" w:lineRule="auto"/>
        <w:jc w:val="center"/>
        <w:rPr>
          <w:szCs w:val="24"/>
          <w:u w:val="single"/>
        </w:rPr>
      </w:pPr>
    </w:p>
    <w:p w:rsidR="00DE6F8A" w:rsidRDefault="00DE6F8A" w:rsidP="00DE6F8A">
      <w:pPr>
        <w:spacing w:after="200" w:line="276" w:lineRule="auto"/>
        <w:rPr>
          <w:szCs w:val="24"/>
          <w:u w:val="single"/>
        </w:rPr>
      </w:pPr>
      <w:r>
        <w:rPr>
          <w:szCs w:val="24"/>
          <w:u w:val="single"/>
        </w:rPr>
        <w:br w:type="page"/>
      </w:r>
    </w:p>
    <w:p w:rsidR="00DE6F8A" w:rsidRPr="00FD0F78" w:rsidRDefault="00DE6F8A" w:rsidP="00DE6F8A">
      <w:pPr>
        <w:spacing w:line="360" w:lineRule="auto"/>
        <w:jc w:val="center"/>
        <w:rPr>
          <w:szCs w:val="24"/>
          <w:u w:val="single"/>
        </w:rPr>
      </w:pPr>
      <w:r w:rsidRPr="00FD0F78">
        <w:rPr>
          <w:szCs w:val="24"/>
          <w:u w:val="single"/>
        </w:rPr>
        <w:lastRenderedPageBreak/>
        <w:t>DISCUSSION</w:t>
      </w:r>
    </w:p>
    <w:p w:rsidR="00DE6F8A" w:rsidRPr="0002002C" w:rsidRDefault="00DE6F8A" w:rsidP="00DE6F8A">
      <w:pPr>
        <w:spacing w:line="360" w:lineRule="auto"/>
        <w:rPr>
          <w:szCs w:val="24"/>
        </w:rPr>
      </w:pPr>
    </w:p>
    <w:p w:rsidR="00DE6F8A" w:rsidRPr="0002002C" w:rsidRDefault="00DE6F8A" w:rsidP="00DE6F8A">
      <w:pPr>
        <w:pStyle w:val="BodyText"/>
        <w:spacing w:line="360" w:lineRule="auto"/>
        <w:jc w:val="left"/>
        <w:rPr>
          <w:szCs w:val="24"/>
        </w:rPr>
      </w:pPr>
      <w:r w:rsidRPr="0002002C">
        <w:rPr>
          <w:szCs w:val="24"/>
        </w:rPr>
        <w:tab/>
      </w:r>
      <w:r w:rsidRPr="0002002C">
        <w:rPr>
          <w:szCs w:val="24"/>
        </w:rPr>
        <w:tab/>
        <w:t>Administrative agencies, such as the Commission, are required to provide due process to the parties appearing before them.</w:t>
      </w:r>
      <w:r>
        <w:rPr>
          <w:rStyle w:val="FootnoteReference"/>
          <w:szCs w:val="24"/>
        </w:rPr>
        <w:footnoteReference w:id="1"/>
      </w:r>
      <w:r w:rsidRPr="0002002C">
        <w:rPr>
          <w:szCs w:val="24"/>
        </w:rPr>
        <w:t xml:space="preserve"> </w:t>
      </w:r>
      <w:r>
        <w:rPr>
          <w:szCs w:val="24"/>
        </w:rPr>
        <w:t xml:space="preserve"> </w:t>
      </w:r>
      <w:r w:rsidRPr="0002002C">
        <w:rPr>
          <w:szCs w:val="24"/>
        </w:rPr>
        <w:t>This due process requirement is satisfied, however, when the parties are accorded notice and the oppo</w:t>
      </w:r>
      <w:r>
        <w:rPr>
          <w:szCs w:val="24"/>
        </w:rPr>
        <w:t>rtunity to appear and be heard.</w:t>
      </w:r>
      <w:r>
        <w:rPr>
          <w:rStyle w:val="FootnoteReference"/>
          <w:szCs w:val="24"/>
        </w:rPr>
        <w:footnoteReference w:id="2"/>
      </w:r>
    </w:p>
    <w:p w:rsidR="00DE6F8A" w:rsidRPr="0002002C" w:rsidRDefault="00DE6F8A" w:rsidP="00DE6F8A">
      <w:pPr>
        <w:pStyle w:val="BodyText"/>
        <w:spacing w:line="360" w:lineRule="auto"/>
        <w:jc w:val="left"/>
        <w:rPr>
          <w:szCs w:val="24"/>
        </w:rPr>
      </w:pPr>
    </w:p>
    <w:p w:rsidR="00DE6F8A" w:rsidRDefault="00DE6F8A" w:rsidP="00DE6F8A">
      <w:pPr>
        <w:pStyle w:val="BodyText"/>
        <w:spacing w:line="360" w:lineRule="auto"/>
        <w:ind w:firstLine="1440"/>
        <w:jc w:val="left"/>
        <w:rPr>
          <w:szCs w:val="24"/>
        </w:rPr>
      </w:pPr>
      <w:r>
        <w:rPr>
          <w:szCs w:val="24"/>
        </w:rPr>
        <w:t>Notice of the hearing was sent to the Complainant on March 30, 2011.</w:t>
      </w:r>
      <w:r w:rsidRPr="0002002C">
        <w:rPr>
          <w:szCs w:val="24"/>
        </w:rPr>
        <w:t xml:space="preserve"> </w:t>
      </w:r>
      <w:r>
        <w:rPr>
          <w:szCs w:val="24"/>
        </w:rPr>
        <w:t xml:space="preserve"> </w:t>
      </w:r>
      <w:r w:rsidRPr="0002002C">
        <w:rPr>
          <w:szCs w:val="24"/>
        </w:rPr>
        <w:t>In addition, I issued a Prehearing Order on</w:t>
      </w:r>
      <w:r>
        <w:rPr>
          <w:szCs w:val="24"/>
        </w:rPr>
        <w:t xml:space="preserve"> March 31, 2011,</w:t>
      </w:r>
      <w:r w:rsidRPr="0002002C">
        <w:rPr>
          <w:szCs w:val="24"/>
        </w:rPr>
        <w:t xml:space="preserve"> which, </w:t>
      </w:r>
      <w:r w:rsidRPr="00100223">
        <w:rPr>
          <w:i/>
          <w:szCs w:val="24"/>
        </w:rPr>
        <w:t>inter alia</w:t>
      </w:r>
      <w:r w:rsidRPr="0002002C">
        <w:rPr>
          <w:szCs w:val="24"/>
        </w:rPr>
        <w:t>, reminded the parties of the hearing date and time.</w:t>
      </w:r>
      <w:r>
        <w:rPr>
          <w:szCs w:val="24"/>
        </w:rPr>
        <w:t xml:space="preserve">  Neither the hearing notice nor the prehearing </w:t>
      </w:r>
      <w:proofErr w:type="gramStart"/>
      <w:r>
        <w:rPr>
          <w:szCs w:val="24"/>
        </w:rPr>
        <w:t>order were</w:t>
      </w:r>
      <w:proofErr w:type="gramEnd"/>
      <w:r>
        <w:rPr>
          <w:szCs w:val="24"/>
        </w:rPr>
        <w:t xml:space="preserve"> returned as undeliverable by the postal service.</w:t>
      </w:r>
    </w:p>
    <w:p w:rsidR="00DE6F8A" w:rsidRPr="0002002C" w:rsidRDefault="00DE6F8A" w:rsidP="00DE6F8A">
      <w:pPr>
        <w:pStyle w:val="BodyText"/>
        <w:spacing w:line="360" w:lineRule="auto"/>
        <w:ind w:firstLine="1440"/>
        <w:jc w:val="left"/>
        <w:rPr>
          <w:szCs w:val="24"/>
        </w:rPr>
      </w:pPr>
    </w:p>
    <w:p w:rsidR="00DE6F8A" w:rsidRDefault="00DE6F8A" w:rsidP="00DE6F8A">
      <w:pPr>
        <w:pStyle w:val="BodyText"/>
        <w:widowControl w:val="0"/>
        <w:spacing w:line="360" w:lineRule="auto"/>
        <w:jc w:val="left"/>
        <w:rPr>
          <w:szCs w:val="24"/>
        </w:rPr>
      </w:pPr>
      <w:r w:rsidRPr="0002002C">
        <w:rPr>
          <w:szCs w:val="24"/>
        </w:rPr>
        <w:tab/>
      </w:r>
      <w:r w:rsidRPr="0002002C">
        <w:rPr>
          <w:szCs w:val="24"/>
        </w:rPr>
        <w:tab/>
        <w:t xml:space="preserve">The Complainant did not appear </w:t>
      </w:r>
      <w:r>
        <w:rPr>
          <w:szCs w:val="24"/>
        </w:rPr>
        <w:t xml:space="preserve">at the hearing and did not attempt to contact my office to offer an excuse for his failure to appear.  </w:t>
      </w:r>
      <w:r w:rsidRPr="0002002C">
        <w:rPr>
          <w:szCs w:val="24"/>
        </w:rPr>
        <w:t xml:space="preserve">Under these circumstances, it appears the Complainant had ample opportunity to appear and be heard in this proceeding, but voluntarily chose not to do so. </w:t>
      </w:r>
      <w:r>
        <w:rPr>
          <w:szCs w:val="24"/>
        </w:rPr>
        <w:t xml:space="preserve"> </w:t>
      </w:r>
      <w:r w:rsidRPr="0002002C">
        <w:rPr>
          <w:szCs w:val="24"/>
        </w:rPr>
        <w:t>Therefore, the due process rights of the Complainant have been fully protected</w:t>
      </w:r>
      <w:r>
        <w:rPr>
          <w:szCs w:val="24"/>
        </w:rPr>
        <w:t xml:space="preserve">. </w:t>
      </w:r>
      <w:r>
        <w:rPr>
          <w:rStyle w:val="FootnoteReference"/>
          <w:szCs w:val="24"/>
        </w:rPr>
        <w:footnoteReference w:id="3"/>
      </w:r>
      <w:r>
        <w:rPr>
          <w:szCs w:val="24"/>
        </w:rPr>
        <w:t xml:space="preserve"> </w:t>
      </w:r>
    </w:p>
    <w:p w:rsidR="00DE6F8A" w:rsidRDefault="00DE6F8A" w:rsidP="00DE6F8A">
      <w:pPr>
        <w:pStyle w:val="BodyText"/>
        <w:widowControl w:val="0"/>
        <w:spacing w:line="360" w:lineRule="auto"/>
        <w:jc w:val="left"/>
        <w:rPr>
          <w:szCs w:val="24"/>
        </w:rPr>
      </w:pPr>
    </w:p>
    <w:p w:rsidR="00DE6F8A" w:rsidRPr="00875760" w:rsidRDefault="00DE6F8A" w:rsidP="00DE6F8A">
      <w:pPr>
        <w:pStyle w:val="BodyText"/>
        <w:widowControl w:val="0"/>
        <w:spacing w:line="360" w:lineRule="auto"/>
        <w:jc w:val="left"/>
        <w:rPr>
          <w:szCs w:val="24"/>
        </w:rPr>
      </w:pPr>
      <w:r>
        <w:rPr>
          <w:szCs w:val="24"/>
        </w:rPr>
        <w:tab/>
      </w:r>
      <w:r>
        <w:rPr>
          <w:szCs w:val="24"/>
        </w:rPr>
        <w:tab/>
        <w:t>Accordingly, the motion to dismiss Complainant’s complaint by the Respondent will be granted.</w:t>
      </w:r>
    </w:p>
    <w:p w:rsidR="00DE6F8A" w:rsidRPr="00D9233F" w:rsidRDefault="00DE6F8A" w:rsidP="00DE6F8A">
      <w:pPr>
        <w:pStyle w:val="BodyText"/>
        <w:spacing w:line="360" w:lineRule="auto"/>
        <w:jc w:val="left"/>
        <w:rPr>
          <w:szCs w:val="24"/>
        </w:rPr>
      </w:pPr>
      <w:r>
        <w:rPr>
          <w:szCs w:val="24"/>
        </w:rPr>
        <w:tab/>
      </w:r>
      <w:r>
        <w:rPr>
          <w:szCs w:val="24"/>
        </w:rPr>
        <w:tab/>
      </w:r>
    </w:p>
    <w:p w:rsidR="00DE6F8A" w:rsidRPr="00D9233F" w:rsidRDefault="00DE6F8A" w:rsidP="00DE6F8A">
      <w:pPr>
        <w:pStyle w:val="BodyText"/>
        <w:spacing w:line="360" w:lineRule="auto"/>
        <w:jc w:val="center"/>
        <w:rPr>
          <w:szCs w:val="24"/>
        </w:rPr>
      </w:pPr>
      <w:r w:rsidRPr="00D9233F">
        <w:rPr>
          <w:szCs w:val="24"/>
          <w:u w:val="single"/>
        </w:rPr>
        <w:t>CONCLUSIONS OF LAW</w:t>
      </w:r>
    </w:p>
    <w:p w:rsidR="00DE6F8A" w:rsidRPr="00D9233F" w:rsidRDefault="00DE6F8A" w:rsidP="00DE6F8A">
      <w:pPr>
        <w:pStyle w:val="BodyText"/>
        <w:spacing w:line="360" w:lineRule="auto"/>
        <w:jc w:val="left"/>
        <w:rPr>
          <w:szCs w:val="24"/>
        </w:rPr>
      </w:pPr>
    </w:p>
    <w:p w:rsidR="00DE6F8A" w:rsidRDefault="00DE6F8A" w:rsidP="00DE6F8A">
      <w:pPr>
        <w:pStyle w:val="BodyText"/>
        <w:numPr>
          <w:ilvl w:val="0"/>
          <w:numId w:val="1"/>
        </w:numPr>
        <w:spacing w:line="360" w:lineRule="auto"/>
        <w:ind w:left="0" w:firstLine="1440"/>
        <w:jc w:val="left"/>
        <w:rPr>
          <w:szCs w:val="24"/>
        </w:rPr>
      </w:pPr>
      <w:r w:rsidRPr="00D9233F">
        <w:rPr>
          <w:szCs w:val="24"/>
        </w:rPr>
        <w:t>The Commission has jurisdiction over the subject matter and the parties to this proceeding.</w:t>
      </w:r>
    </w:p>
    <w:p w:rsidR="00DE6F8A" w:rsidRPr="00D9233F" w:rsidRDefault="00DE6F8A" w:rsidP="00DE6F8A">
      <w:pPr>
        <w:pStyle w:val="BodyText"/>
        <w:spacing w:line="360" w:lineRule="auto"/>
        <w:ind w:left="2160"/>
        <w:jc w:val="left"/>
        <w:rPr>
          <w:szCs w:val="24"/>
        </w:rPr>
      </w:pPr>
    </w:p>
    <w:p w:rsidR="00DE6F8A" w:rsidRPr="00D9233F" w:rsidRDefault="00DE6F8A" w:rsidP="00DE6F8A">
      <w:pPr>
        <w:pStyle w:val="BodyText"/>
        <w:spacing w:line="360" w:lineRule="auto"/>
        <w:jc w:val="left"/>
        <w:rPr>
          <w:szCs w:val="24"/>
        </w:rPr>
      </w:pPr>
      <w:r>
        <w:rPr>
          <w:szCs w:val="24"/>
        </w:rPr>
        <w:lastRenderedPageBreak/>
        <w:tab/>
      </w:r>
      <w:r>
        <w:rPr>
          <w:szCs w:val="24"/>
        </w:rPr>
        <w:tab/>
        <w:t>2.</w:t>
      </w:r>
      <w:r>
        <w:rPr>
          <w:szCs w:val="24"/>
        </w:rPr>
        <w:tab/>
      </w:r>
      <w:r w:rsidRPr="00D9233F">
        <w:rPr>
          <w:szCs w:val="24"/>
        </w:rPr>
        <w:t>The due process rights of the Complainant have been fully protected in this proceeding.</w:t>
      </w:r>
    </w:p>
    <w:p w:rsidR="00DE6F8A" w:rsidRPr="00D9233F" w:rsidRDefault="00DE6F8A" w:rsidP="00DE6F8A">
      <w:pPr>
        <w:pStyle w:val="BodyText"/>
        <w:spacing w:line="360" w:lineRule="auto"/>
        <w:jc w:val="left"/>
        <w:rPr>
          <w:szCs w:val="24"/>
        </w:rPr>
      </w:pPr>
    </w:p>
    <w:p w:rsidR="00DE6F8A" w:rsidRDefault="00DE6F8A" w:rsidP="00DE6F8A">
      <w:pPr>
        <w:pStyle w:val="BodyText"/>
        <w:spacing w:line="360" w:lineRule="auto"/>
        <w:jc w:val="left"/>
        <w:rPr>
          <w:szCs w:val="24"/>
        </w:rPr>
      </w:pPr>
      <w:r>
        <w:rPr>
          <w:szCs w:val="24"/>
        </w:rPr>
        <w:tab/>
      </w:r>
      <w:r>
        <w:rPr>
          <w:szCs w:val="24"/>
        </w:rPr>
        <w:tab/>
        <w:t>3.</w:t>
      </w:r>
      <w:r>
        <w:rPr>
          <w:szCs w:val="24"/>
        </w:rPr>
        <w:tab/>
      </w:r>
      <w:r w:rsidRPr="00D9233F">
        <w:rPr>
          <w:szCs w:val="24"/>
        </w:rPr>
        <w:t xml:space="preserve">By failing to appear and be heard on this complaint, the Complainant has failed to meet </w:t>
      </w:r>
      <w:r>
        <w:rPr>
          <w:szCs w:val="24"/>
        </w:rPr>
        <w:t xml:space="preserve">his </w:t>
      </w:r>
      <w:r w:rsidRPr="00D9233F">
        <w:rPr>
          <w:szCs w:val="24"/>
        </w:rPr>
        <w:t>burden of proving that he is entitled to relief.</w:t>
      </w:r>
    </w:p>
    <w:p w:rsidR="00DE6F8A" w:rsidRDefault="00DE6F8A" w:rsidP="00DE6F8A">
      <w:pPr>
        <w:pStyle w:val="BodyText"/>
        <w:spacing w:line="360" w:lineRule="auto"/>
        <w:jc w:val="left"/>
        <w:rPr>
          <w:szCs w:val="24"/>
        </w:rPr>
      </w:pPr>
    </w:p>
    <w:p w:rsidR="00DE6F8A" w:rsidRPr="0002002C" w:rsidRDefault="00DE6F8A" w:rsidP="00DE6F8A">
      <w:pPr>
        <w:pStyle w:val="BodyText"/>
        <w:spacing w:line="360" w:lineRule="auto"/>
        <w:jc w:val="center"/>
        <w:rPr>
          <w:szCs w:val="24"/>
          <w:u w:val="single"/>
        </w:rPr>
      </w:pPr>
      <w:r w:rsidRPr="0002002C">
        <w:rPr>
          <w:szCs w:val="24"/>
          <w:u w:val="single"/>
        </w:rPr>
        <w:t>ORDER</w:t>
      </w:r>
    </w:p>
    <w:p w:rsidR="00DE6F8A" w:rsidRDefault="00DE6F8A" w:rsidP="00DE6F8A">
      <w:pPr>
        <w:pStyle w:val="BodyText"/>
        <w:spacing w:line="360" w:lineRule="auto"/>
        <w:jc w:val="left"/>
        <w:rPr>
          <w:szCs w:val="24"/>
        </w:rPr>
      </w:pPr>
    </w:p>
    <w:p w:rsidR="00DE6F8A" w:rsidRPr="0002002C" w:rsidRDefault="00DE6F8A" w:rsidP="00DE6F8A">
      <w:pPr>
        <w:pStyle w:val="BodyText"/>
        <w:spacing w:line="360" w:lineRule="auto"/>
        <w:jc w:val="left"/>
        <w:rPr>
          <w:szCs w:val="24"/>
        </w:rPr>
      </w:pPr>
    </w:p>
    <w:p w:rsidR="00DE6F8A" w:rsidRPr="0002002C" w:rsidRDefault="00DE6F8A" w:rsidP="00DE6F8A">
      <w:pPr>
        <w:pStyle w:val="BodyText"/>
        <w:spacing w:line="360" w:lineRule="auto"/>
        <w:jc w:val="left"/>
        <w:rPr>
          <w:szCs w:val="24"/>
        </w:rPr>
      </w:pPr>
      <w:r w:rsidRPr="0002002C">
        <w:rPr>
          <w:szCs w:val="24"/>
        </w:rPr>
        <w:tab/>
      </w:r>
      <w:r w:rsidRPr="0002002C">
        <w:rPr>
          <w:szCs w:val="24"/>
        </w:rPr>
        <w:tab/>
        <w:t>THEREFORE,</w:t>
      </w:r>
    </w:p>
    <w:p w:rsidR="00DE6F8A" w:rsidRPr="0002002C" w:rsidRDefault="00DE6F8A" w:rsidP="00DE6F8A">
      <w:pPr>
        <w:pStyle w:val="BodyText"/>
        <w:spacing w:line="360" w:lineRule="auto"/>
        <w:jc w:val="left"/>
        <w:rPr>
          <w:szCs w:val="24"/>
        </w:rPr>
      </w:pPr>
    </w:p>
    <w:p w:rsidR="00DE6F8A" w:rsidRPr="0002002C" w:rsidRDefault="00DE6F8A" w:rsidP="00DE6F8A">
      <w:pPr>
        <w:pStyle w:val="BodyText"/>
        <w:spacing w:line="360" w:lineRule="auto"/>
        <w:jc w:val="left"/>
        <w:rPr>
          <w:szCs w:val="24"/>
        </w:rPr>
      </w:pPr>
      <w:r w:rsidRPr="0002002C">
        <w:rPr>
          <w:szCs w:val="24"/>
        </w:rPr>
        <w:tab/>
      </w:r>
      <w:r w:rsidRPr="0002002C">
        <w:rPr>
          <w:szCs w:val="24"/>
        </w:rPr>
        <w:tab/>
        <w:t>IT IS ORDERED:</w:t>
      </w:r>
    </w:p>
    <w:p w:rsidR="00DE6F8A" w:rsidRPr="0002002C" w:rsidRDefault="00DE6F8A" w:rsidP="00DE6F8A">
      <w:pPr>
        <w:pStyle w:val="BodyText"/>
        <w:spacing w:line="360" w:lineRule="auto"/>
        <w:jc w:val="left"/>
        <w:rPr>
          <w:szCs w:val="24"/>
        </w:rPr>
      </w:pPr>
    </w:p>
    <w:p w:rsidR="00DE6F8A" w:rsidRDefault="00DE6F8A" w:rsidP="00DE6F8A">
      <w:pPr>
        <w:pStyle w:val="BodyText"/>
        <w:spacing w:line="360" w:lineRule="auto"/>
        <w:jc w:val="left"/>
        <w:rPr>
          <w:szCs w:val="24"/>
        </w:rPr>
      </w:pPr>
      <w:r>
        <w:rPr>
          <w:szCs w:val="24"/>
        </w:rPr>
        <w:tab/>
      </w:r>
      <w:r>
        <w:rPr>
          <w:szCs w:val="24"/>
        </w:rPr>
        <w:tab/>
        <w:t>1.</w:t>
      </w:r>
      <w:r>
        <w:rPr>
          <w:szCs w:val="24"/>
        </w:rPr>
        <w:tab/>
        <w:t xml:space="preserve">That the complaint of Joseph A. </w:t>
      </w:r>
      <w:proofErr w:type="spellStart"/>
      <w:r>
        <w:rPr>
          <w:szCs w:val="24"/>
        </w:rPr>
        <w:t>Piole</w:t>
      </w:r>
      <w:proofErr w:type="spellEnd"/>
      <w:r>
        <w:rPr>
          <w:szCs w:val="24"/>
        </w:rPr>
        <w:t xml:space="preserve"> v. Duquesne Light Company at Docket No. C-2010-2179846 is hereby dismissed with prejudice.</w:t>
      </w:r>
    </w:p>
    <w:p w:rsidR="00DE6F8A" w:rsidRDefault="00DE6F8A" w:rsidP="00DE6F8A">
      <w:pPr>
        <w:pStyle w:val="BodyText"/>
        <w:spacing w:line="360" w:lineRule="auto"/>
        <w:jc w:val="left"/>
        <w:rPr>
          <w:szCs w:val="24"/>
        </w:rPr>
      </w:pPr>
    </w:p>
    <w:p w:rsidR="00DE6F8A" w:rsidRPr="00301FCD" w:rsidRDefault="00DE6F8A" w:rsidP="00DE6F8A">
      <w:pPr>
        <w:pStyle w:val="BodyText"/>
        <w:spacing w:line="360" w:lineRule="auto"/>
        <w:jc w:val="left"/>
        <w:rPr>
          <w:szCs w:val="24"/>
        </w:rPr>
      </w:pPr>
      <w:r>
        <w:rPr>
          <w:szCs w:val="24"/>
        </w:rPr>
        <w:tab/>
      </w:r>
      <w:r>
        <w:rPr>
          <w:szCs w:val="24"/>
        </w:rPr>
        <w:tab/>
        <w:t>2.</w:t>
      </w:r>
      <w:r>
        <w:rPr>
          <w:szCs w:val="24"/>
        </w:rPr>
        <w:tab/>
        <w:t>That the docket be marked closed and discontinued.</w:t>
      </w:r>
    </w:p>
    <w:p w:rsidR="00DE6F8A" w:rsidRDefault="00DE6F8A" w:rsidP="00DE6F8A">
      <w:pPr>
        <w:pStyle w:val="BodyText"/>
        <w:spacing w:line="360" w:lineRule="auto"/>
        <w:jc w:val="left"/>
        <w:rPr>
          <w:szCs w:val="24"/>
        </w:rPr>
      </w:pPr>
    </w:p>
    <w:p w:rsidR="00DE6F8A" w:rsidRDefault="00DE6F8A" w:rsidP="00DE6F8A">
      <w:pPr>
        <w:pStyle w:val="BodyText"/>
        <w:spacing w:line="360" w:lineRule="auto"/>
        <w:jc w:val="left"/>
        <w:rPr>
          <w:szCs w:val="24"/>
        </w:rPr>
      </w:pPr>
    </w:p>
    <w:p w:rsidR="00DE6F8A" w:rsidRPr="0002002C" w:rsidRDefault="00DE6F8A" w:rsidP="00DE6F8A">
      <w:pPr>
        <w:pStyle w:val="BodyText"/>
        <w:spacing w:line="240" w:lineRule="auto"/>
        <w:jc w:val="left"/>
        <w:rPr>
          <w:szCs w:val="24"/>
        </w:rPr>
      </w:pPr>
      <w:r w:rsidRPr="0002002C">
        <w:rPr>
          <w:szCs w:val="24"/>
        </w:rPr>
        <w:t>Date</w:t>
      </w:r>
      <w:r>
        <w:rPr>
          <w:szCs w:val="24"/>
        </w:rPr>
        <w:t>d</w:t>
      </w:r>
      <w:r w:rsidRPr="0002002C">
        <w:rPr>
          <w:szCs w:val="24"/>
        </w:rPr>
        <w:t xml:space="preserve">: </w:t>
      </w:r>
      <w:r>
        <w:rPr>
          <w:szCs w:val="24"/>
        </w:rPr>
        <w:t xml:space="preserve"> </w:t>
      </w:r>
      <w:r w:rsidRPr="008759F3">
        <w:rPr>
          <w:szCs w:val="24"/>
          <w:u w:val="single"/>
        </w:rPr>
        <w:t>June 10, 2011</w:t>
      </w:r>
      <w:r>
        <w:rPr>
          <w:szCs w:val="24"/>
        </w:rPr>
        <w:tab/>
      </w:r>
      <w:r>
        <w:rPr>
          <w:szCs w:val="24"/>
        </w:rPr>
        <w:tab/>
      </w:r>
      <w:r>
        <w:rPr>
          <w:szCs w:val="24"/>
        </w:rPr>
        <w:tab/>
      </w:r>
      <w:r w:rsidRPr="0002002C">
        <w:rPr>
          <w:szCs w:val="24"/>
        </w:rPr>
        <w:tab/>
      </w:r>
      <w:r w:rsidRPr="0002002C">
        <w:rPr>
          <w:szCs w:val="24"/>
        </w:rPr>
        <w:tab/>
      </w:r>
      <w:r w:rsidRPr="0002002C">
        <w:rPr>
          <w:szCs w:val="24"/>
          <w:u w:val="single"/>
        </w:rPr>
        <w:tab/>
      </w:r>
      <w:r w:rsidRPr="0002002C">
        <w:rPr>
          <w:szCs w:val="24"/>
          <w:u w:val="single"/>
        </w:rPr>
        <w:tab/>
      </w:r>
      <w:r w:rsidRPr="0002002C">
        <w:rPr>
          <w:szCs w:val="24"/>
          <w:u w:val="single"/>
        </w:rPr>
        <w:tab/>
      </w:r>
      <w:r w:rsidRPr="0002002C">
        <w:rPr>
          <w:szCs w:val="24"/>
          <w:u w:val="single"/>
        </w:rPr>
        <w:tab/>
      </w:r>
      <w:r w:rsidRPr="0002002C">
        <w:rPr>
          <w:szCs w:val="24"/>
          <w:u w:val="single"/>
        </w:rPr>
        <w:tab/>
      </w:r>
      <w:r w:rsidRPr="0002002C">
        <w:rPr>
          <w:szCs w:val="24"/>
          <w:u w:val="single"/>
        </w:rPr>
        <w:tab/>
      </w:r>
    </w:p>
    <w:p w:rsidR="00DE6F8A" w:rsidRPr="0002002C" w:rsidRDefault="00DE6F8A" w:rsidP="00DE6F8A">
      <w:pPr>
        <w:pStyle w:val="BodyText"/>
        <w:spacing w:line="240" w:lineRule="auto"/>
        <w:jc w:val="left"/>
        <w:rPr>
          <w:szCs w:val="24"/>
        </w:rPr>
      </w:pP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Pr>
          <w:szCs w:val="24"/>
        </w:rPr>
        <w:t>Mary D. Long</w:t>
      </w:r>
    </w:p>
    <w:p w:rsidR="00DE6F8A" w:rsidRDefault="00DE6F8A" w:rsidP="00DE6F8A">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t>Administrative Law Judge</w:t>
      </w:r>
    </w:p>
    <w:p w:rsidR="00DE6F8A" w:rsidRDefault="00DE6F8A" w:rsidP="00DE6F8A"/>
    <w:p w:rsidR="00D67A84" w:rsidRDefault="00D67A84"/>
    <w:sectPr w:rsidR="00D67A84" w:rsidSect="00585F9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40E" w:rsidRDefault="007F640E" w:rsidP="00DE6F8A">
      <w:r>
        <w:separator/>
      </w:r>
    </w:p>
  </w:endnote>
  <w:endnote w:type="continuationSeparator" w:id="0">
    <w:p w:rsidR="007F640E" w:rsidRDefault="007F640E" w:rsidP="00DE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20508"/>
      <w:docPartObj>
        <w:docPartGallery w:val="Page Numbers (Bottom of Page)"/>
        <w:docPartUnique/>
      </w:docPartObj>
    </w:sdtPr>
    <w:sdtContent>
      <w:p w:rsidR="00DE6F8A" w:rsidRDefault="00DE6F8A">
        <w:pPr>
          <w:pStyle w:val="Footer"/>
          <w:jc w:val="center"/>
        </w:pPr>
        <w:fldSimple w:instr=" PAGE   \* MERGEFORMAT ">
          <w:r>
            <w:rPr>
              <w:noProof/>
            </w:rPr>
            <w:t>4</w:t>
          </w:r>
        </w:fldSimple>
      </w:p>
    </w:sdtContent>
  </w:sdt>
  <w:p w:rsidR="006D35DA" w:rsidRDefault="007F6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40E" w:rsidRDefault="007F640E" w:rsidP="00DE6F8A">
      <w:r>
        <w:separator/>
      </w:r>
    </w:p>
  </w:footnote>
  <w:footnote w:type="continuationSeparator" w:id="0">
    <w:p w:rsidR="007F640E" w:rsidRDefault="007F640E" w:rsidP="00DE6F8A">
      <w:r>
        <w:continuationSeparator/>
      </w:r>
    </w:p>
  </w:footnote>
  <w:footnote w:id="1">
    <w:p w:rsidR="00DE6F8A" w:rsidRPr="002F3CC9" w:rsidRDefault="00DE6F8A" w:rsidP="00DE6F8A">
      <w:pPr>
        <w:pStyle w:val="FootnoteText"/>
        <w:ind w:firstLine="720"/>
        <w:rPr>
          <w:sz w:val="20"/>
        </w:rPr>
      </w:pPr>
      <w:r w:rsidRPr="002F3CC9">
        <w:rPr>
          <w:rStyle w:val="FootnoteReference"/>
          <w:sz w:val="20"/>
        </w:rPr>
        <w:footnoteRef/>
      </w:r>
      <w:r w:rsidRPr="002F3CC9">
        <w:rPr>
          <w:sz w:val="20"/>
        </w:rPr>
        <w:t xml:space="preserve"> </w:t>
      </w:r>
      <w:r w:rsidRPr="002F3CC9">
        <w:rPr>
          <w:sz w:val="20"/>
        </w:rPr>
        <w:tab/>
      </w:r>
      <w:proofErr w:type="gramStart"/>
      <w:r w:rsidRPr="002F3CC9">
        <w:rPr>
          <w:i/>
          <w:sz w:val="20"/>
        </w:rPr>
        <w:t>Schneider v. Pa. P.U.C.,</w:t>
      </w:r>
      <w:r w:rsidRPr="002F3CC9">
        <w:rPr>
          <w:sz w:val="20"/>
        </w:rPr>
        <w:t xml:space="preserve"> 479 A.2d 10 (Pa. </w:t>
      </w:r>
      <w:proofErr w:type="spellStart"/>
      <w:r w:rsidRPr="002F3CC9">
        <w:rPr>
          <w:sz w:val="20"/>
        </w:rPr>
        <w:t>Cmwlth</w:t>
      </w:r>
      <w:proofErr w:type="spellEnd"/>
      <w:r w:rsidRPr="002F3CC9">
        <w:rPr>
          <w:sz w:val="20"/>
        </w:rPr>
        <w:t>. 1984).</w:t>
      </w:r>
      <w:proofErr w:type="gramEnd"/>
    </w:p>
    <w:p w:rsidR="00DE6F8A" w:rsidRPr="002F3CC9" w:rsidRDefault="00DE6F8A" w:rsidP="00DE6F8A">
      <w:pPr>
        <w:pStyle w:val="FootnoteText"/>
        <w:ind w:firstLine="720"/>
        <w:rPr>
          <w:sz w:val="20"/>
        </w:rPr>
      </w:pPr>
    </w:p>
  </w:footnote>
  <w:footnote w:id="2">
    <w:p w:rsidR="00DE6F8A" w:rsidRDefault="00DE6F8A" w:rsidP="00DE6F8A">
      <w:pPr>
        <w:pStyle w:val="FootnoteText"/>
        <w:ind w:firstLine="720"/>
        <w:rPr>
          <w:sz w:val="20"/>
        </w:rPr>
      </w:pPr>
      <w:r w:rsidRPr="002F3CC9">
        <w:rPr>
          <w:rStyle w:val="FootnoteReference"/>
          <w:sz w:val="20"/>
        </w:rPr>
        <w:footnoteRef/>
      </w:r>
      <w:r w:rsidRPr="002F3CC9">
        <w:rPr>
          <w:sz w:val="20"/>
        </w:rPr>
        <w:t xml:space="preserve"> </w:t>
      </w:r>
      <w:r w:rsidRPr="002F3CC9">
        <w:rPr>
          <w:sz w:val="20"/>
        </w:rPr>
        <w:tab/>
      </w:r>
      <w:r w:rsidRPr="002F3CC9">
        <w:rPr>
          <w:i/>
          <w:sz w:val="20"/>
        </w:rPr>
        <w:t>Id</w:t>
      </w:r>
      <w:r w:rsidRPr="002F3CC9">
        <w:rPr>
          <w:sz w:val="20"/>
        </w:rPr>
        <w:t>.</w:t>
      </w:r>
    </w:p>
    <w:p w:rsidR="00DE6F8A" w:rsidRPr="002F3CC9" w:rsidRDefault="00DE6F8A" w:rsidP="00DE6F8A">
      <w:pPr>
        <w:pStyle w:val="FootnoteText"/>
        <w:ind w:firstLine="720"/>
        <w:rPr>
          <w:sz w:val="20"/>
        </w:rPr>
      </w:pPr>
    </w:p>
  </w:footnote>
  <w:footnote w:id="3">
    <w:p w:rsidR="00DE6F8A" w:rsidRPr="002F3CC9" w:rsidRDefault="00DE6F8A" w:rsidP="00DE6F8A">
      <w:pPr>
        <w:pStyle w:val="FootnoteText"/>
        <w:ind w:firstLine="720"/>
        <w:rPr>
          <w:sz w:val="20"/>
        </w:rPr>
      </w:pPr>
      <w:r w:rsidRPr="002F3CC9">
        <w:rPr>
          <w:rStyle w:val="FootnoteReference"/>
          <w:sz w:val="20"/>
        </w:rPr>
        <w:footnoteRef/>
      </w:r>
      <w:r w:rsidRPr="002F3CC9">
        <w:rPr>
          <w:sz w:val="20"/>
        </w:rPr>
        <w:t xml:space="preserve">  </w:t>
      </w:r>
      <w:r w:rsidRPr="002F3CC9">
        <w:rPr>
          <w:sz w:val="20"/>
        </w:rPr>
        <w:tab/>
      </w:r>
      <w:r w:rsidRPr="002F3CC9">
        <w:rPr>
          <w:i/>
          <w:sz w:val="20"/>
        </w:rPr>
        <w:t>Olmstead v. Equitable Gas Company, LLC</w:t>
      </w:r>
      <w:r w:rsidRPr="002F3CC9">
        <w:rPr>
          <w:sz w:val="20"/>
        </w:rPr>
        <w:t xml:space="preserve">, Docket No. C-2009-2125349 (Order entered March 3, 2010); </w:t>
      </w:r>
      <w:proofErr w:type="spellStart"/>
      <w:r w:rsidRPr="002F3CC9">
        <w:rPr>
          <w:i/>
          <w:sz w:val="20"/>
        </w:rPr>
        <w:t>Sentner</w:t>
      </w:r>
      <w:proofErr w:type="spellEnd"/>
      <w:r w:rsidRPr="002F3CC9">
        <w:rPr>
          <w:i/>
          <w:sz w:val="20"/>
        </w:rPr>
        <w:t xml:space="preserve"> v. Bell Telephone Company of Pennsylvania</w:t>
      </w:r>
      <w:r w:rsidRPr="002F3CC9">
        <w:rPr>
          <w:sz w:val="20"/>
        </w:rPr>
        <w:t>, Docket No. </w:t>
      </w:r>
      <w:proofErr w:type="gramStart"/>
      <w:r w:rsidRPr="002F3CC9">
        <w:rPr>
          <w:sz w:val="20"/>
        </w:rPr>
        <w:t>F</w:t>
      </w:r>
      <w:r w:rsidRPr="002F3CC9">
        <w:rPr>
          <w:sz w:val="20"/>
        </w:rPr>
        <w:noBreakHyphen/>
        <w:t>00161106 (Order entered October 25, 1993); 52 Pa. Code §5.245(a).</w:t>
      </w:r>
      <w:proofErr w:type="gramEnd"/>
    </w:p>
    <w:p w:rsidR="00DE6F8A" w:rsidRPr="002F3CC9" w:rsidRDefault="00DE6F8A" w:rsidP="00DE6F8A">
      <w:pPr>
        <w:pStyle w:val="FootnoteText"/>
        <w:ind w:firstLine="720"/>
        <w:rPr>
          <w:sz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D48B1"/>
    <w:multiLevelType w:val="hybridMultilevel"/>
    <w:tmpl w:val="DD7EAA42"/>
    <w:lvl w:ilvl="0" w:tplc="8FE49E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DE6F8A"/>
    <w:rsid w:val="00000808"/>
    <w:rsid w:val="000132A5"/>
    <w:rsid w:val="000147F9"/>
    <w:rsid w:val="00014A9D"/>
    <w:rsid w:val="000265F1"/>
    <w:rsid w:val="000270B4"/>
    <w:rsid w:val="00030766"/>
    <w:rsid w:val="0003088E"/>
    <w:rsid w:val="000316AE"/>
    <w:rsid w:val="000467A5"/>
    <w:rsid w:val="0005034D"/>
    <w:rsid w:val="00051474"/>
    <w:rsid w:val="0005713D"/>
    <w:rsid w:val="00066AA4"/>
    <w:rsid w:val="00066FAC"/>
    <w:rsid w:val="000820A2"/>
    <w:rsid w:val="00082BB1"/>
    <w:rsid w:val="00090344"/>
    <w:rsid w:val="00091C9A"/>
    <w:rsid w:val="000A1EE3"/>
    <w:rsid w:val="000A3C83"/>
    <w:rsid w:val="000A6FAA"/>
    <w:rsid w:val="000B49F2"/>
    <w:rsid w:val="000B50A4"/>
    <w:rsid w:val="000C7EE2"/>
    <w:rsid w:val="000D6C0C"/>
    <w:rsid w:val="000E1AA4"/>
    <w:rsid w:val="000E3CF9"/>
    <w:rsid w:val="000F053C"/>
    <w:rsid w:val="000F1642"/>
    <w:rsid w:val="000F1BE7"/>
    <w:rsid w:val="000F3D3F"/>
    <w:rsid w:val="000F4599"/>
    <w:rsid w:val="00100C15"/>
    <w:rsid w:val="001045BF"/>
    <w:rsid w:val="0011036D"/>
    <w:rsid w:val="00112F19"/>
    <w:rsid w:val="00113C6D"/>
    <w:rsid w:val="001159A7"/>
    <w:rsid w:val="00121BA0"/>
    <w:rsid w:val="001241E0"/>
    <w:rsid w:val="0014100E"/>
    <w:rsid w:val="00144A33"/>
    <w:rsid w:val="00147A42"/>
    <w:rsid w:val="00151E74"/>
    <w:rsid w:val="00170C6D"/>
    <w:rsid w:val="00171E1F"/>
    <w:rsid w:val="00173738"/>
    <w:rsid w:val="0017637D"/>
    <w:rsid w:val="0018770E"/>
    <w:rsid w:val="00193D46"/>
    <w:rsid w:val="001A1E87"/>
    <w:rsid w:val="001A58EA"/>
    <w:rsid w:val="001B12FB"/>
    <w:rsid w:val="001B1C3E"/>
    <w:rsid w:val="001C0776"/>
    <w:rsid w:val="001D17D6"/>
    <w:rsid w:val="001D3069"/>
    <w:rsid w:val="001D376B"/>
    <w:rsid w:val="001D4C46"/>
    <w:rsid w:val="001D534A"/>
    <w:rsid w:val="001E40A0"/>
    <w:rsid w:val="001F0EF6"/>
    <w:rsid w:val="001F7BE4"/>
    <w:rsid w:val="00204B40"/>
    <w:rsid w:val="00205D51"/>
    <w:rsid w:val="0021012C"/>
    <w:rsid w:val="002117F2"/>
    <w:rsid w:val="00216CD6"/>
    <w:rsid w:val="002178CF"/>
    <w:rsid w:val="002207E0"/>
    <w:rsid w:val="0023436C"/>
    <w:rsid w:val="00237693"/>
    <w:rsid w:val="00240332"/>
    <w:rsid w:val="00241566"/>
    <w:rsid w:val="002429E8"/>
    <w:rsid w:val="00244412"/>
    <w:rsid w:val="0025348B"/>
    <w:rsid w:val="00256B74"/>
    <w:rsid w:val="002570D7"/>
    <w:rsid w:val="002617F6"/>
    <w:rsid w:val="00261E66"/>
    <w:rsid w:val="0027057C"/>
    <w:rsid w:val="00274827"/>
    <w:rsid w:val="0027629A"/>
    <w:rsid w:val="00282FE1"/>
    <w:rsid w:val="0029055B"/>
    <w:rsid w:val="00292665"/>
    <w:rsid w:val="002927C7"/>
    <w:rsid w:val="00294969"/>
    <w:rsid w:val="00295F21"/>
    <w:rsid w:val="002A0464"/>
    <w:rsid w:val="002A1D12"/>
    <w:rsid w:val="002A38E5"/>
    <w:rsid w:val="002A4525"/>
    <w:rsid w:val="002A4C8A"/>
    <w:rsid w:val="002A7644"/>
    <w:rsid w:val="002B0031"/>
    <w:rsid w:val="002B0284"/>
    <w:rsid w:val="002B28DE"/>
    <w:rsid w:val="002B2EE1"/>
    <w:rsid w:val="002B41AD"/>
    <w:rsid w:val="002B42C9"/>
    <w:rsid w:val="002B47B9"/>
    <w:rsid w:val="002B7C72"/>
    <w:rsid w:val="002C0285"/>
    <w:rsid w:val="002C39AD"/>
    <w:rsid w:val="002C426C"/>
    <w:rsid w:val="002D0FCF"/>
    <w:rsid w:val="002D3673"/>
    <w:rsid w:val="002F4712"/>
    <w:rsid w:val="002F7571"/>
    <w:rsid w:val="003008BE"/>
    <w:rsid w:val="0030706C"/>
    <w:rsid w:val="00315E44"/>
    <w:rsid w:val="00344041"/>
    <w:rsid w:val="003477CB"/>
    <w:rsid w:val="00354192"/>
    <w:rsid w:val="0036092A"/>
    <w:rsid w:val="00372946"/>
    <w:rsid w:val="00383454"/>
    <w:rsid w:val="0038698E"/>
    <w:rsid w:val="003D03E5"/>
    <w:rsid w:val="003D1C6A"/>
    <w:rsid w:val="003D5310"/>
    <w:rsid w:val="003D7C2A"/>
    <w:rsid w:val="003E52A6"/>
    <w:rsid w:val="00405FDB"/>
    <w:rsid w:val="00412121"/>
    <w:rsid w:val="0041751D"/>
    <w:rsid w:val="00422E99"/>
    <w:rsid w:val="004301C6"/>
    <w:rsid w:val="00430D24"/>
    <w:rsid w:val="004320CE"/>
    <w:rsid w:val="00437F2A"/>
    <w:rsid w:val="00440A11"/>
    <w:rsid w:val="004418EB"/>
    <w:rsid w:val="00453B5D"/>
    <w:rsid w:val="00456125"/>
    <w:rsid w:val="00462D2B"/>
    <w:rsid w:val="0046344F"/>
    <w:rsid w:val="004832BB"/>
    <w:rsid w:val="00487F9A"/>
    <w:rsid w:val="00492F4F"/>
    <w:rsid w:val="0049755E"/>
    <w:rsid w:val="004A07F6"/>
    <w:rsid w:val="004C48F0"/>
    <w:rsid w:val="004C5DA6"/>
    <w:rsid w:val="004D2B4C"/>
    <w:rsid w:val="004D4800"/>
    <w:rsid w:val="004D7405"/>
    <w:rsid w:val="004D7BCF"/>
    <w:rsid w:val="004E4992"/>
    <w:rsid w:val="004E700B"/>
    <w:rsid w:val="004F505A"/>
    <w:rsid w:val="00502E89"/>
    <w:rsid w:val="00506077"/>
    <w:rsid w:val="005132C0"/>
    <w:rsid w:val="00514FE4"/>
    <w:rsid w:val="00520308"/>
    <w:rsid w:val="005238FD"/>
    <w:rsid w:val="005248C7"/>
    <w:rsid w:val="00527E9F"/>
    <w:rsid w:val="005309B0"/>
    <w:rsid w:val="00531FAC"/>
    <w:rsid w:val="00547B8C"/>
    <w:rsid w:val="005509D0"/>
    <w:rsid w:val="00555B06"/>
    <w:rsid w:val="00574C1E"/>
    <w:rsid w:val="005822A5"/>
    <w:rsid w:val="00582811"/>
    <w:rsid w:val="005868EF"/>
    <w:rsid w:val="005908AA"/>
    <w:rsid w:val="005916F0"/>
    <w:rsid w:val="0059255C"/>
    <w:rsid w:val="00594FA5"/>
    <w:rsid w:val="005A275C"/>
    <w:rsid w:val="005B5841"/>
    <w:rsid w:val="005B748F"/>
    <w:rsid w:val="005B787A"/>
    <w:rsid w:val="005C6980"/>
    <w:rsid w:val="005D1174"/>
    <w:rsid w:val="005D1B63"/>
    <w:rsid w:val="005D7D80"/>
    <w:rsid w:val="005E04E1"/>
    <w:rsid w:val="005E087B"/>
    <w:rsid w:val="005E2895"/>
    <w:rsid w:val="005E2A2D"/>
    <w:rsid w:val="005E3E13"/>
    <w:rsid w:val="005E47D6"/>
    <w:rsid w:val="005E7E43"/>
    <w:rsid w:val="005F3153"/>
    <w:rsid w:val="005F319B"/>
    <w:rsid w:val="006058C6"/>
    <w:rsid w:val="00613B65"/>
    <w:rsid w:val="006159EE"/>
    <w:rsid w:val="00615B5E"/>
    <w:rsid w:val="00616129"/>
    <w:rsid w:val="0062554C"/>
    <w:rsid w:val="00626FAF"/>
    <w:rsid w:val="0063235F"/>
    <w:rsid w:val="006339E3"/>
    <w:rsid w:val="00650531"/>
    <w:rsid w:val="00651525"/>
    <w:rsid w:val="006523E6"/>
    <w:rsid w:val="00653036"/>
    <w:rsid w:val="0065387F"/>
    <w:rsid w:val="006565C7"/>
    <w:rsid w:val="00661D74"/>
    <w:rsid w:val="006664A7"/>
    <w:rsid w:val="0067062B"/>
    <w:rsid w:val="0067306F"/>
    <w:rsid w:val="00674F1F"/>
    <w:rsid w:val="00675F17"/>
    <w:rsid w:val="00677727"/>
    <w:rsid w:val="00681D30"/>
    <w:rsid w:val="00686791"/>
    <w:rsid w:val="00690F25"/>
    <w:rsid w:val="0069138A"/>
    <w:rsid w:val="006A2582"/>
    <w:rsid w:val="006B043E"/>
    <w:rsid w:val="006C0BC0"/>
    <w:rsid w:val="006C1A80"/>
    <w:rsid w:val="006C3888"/>
    <w:rsid w:val="006E1C23"/>
    <w:rsid w:val="006E4E26"/>
    <w:rsid w:val="006E69FB"/>
    <w:rsid w:val="006F064D"/>
    <w:rsid w:val="00703641"/>
    <w:rsid w:val="00732522"/>
    <w:rsid w:val="00733A51"/>
    <w:rsid w:val="00737288"/>
    <w:rsid w:val="00741113"/>
    <w:rsid w:val="00741FBD"/>
    <w:rsid w:val="00742164"/>
    <w:rsid w:val="007464DF"/>
    <w:rsid w:val="00753F93"/>
    <w:rsid w:val="00756BC9"/>
    <w:rsid w:val="00766BC1"/>
    <w:rsid w:val="00767CC6"/>
    <w:rsid w:val="00770644"/>
    <w:rsid w:val="00772826"/>
    <w:rsid w:val="007739F7"/>
    <w:rsid w:val="0078562F"/>
    <w:rsid w:val="00791CFA"/>
    <w:rsid w:val="00795C40"/>
    <w:rsid w:val="007A0711"/>
    <w:rsid w:val="007A2CA7"/>
    <w:rsid w:val="007A2E2A"/>
    <w:rsid w:val="007A789D"/>
    <w:rsid w:val="007B2742"/>
    <w:rsid w:val="007B3F84"/>
    <w:rsid w:val="007B5234"/>
    <w:rsid w:val="007B6256"/>
    <w:rsid w:val="007C0225"/>
    <w:rsid w:val="007C1CB9"/>
    <w:rsid w:val="007C2CAD"/>
    <w:rsid w:val="007D5DF1"/>
    <w:rsid w:val="007D6018"/>
    <w:rsid w:val="007F0338"/>
    <w:rsid w:val="007F640E"/>
    <w:rsid w:val="00800CA1"/>
    <w:rsid w:val="0080326F"/>
    <w:rsid w:val="00804738"/>
    <w:rsid w:val="00804F43"/>
    <w:rsid w:val="00805A2F"/>
    <w:rsid w:val="008111DD"/>
    <w:rsid w:val="00811951"/>
    <w:rsid w:val="00814439"/>
    <w:rsid w:val="008223FE"/>
    <w:rsid w:val="00822F26"/>
    <w:rsid w:val="00833DC1"/>
    <w:rsid w:val="00841F47"/>
    <w:rsid w:val="008508F1"/>
    <w:rsid w:val="0085351F"/>
    <w:rsid w:val="00854B77"/>
    <w:rsid w:val="00870723"/>
    <w:rsid w:val="00870F49"/>
    <w:rsid w:val="008717A0"/>
    <w:rsid w:val="00872732"/>
    <w:rsid w:val="00880F27"/>
    <w:rsid w:val="008872B1"/>
    <w:rsid w:val="008A0C2D"/>
    <w:rsid w:val="008A3FFC"/>
    <w:rsid w:val="008A4887"/>
    <w:rsid w:val="008B2BD5"/>
    <w:rsid w:val="008B4A86"/>
    <w:rsid w:val="008B719E"/>
    <w:rsid w:val="008C06A0"/>
    <w:rsid w:val="008C24EF"/>
    <w:rsid w:val="008C3957"/>
    <w:rsid w:val="008C539A"/>
    <w:rsid w:val="008C6767"/>
    <w:rsid w:val="008D3BCD"/>
    <w:rsid w:val="008E2687"/>
    <w:rsid w:val="008E4734"/>
    <w:rsid w:val="008F3F75"/>
    <w:rsid w:val="009076F6"/>
    <w:rsid w:val="0092368F"/>
    <w:rsid w:val="00953991"/>
    <w:rsid w:val="00953D48"/>
    <w:rsid w:val="0096188D"/>
    <w:rsid w:val="00965D20"/>
    <w:rsid w:val="009670C1"/>
    <w:rsid w:val="009674FF"/>
    <w:rsid w:val="00974631"/>
    <w:rsid w:val="009808B5"/>
    <w:rsid w:val="0098476F"/>
    <w:rsid w:val="0098536A"/>
    <w:rsid w:val="0099066B"/>
    <w:rsid w:val="009909E0"/>
    <w:rsid w:val="00992539"/>
    <w:rsid w:val="009A4CE5"/>
    <w:rsid w:val="009C3F03"/>
    <w:rsid w:val="009D0238"/>
    <w:rsid w:val="009D3B05"/>
    <w:rsid w:val="009D4B19"/>
    <w:rsid w:val="009E1F8C"/>
    <w:rsid w:val="009E6D45"/>
    <w:rsid w:val="009E74C5"/>
    <w:rsid w:val="009F4F5F"/>
    <w:rsid w:val="00A01648"/>
    <w:rsid w:val="00A02A57"/>
    <w:rsid w:val="00A03109"/>
    <w:rsid w:val="00A03FF9"/>
    <w:rsid w:val="00A150EC"/>
    <w:rsid w:val="00A156F8"/>
    <w:rsid w:val="00A22FE0"/>
    <w:rsid w:val="00A24332"/>
    <w:rsid w:val="00A33E32"/>
    <w:rsid w:val="00A44D16"/>
    <w:rsid w:val="00A5180D"/>
    <w:rsid w:val="00A51EDB"/>
    <w:rsid w:val="00A561D7"/>
    <w:rsid w:val="00A56D22"/>
    <w:rsid w:val="00A60DE9"/>
    <w:rsid w:val="00A62BD6"/>
    <w:rsid w:val="00A63DC9"/>
    <w:rsid w:val="00A6459D"/>
    <w:rsid w:val="00A80395"/>
    <w:rsid w:val="00AB55AB"/>
    <w:rsid w:val="00AC2900"/>
    <w:rsid w:val="00AC6C36"/>
    <w:rsid w:val="00AD7F48"/>
    <w:rsid w:val="00AE2C66"/>
    <w:rsid w:val="00AE5F9B"/>
    <w:rsid w:val="00AF3BBC"/>
    <w:rsid w:val="00AF41AE"/>
    <w:rsid w:val="00AF76DA"/>
    <w:rsid w:val="00B12497"/>
    <w:rsid w:val="00B142AB"/>
    <w:rsid w:val="00B25145"/>
    <w:rsid w:val="00B25F8B"/>
    <w:rsid w:val="00B32A45"/>
    <w:rsid w:val="00B35085"/>
    <w:rsid w:val="00B35672"/>
    <w:rsid w:val="00B40D26"/>
    <w:rsid w:val="00B43476"/>
    <w:rsid w:val="00B70F11"/>
    <w:rsid w:val="00B76ECA"/>
    <w:rsid w:val="00B91888"/>
    <w:rsid w:val="00B95665"/>
    <w:rsid w:val="00BA60A2"/>
    <w:rsid w:val="00BA6233"/>
    <w:rsid w:val="00BB014A"/>
    <w:rsid w:val="00BB0433"/>
    <w:rsid w:val="00BB178F"/>
    <w:rsid w:val="00BB7332"/>
    <w:rsid w:val="00BC1CD3"/>
    <w:rsid w:val="00BC2673"/>
    <w:rsid w:val="00BC37DB"/>
    <w:rsid w:val="00BC5B70"/>
    <w:rsid w:val="00BD1344"/>
    <w:rsid w:val="00BE216D"/>
    <w:rsid w:val="00BE5109"/>
    <w:rsid w:val="00BE5178"/>
    <w:rsid w:val="00BE698C"/>
    <w:rsid w:val="00BF25A8"/>
    <w:rsid w:val="00C066D8"/>
    <w:rsid w:val="00C07769"/>
    <w:rsid w:val="00C21EE4"/>
    <w:rsid w:val="00C22168"/>
    <w:rsid w:val="00C27B10"/>
    <w:rsid w:val="00C43F78"/>
    <w:rsid w:val="00C4645A"/>
    <w:rsid w:val="00C51893"/>
    <w:rsid w:val="00C627AB"/>
    <w:rsid w:val="00C703DF"/>
    <w:rsid w:val="00C729FD"/>
    <w:rsid w:val="00C8250D"/>
    <w:rsid w:val="00C82E58"/>
    <w:rsid w:val="00C929F3"/>
    <w:rsid w:val="00C92D9C"/>
    <w:rsid w:val="00C96EC5"/>
    <w:rsid w:val="00CA0AB5"/>
    <w:rsid w:val="00CA3DD7"/>
    <w:rsid w:val="00CA3DEE"/>
    <w:rsid w:val="00CA76FC"/>
    <w:rsid w:val="00CB0E07"/>
    <w:rsid w:val="00CB3EDC"/>
    <w:rsid w:val="00CD56A4"/>
    <w:rsid w:val="00CE0196"/>
    <w:rsid w:val="00CE6C0E"/>
    <w:rsid w:val="00CF3F49"/>
    <w:rsid w:val="00CF497C"/>
    <w:rsid w:val="00D01874"/>
    <w:rsid w:val="00D018DB"/>
    <w:rsid w:val="00D063C9"/>
    <w:rsid w:val="00D11733"/>
    <w:rsid w:val="00D136F5"/>
    <w:rsid w:val="00D16151"/>
    <w:rsid w:val="00D16952"/>
    <w:rsid w:val="00D169E3"/>
    <w:rsid w:val="00D16FEB"/>
    <w:rsid w:val="00D209C4"/>
    <w:rsid w:val="00D2234E"/>
    <w:rsid w:val="00D257F0"/>
    <w:rsid w:val="00D3092C"/>
    <w:rsid w:val="00D35EE4"/>
    <w:rsid w:val="00D36BD8"/>
    <w:rsid w:val="00D41742"/>
    <w:rsid w:val="00D41BD0"/>
    <w:rsid w:val="00D54F3B"/>
    <w:rsid w:val="00D67A84"/>
    <w:rsid w:val="00D7257D"/>
    <w:rsid w:val="00D7427A"/>
    <w:rsid w:val="00D95647"/>
    <w:rsid w:val="00D958FA"/>
    <w:rsid w:val="00DA6146"/>
    <w:rsid w:val="00DB0BE9"/>
    <w:rsid w:val="00DB0D8B"/>
    <w:rsid w:val="00DC3977"/>
    <w:rsid w:val="00DC6384"/>
    <w:rsid w:val="00DD0F25"/>
    <w:rsid w:val="00DD54FD"/>
    <w:rsid w:val="00DD662B"/>
    <w:rsid w:val="00DE3A45"/>
    <w:rsid w:val="00DE6F8A"/>
    <w:rsid w:val="00DE790C"/>
    <w:rsid w:val="00DF0401"/>
    <w:rsid w:val="00DF2B02"/>
    <w:rsid w:val="00DF3630"/>
    <w:rsid w:val="00E0069A"/>
    <w:rsid w:val="00E033C8"/>
    <w:rsid w:val="00E10AA4"/>
    <w:rsid w:val="00E14B8B"/>
    <w:rsid w:val="00E1586A"/>
    <w:rsid w:val="00E23743"/>
    <w:rsid w:val="00E256D2"/>
    <w:rsid w:val="00E270FD"/>
    <w:rsid w:val="00E32818"/>
    <w:rsid w:val="00E50109"/>
    <w:rsid w:val="00E5031C"/>
    <w:rsid w:val="00E52D01"/>
    <w:rsid w:val="00E5371A"/>
    <w:rsid w:val="00E5591D"/>
    <w:rsid w:val="00E56096"/>
    <w:rsid w:val="00E6249E"/>
    <w:rsid w:val="00E636F2"/>
    <w:rsid w:val="00E75AA3"/>
    <w:rsid w:val="00E854A1"/>
    <w:rsid w:val="00E86185"/>
    <w:rsid w:val="00EA198F"/>
    <w:rsid w:val="00EA2382"/>
    <w:rsid w:val="00EA56E3"/>
    <w:rsid w:val="00EB108B"/>
    <w:rsid w:val="00EB2594"/>
    <w:rsid w:val="00EB4325"/>
    <w:rsid w:val="00EB5E82"/>
    <w:rsid w:val="00EC0868"/>
    <w:rsid w:val="00EC155D"/>
    <w:rsid w:val="00EC2E7E"/>
    <w:rsid w:val="00EC4FC1"/>
    <w:rsid w:val="00EC5B8C"/>
    <w:rsid w:val="00EC5F6C"/>
    <w:rsid w:val="00ED01F9"/>
    <w:rsid w:val="00ED1563"/>
    <w:rsid w:val="00ED1C11"/>
    <w:rsid w:val="00ED63F6"/>
    <w:rsid w:val="00EE1ABF"/>
    <w:rsid w:val="00EE64EE"/>
    <w:rsid w:val="00EF04C5"/>
    <w:rsid w:val="00EF3617"/>
    <w:rsid w:val="00EF4368"/>
    <w:rsid w:val="00EF68CE"/>
    <w:rsid w:val="00F043C9"/>
    <w:rsid w:val="00F04801"/>
    <w:rsid w:val="00F15869"/>
    <w:rsid w:val="00F36824"/>
    <w:rsid w:val="00F4036D"/>
    <w:rsid w:val="00F446BF"/>
    <w:rsid w:val="00F44B54"/>
    <w:rsid w:val="00F4711E"/>
    <w:rsid w:val="00F52F37"/>
    <w:rsid w:val="00F53A4C"/>
    <w:rsid w:val="00F54743"/>
    <w:rsid w:val="00F62BD8"/>
    <w:rsid w:val="00F668A3"/>
    <w:rsid w:val="00F70386"/>
    <w:rsid w:val="00F815CE"/>
    <w:rsid w:val="00F91562"/>
    <w:rsid w:val="00F960BC"/>
    <w:rsid w:val="00FA6C48"/>
    <w:rsid w:val="00FB71B6"/>
    <w:rsid w:val="00FD58B4"/>
    <w:rsid w:val="00FE0425"/>
    <w:rsid w:val="00FE22DF"/>
    <w:rsid w:val="00FF1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F8A"/>
    <w:rPr>
      <w:sz w:val="24"/>
    </w:rPr>
  </w:style>
  <w:style w:type="paragraph" w:styleId="Heading1">
    <w:name w:val="heading 1"/>
    <w:basedOn w:val="Normal"/>
    <w:next w:val="Normal"/>
    <w:link w:val="Heading1Char"/>
    <w:qFormat/>
    <w:rsid w:val="00DE6F8A"/>
    <w:pPr>
      <w:keepNext/>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8A"/>
    <w:rPr>
      <w:sz w:val="24"/>
    </w:rPr>
  </w:style>
  <w:style w:type="paragraph" w:styleId="BodyText">
    <w:name w:val="Body Text"/>
    <w:basedOn w:val="Normal"/>
    <w:link w:val="BodyTextChar"/>
    <w:rsid w:val="00DE6F8A"/>
    <w:pPr>
      <w:tabs>
        <w:tab w:val="left" w:pos="-1440"/>
        <w:tab w:val="left" w:pos="-720"/>
        <w:tab w:val="left" w:pos="0"/>
        <w:tab w:val="left" w:pos="720"/>
        <w:tab w:val="left" w:pos="1440"/>
      </w:tabs>
      <w:spacing w:line="480" w:lineRule="auto"/>
      <w:jc w:val="both"/>
    </w:pPr>
  </w:style>
  <w:style w:type="character" w:customStyle="1" w:styleId="BodyTextChar">
    <w:name w:val="Body Text Char"/>
    <w:basedOn w:val="DefaultParagraphFont"/>
    <w:link w:val="BodyText"/>
    <w:rsid w:val="00DE6F8A"/>
    <w:rPr>
      <w:sz w:val="24"/>
    </w:rPr>
  </w:style>
  <w:style w:type="paragraph" w:styleId="Title">
    <w:name w:val="Title"/>
    <w:basedOn w:val="Normal"/>
    <w:link w:val="TitleChar"/>
    <w:qFormat/>
    <w:rsid w:val="00DE6F8A"/>
    <w:pPr>
      <w:widowControl w:val="0"/>
      <w:autoSpaceDE w:val="0"/>
      <w:autoSpaceDN w:val="0"/>
      <w:jc w:val="center"/>
    </w:pPr>
    <w:rPr>
      <w:b/>
      <w:bCs/>
      <w:sz w:val="26"/>
      <w:szCs w:val="26"/>
    </w:rPr>
  </w:style>
  <w:style w:type="character" w:customStyle="1" w:styleId="TitleChar">
    <w:name w:val="Title Char"/>
    <w:basedOn w:val="DefaultParagraphFont"/>
    <w:link w:val="Title"/>
    <w:rsid w:val="00DE6F8A"/>
    <w:rPr>
      <w:b/>
      <w:bCs/>
      <w:sz w:val="26"/>
      <w:szCs w:val="26"/>
    </w:rPr>
  </w:style>
  <w:style w:type="paragraph" w:styleId="Subtitle">
    <w:name w:val="Subtitle"/>
    <w:basedOn w:val="Normal"/>
    <w:link w:val="SubtitleChar"/>
    <w:qFormat/>
    <w:rsid w:val="00DE6F8A"/>
    <w:pPr>
      <w:jc w:val="center"/>
    </w:pPr>
    <w:rPr>
      <w:rFonts w:eastAsia="Batang"/>
      <w:b/>
      <w:sz w:val="26"/>
    </w:rPr>
  </w:style>
  <w:style w:type="character" w:customStyle="1" w:styleId="SubtitleChar">
    <w:name w:val="Subtitle Char"/>
    <w:basedOn w:val="DefaultParagraphFont"/>
    <w:link w:val="Subtitle"/>
    <w:rsid w:val="00DE6F8A"/>
    <w:rPr>
      <w:rFonts w:eastAsia="Batang"/>
      <w:b/>
      <w:sz w:val="26"/>
    </w:rPr>
  </w:style>
  <w:style w:type="paragraph" w:styleId="FootnoteText">
    <w:name w:val="footnote text"/>
    <w:basedOn w:val="Normal"/>
    <w:link w:val="FootnoteTextChar"/>
    <w:autoRedefine/>
    <w:uiPriority w:val="99"/>
    <w:unhideWhenUsed/>
    <w:rsid w:val="00DE6F8A"/>
  </w:style>
  <w:style w:type="character" w:customStyle="1" w:styleId="FootnoteTextChar">
    <w:name w:val="Footnote Text Char"/>
    <w:basedOn w:val="DefaultParagraphFont"/>
    <w:link w:val="FootnoteText"/>
    <w:uiPriority w:val="99"/>
    <w:rsid w:val="00DE6F8A"/>
    <w:rPr>
      <w:sz w:val="24"/>
    </w:rPr>
  </w:style>
  <w:style w:type="character" w:styleId="FootnoteReference">
    <w:name w:val="footnote reference"/>
    <w:basedOn w:val="DefaultParagraphFont"/>
    <w:uiPriority w:val="99"/>
    <w:unhideWhenUsed/>
    <w:rsid w:val="00DE6F8A"/>
    <w:rPr>
      <w:rFonts w:ascii="Times New Roman" w:hAnsi="Times New Roman"/>
      <w:vertAlign w:val="superscript"/>
    </w:rPr>
  </w:style>
  <w:style w:type="paragraph" w:styleId="Header">
    <w:name w:val="header"/>
    <w:basedOn w:val="Normal"/>
    <w:link w:val="HeaderChar"/>
    <w:uiPriority w:val="99"/>
    <w:unhideWhenUsed/>
    <w:rsid w:val="00DE6F8A"/>
    <w:pPr>
      <w:tabs>
        <w:tab w:val="center" w:pos="4680"/>
        <w:tab w:val="right" w:pos="9360"/>
      </w:tabs>
    </w:pPr>
  </w:style>
  <w:style w:type="character" w:customStyle="1" w:styleId="HeaderChar">
    <w:name w:val="Header Char"/>
    <w:basedOn w:val="DefaultParagraphFont"/>
    <w:link w:val="Header"/>
    <w:uiPriority w:val="99"/>
    <w:rsid w:val="00DE6F8A"/>
    <w:rPr>
      <w:sz w:val="24"/>
    </w:rPr>
  </w:style>
  <w:style w:type="paragraph" w:styleId="Footer">
    <w:name w:val="footer"/>
    <w:basedOn w:val="Normal"/>
    <w:link w:val="FooterChar"/>
    <w:uiPriority w:val="99"/>
    <w:unhideWhenUsed/>
    <w:rsid w:val="00DE6F8A"/>
    <w:pPr>
      <w:tabs>
        <w:tab w:val="center" w:pos="4680"/>
        <w:tab w:val="right" w:pos="9360"/>
      </w:tabs>
    </w:pPr>
  </w:style>
  <w:style w:type="character" w:customStyle="1" w:styleId="FooterChar">
    <w:name w:val="Footer Char"/>
    <w:basedOn w:val="DefaultParagraphFont"/>
    <w:link w:val="Footer"/>
    <w:uiPriority w:val="99"/>
    <w:rsid w:val="00DE6F8A"/>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3644</Characters>
  <Application>Microsoft Office Word</Application>
  <DocSecurity>0</DocSecurity>
  <Lines>30</Lines>
  <Paragraphs>8</Paragraphs>
  <ScaleCrop>false</ScaleCrop>
  <Company>PA Public Utility Commission</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tibikunle</dc:creator>
  <cp:keywords/>
  <dc:description/>
  <cp:lastModifiedBy>tibikunle</cp:lastModifiedBy>
  <cp:revision>1</cp:revision>
  <dcterms:created xsi:type="dcterms:W3CDTF">2011-06-21T17:39:00Z</dcterms:created>
  <dcterms:modified xsi:type="dcterms:W3CDTF">2011-06-21T17:40:00Z</dcterms:modified>
</cp:coreProperties>
</file>