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E22703" w:rsidRDefault="00F84BD4">
      <w:r>
        <w:t>Pennsylvania Public Utility Commission</w:t>
      </w:r>
      <w:r>
        <w:tab/>
        <w:t>:</w:t>
      </w:r>
    </w:p>
    <w:p w:rsidR="00F84BD4" w:rsidRDefault="00F84BD4">
      <w:r>
        <w:tab/>
      </w:r>
      <w:r>
        <w:tab/>
      </w:r>
      <w:r>
        <w:tab/>
      </w:r>
      <w:r>
        <w:tab/>
      </w:r>
      <w:r>
        <w:tab/>
      </w:r>
      <w:r>
        <w:tab/>
        <w:t>:</w:t>
      </w:r>
    </w:p>
    <w:p w:rsidR="00F84BD4" w:rsidRDefault="00F84BD4">
      <w:r>
        <w:tab/>
      </w:r>
      <w:r>
        <w:tab/>
        <w:t>v.</w:t>
      </w:r>
      <w:r>
        <w:tab/>
      </w:r>
      <w:r>
        <w:tab/>
      </w:r>
      <w:r>
        <w:tab/>
      </w:r>
      <w:r>
        <w:tab/>
        <w:t>:</w:t>
      </w:r>
      <w:r>
        <w:tab/>
        <w:t xml:space="preserve">Docket Nos. </w:t>
      </w:r>
      <w:r>
        <w:tab/>
        <w:t>R-2011-2230259</w:t>
      </w:r>
    </w:p>
    <w:p w:rsidR="00F84BD4" w:rsidRDefault="00F84BD4">
      <w:r>
        <w:tab/>
      </w:r>
      <w:r>
        <w:tab/>
      </w:r>
      <w:r>
        <w:tab/>
      </w:r>
      <w:r>
        <w:tab/>
      </w:r>
      <w:r>
        <w:tab/>
      </w:r>
      <w:r>
        <w:tab/>
        <w:t>:</w:t>
      </w:r>
      <w:r>
        <w:tab/>
      </w:r>
      <w:r>
        <w:tab/>
      </w:r>
      <w:r>
        <w:tab/>
        <w:t>P-2010-2216342</w:t>
      </w:r>
    </w:p>
    <w:p w:rsidR="00F84BD4" w:rsidRDefault="00F84BD4">
      <w:r>
        <w:tab/>
      </w:r>
      <w:r>
        <w:tab/>
      </w:r>
      <w:r>
        <w:tab/>
      </w:r>
      <w:r>
        <w:tab/>
      </w:r>
      <w:r>
        <w:tab/>
      </w:r>
      <w:r>
        <w:tab/>
        <w:t>:</w:t>
      </w:r>
      <w:r>
        <w:tab/>
      </w:r>
      <w:r>
        <w:tab/>
      </w:r>
      <w:r>
        <w:tab/>
        <w:t>C-2011-2230952</w:t>
      </w:r>
    </w:p>
    <w:p w:rsidR="00F84BD4" w:rsidRDefault="00F84BD4">
      <w:r>
        <w:t>The Newtown Artesian Water Company</w:t>
      </w:r>
      <w:r>
        <w:tab/>
        <w:t>:</w:t>
      </w:r>
    </w:p>
    <w:p w:rsidR="00F84BD4" w:rsidRDefault="00F84BD4"/>
    <w:p w:rsidR="00E22703" w:rsidRPr="00E22703" w:rsidRDefault="00E22703"/>
    <w:p w:rsidR="00922597" w:rsidRDefault="00F84BD4" w:rsidP="00922597">
      <w:pPr>
        <w:tabs>
          <w:tab w:val="center" w:pos="4680"/>
        </w:tabs>
        <w:suppressAutoHyphens/>
        <w:jc w:val="center"/>
        <w:rPr>
          <w:b/>
          <w:spacing w:val="-3"/>
          <w:u w:val="single"/>
        </w:rPr>
      </w:pPr>
      <w:r>
        <w:rPr>
          <w:b/>
          <w:spacing w:val="-3"/>
          <w:u w:val="single"/>
        </w:rPr>
        <w:t>SCHEDULING ORDER</w:t>
      </w:r>
      <w:r w:rsidR="00CE701C" w:rsidRPr="00BF3A95">
        <w:rPr>
          <w:b/>
          <w:spacing w:val="-3"/>
          <w:u w:val="single"/>
        </w:rPr>
        <w:t xml:space="preserve"> </w:t>
      </w:r>
    </w:p>
    <w:p w:rsidR="00E4692C" w:rsidRDefault="00E4692C" w:rsidP="00922597">
      <w:pPr>
        <w:tabs>
          <w:tab w:val="center" w:pos="4680"/>
        </w:tabs>
        <w:suppressAutoHyphens/>
        <w:jc w:val="center"/>
        <w:rPr>
          <w:b/>
          <w:spacing w:val="-3"/>
          <w:u w:val="single"/>
        </w:rPr>
      </w:pPr>
    </w:p>
    <w:p w:rsidR="00E22703" w:rsidRPr="007B76C4" w:rsidRDefault="007B76C4" w:rsidP="00922597">
      <w:pPr>
        <w:tabs>
          <w:tab w:val="center" w:pos="4680"/>
        </w:tabs>
        <w:suppressAutoHyphens/>
        <w:jc w:val="center"/>
        <w:rPr>
          <w:spacing w:val="-3"/>
        </w:rPr>
      </w:pPr>
      <w:r w:rsidRPr="007B76C4">
        <w:rPr>
          <w:spacing w:val="-3"/>
        </w:rPr>
        <w:t>Before</w:t>
      </w:r>
    </w:p>
    <w:p w:rsidR="007B76C4" w:rsidRPr="007B76C4" w:rsidRDefault="007B76C4" w:rsidP="00922597">
      <w:pPr>
        <w:tabs>
          <w:tab w:val="center" w:pos="4680"/>
        </w:tabs>
        <w:suppressAutoHyphens/>
        <w:jc w:val="center"/>
        <w:rPr>
          <w:spacing w:val="-3"/>
        </w:rPr>
      </w:pPr>
      <w:r w:rsidRPr="007B76C4">
        <w:rPr>
          <w:spacing w:val="-3"/>
        </w:rPr>
        <w:t>Elizabeth H. Barnes</w:t>
      </w:r>
    </w:p>
    <w:p w:rsidR="007B76C4" w:rsidRDefault="007B76C4" w:rsidP="00922597">
      <w:pPr>
        <w:tabs>
          <w:tab w:val="center" w:pos="4680"/>
        </w:tabs>
        <w:suppressAutoHyphens/>
        <w:jc w:val="center"/>
        <w:rPr>
          <w:spacing w:val="-3"/>
        </w:rPr>
      </w:pPr>
      <w:r w:rsidRPr="007B76C4">
        <w:rPr>
          <w:spacing w:val="-3"/>
        </w:rPr>
        <w:t>Administrative Law Judg</w:t>
      </w:r>
      <w:r>
        <w:rPr>
          <w:spacing w:val="-3"/>
        </w:rPr>
        <w:t>e</w:t>
      </w:r>
    </w:p>
    <w:p w:rsidR="007B76C4" w:rsidRDefault="007B76C4" w:rsidP="00922597">
      <w:pPr>
        <w:tabs>
          <w:tab w:val="center" w:pos="4680"/>
        </w:tabs>
        <w:suppressAutoHyphens/>
        <w:jc w:val="center"/>
        <w:rPr>
          <w:spacing w:val="-3"/>
        </w:rPr>
      </w:pPr>
    </w:p>
    <w:p w:rsidR="00CF74B7" w:rsidRDefault="00CF74B7">
      <w:pPr>
        <w:spacing w:line="360" w:lineRule="auto"/>
        <w:ind w:firstLine="1440"/>
        <w:rPr>
          <w:spacing w:val="-3"/>
        </w:rPr>
      </w:pPr>
    </w:p>
    <w:p w:rsidR="00054A10" w:rsidRDefault="00054A10" w:rsidP="00CF74B7">
      <w:pPr>
        <w:spacing w:line="360" w:lineRule="auto"/>
        <w:ind w:firstLine="720"/>
      </w:pPr>
      <w:r>
        <w:t>Newtown Artesian Water Company</w:t>
      </w:r>
      <w:r w:rsidRPr="00E22703">
        <w:t xml:space="preserve"> </w:t>
      </w:r>
      <w:r>
        <w:t xml:space="preserve">(NAWC or Petitioner) provides water service to approximately 10,000 residential, commercial, industrial and public customers in Newtown Borough, Newtown Township and the northern portion of Middletown Township, Bucks County, Pennsylvania. NAWC </w:t>
      </w:r>
      <w:r w:rsidR="004B12AD">
        <w:t xml:space="preserve">owns </w:t>
      </w:r>
      <w:r w:rsidR="00374FE0">
        <w:t xml:space="preserve">supply </w:t>
      </w:r>
      <w:r w:rsidR="004B12AD">
        <w:t xml:space="preserve">wells, but it also </w:t>
      </w:r>
      <w:r>
        <w:t xml:space="preserve">purchases approximately 57% of its water supply from the </w:t>
      </w:r>
      <w:r w:rsidR="001066C1">
        <w:t>Bucks County Water and Sewer Authority (</w:t>
      </w:r>
      <w:r>
        <w:t>BCWSA</w:t>
      </w:r>
      <w:r w:rsidR="001066C1">
        <w:t>)</w:t>
      </w:r>
      <w:r>
        <w:t xml:space="preserve"> at a present annual cost of more than $1,100,000</w:t>
      </w:r>
      <w:r w:rsidR="004B12AD">
        <w:t xml:space="preserve"> pursuant to an agreement with BCWSA dated June 7, 1984.  The Agreement has an initial term of 40 years and was approved by Commission Order entered on July 6, 1984 at Docket No. </w:t>
      </w:r>
      <w:r w:rsidR="00374FE0">
        <w:t xml:space="preserve">    </w:t>
      </w:r>
      <w:r w:rsidR="004B12AD">
        <w:t>P-840513.</w:t>
      </w:r>
      <w:r>
        <w:t xml:space="preserve">  </w:t>
      </w:r>
    </w:p>
    <w:p w:rsidR="00EF1F46" w:rsidRDefault="00EF1F46" w:rsidP="00CF74B7">
      <w:pPr>
        <w:spacing w:line="360" w:lineRule="auto"/>
        <w:ind w:firstLine="720"/>
      </w:pPr>
    </w:p>
    <w:p w:rsidR="00EF1F46" w:rsidRDefault="00EF1F46" w:rsidP="00CF74B7">
      <w:pPr>
        <w:spacing w:line="360" w:lineRule="auto"/>
        <w:ind w:firstLine="720"/>
      </w:pPr>
      <w:r>
        <w:t xml:space="preserve">On </w:t>
      </w:r>
      <w:r w:rsidR="0039023D">
        <w:t xml:space="preserve">May 5, 2011, </w:t>
      </w:r>
      <w:r w:rsidR="00B20212">
        <w:t xml:space="preserve">the Commission initiated an investigation </w:t>
      </w:r>
      <w:r w:rsidR="0039023D">
        <w:t xml:space="preserve">concerning NAWC’s </w:t>
      </w:r>
      <w:r w:rsidR="00CF74B7">
        <w:t>T</w:t>
      </w:r>
      <w:r w:rsidR="0039023D">
        <w:t xml:space="preserve">ariff Supplement No. 82 to </w:t>
      </w:r>
      <w:r w:rsidR="00CF74B7">
        <w:t>T</w:t>
      </w:r>
      <w:r w:rsidR="0039023D">
        <w:t xml:space="preserve">ariff </w:t>
      </w:r>
      <w:r w:rsidR="00CF74B7">
        <w:t>W</w:t>
      </w:r>
      <w:r w:rsidR="0039023D">
        <w:t xml:space="preserve">ater – Pa. PUC No. 9.  The filing was suspended until December 9, 2011, unless permitted by Commission order to become effective at an earlier date.  </w:t>
      </w:r>
      <w:r w:rsidR="00B20212">
        <w:t xml:space="preserve"> The matter was assigned to the Office of Administrative Law Judge, and on</w:t>
      </w:r>
      <w:r w:rsidR="00B20212" w:rsidRPr="00B20212">
        <w:t xml:space="preserve"> </w:t>
      </w:r>
      <w:r w:rsidR="00B20212">
        <w:t>May 23, 2011, I held a prehearing conference regarding the investigation.</w:t>
      </w:r>
    </w:p>
    <w:p w:rsidR="00B20212" w:rsidRDefault="00B20212" w:rsidP="00CF74B7">
      <w:pPr>
        <w:spacing w:line="360" w:lineRule="auto"/>
        <w:ind w:firstLine="720"/>
      </w:pPr>
    </w:p>
    <w:p w:rsidR="003038EF" w:rsidRDefault="00B20212" w:rsidP="00CF74B7">
      <w:pPr>
        <w:spacing w:line="360" w:lineRule="auto"/>
        <w:ind w:firstLine="720"/>
      </w:pPr>
      <w:r>
        <w:lastRenderedPageBreak/>
        <w:t>The following counsel appeared at the prehearing conference: Dianne Dunsman, Esquire and Shawn Sparks, Esquire, on behalf of the Office of Consumer Advocate (OCA); Thomas Niesen, Esquire and Brenden Brett, Esquire, on behalf of NAWC;</w:t>
      </w:r>
      <w:r w:rsidR="003038EF">
        <w:t xml:space="preserve"> and Adeolu Bakare, Esquire, on behalf of the Office of Trial Staff (OTS).  I received prehearing memorandum from all three parties.</w:t>
      </w:r>
    </w:p>
    <w:p w:rsidR="003038EF" w:rsidRDefault="003038EF" w:rsidP="00CF74B7">
      <w:pPr>
        <w:spacing w:line="360" w:lineRule="auto"/>
        <w:ind w:firstLine="720"/>
      </w:pPr>
    </w:p>
    <w:p w:rsidR="00CF74B7" w:rsidRDefault="00CF74B7" w:rsidP="00CF74B7">
      <w:pPr>
        <w:spacing w:line="360" w:lineRule="auto"/>
        <w:ind w:firstLine="720"/>
      </w:pPr>
      <w:r>
        <w:t>The Complaint of the OCA at Docket No. C-2011-2230952 was docketed separately but since it relates to NAWC’s base rate increase filing at Docket No. R-2011-2230259, it shall be consolidated into this proceeding.</w:t>
      </w:r>
    </w:p>
    <w:p w:rsidR="003038EF" w:rsidRDefault="003038EF" w:rsidP="00CF74B7">
      <w:pPr>
        <w:spacing w:line="360" w:lineRule="auto"/>
        <w:ind w:firstLine="720"/>
      </w:pPr>
    </w:p>
    <w:p w:rsidR="00B20212" w:rsidRDefault="003038EF" w:rsidP="00CF74B7">
      <w:pPr>
        <w:spacing w:line="360" w:lineRule="auto"/>
        <w:ind w:firstLine="720"/>
      </w:pPr>
      <w:r>
        <w:t>The following</w:t>
      </w:r>
      <w:r w:rsidR="00C07487">
        <w:t xml:space="preserve"> matters were addressed at the prehearing conference: (1) public input hearings; (2) procedural schedule; </w:t>
      </w:r>
      <w:r w:rsidR="00CD5609">
        <w:t xml:space="preserve">and </w:t>
      </w:r>
      <w:r w:rsidR="00C07487">
        <w:t>(3) discovery</w:t>
      </w:r>
      <w:r w:rsidR="00CD5609">
        <w:t xml:space="preserve"> modifications.</w:t>
      </w:r>
      <w:r w:rsidR="00C07487">
        <w:t xml:space="preserve"> </w:t>
      </w:r>
      <w:r w:rsidR="00B20212">
        <w:t xml:space="preserve"> </w:t>
      </w:r>
    </w:p>
    <w:p w:rsidR="00C07487" w:rsidRDefault="00C07487">
      <w:pPr>
        <w:spacing w:line="360" w:lineRule="auto"/>
        <w:ind w:firstLine="1440"/>
      </w:pPr>
    </w:p>
    <w:p w:rsidR="00C07487" w:rsidRDefault="00C07487" w:rsidP="00C07487">
      <w:pPr>
        <w:spacing w:line="360" w:lineRule="auto"/>
        <w:rPr>
          <w:u w:val="single"/>
        </w:rPr>
      </w:pPr>
      <w:r>
        <w:rPr>
          <w:u w:val="single"/>
        </w:rPr>
        <w:t>Public Input Hearings</w:t>
      </w:r>
    </w:p>
    <w:p w:rsidR="00C07487" w:rsidRDefault="00C07487" w:rsidP="00C07487">
      <w:pPr>
        <w:spacing w:line="360" w:lineRule="auto"/>
        <w:rPr>
          <w:u w:val="single"/>
        </w:rPr>
      </w:pPr>
    </w:p>
    <w:p w:rsidR="00C07487" w:rsidRDefault="00C07487" w:rsidP="00C07487">
      <w:pPr>
        <w:spacing w:line="360" w:lineRule="auto"/>
      </w:pPr>
      <w:r>
        <w:tab/>
        <w:t>OCA stated that there was not sufficient public interest to request a public input hearing in the service territory of NAWC.  Therefore, no public input hearing will be scheduled.</w:t>
      </w:r>
    </w:p>
    <w:p w:rsidR="00C07487" w:rsidRDefault="00C07487" w:rsidP="00C07487">
      <w:pPr>
        <w:spacing w:line="360" w:lineRule="auto"/>
      </w:pPr>
    </w:p>
    <w:p w:rsidR="001B125F" w:rsidRDefault="001B125F" w:rsidP="00C07487">
      <w:pPr>
        <w:spacing w:line="360" w:lineRule="auto"/>
        <w:rPr>
          <w:u w:val="single"/>
        </w:rPr>
      </w:pPr>
      <w:r>
        <w:rPr>
          <w:u w:val="single"/>
        </w:rPr>
        <w:t xml:space="preserve">Discovery </w:t>
      </w:r>
    </w:p>
    <w:p w:rsidR="001B125F" w:rsidRDefault="001B125F" w:rsidP="00C07487">
      <w:pPr>
        <w:spacing w:line="360" w:lineRule="auto"/>
        <w:rPr>
          <w:u w:val="single"/>
        </w:rPr>
      </w:pPr>
    </w:p>
    <w:p w:rsidR="005E097E" w:rsidRDefault="001B125F" w:rsidP="00C07487">
      <w:pPr>
        <w:spacing w:line="360" w:lineRule="auto"/>
        <w:rPr>
          <w:spacing w:val="-3"/>
        </w:rPr>
      </w:pPr>
      <w:r>
        <w:tab/>
      </w:r>
      <w:r w:rsidR="00A83972">
        <w:rPr>
          <w:spacing w:val="-3"/>
        </w:rPr>
        <w:t xml:space="preserve">OCA presented me with two Applications for the Issuance of a Subpoena Duces Tecum.  There being no objection to the deposition of Mr. Forsyth, I signed and entered the first </w:t>
      </w:r>
      <w:r w:rsidR="001842F2">
        <w:rPr>
          <w:spacing w:val="-3"/>
        </w:rPr>
        <w:t>Subpoena.  The second A</w:t>
      </w:r>
      <w:r w:rsidR="00A83972">
        <w:rPr>
          <w:spacing w:val="-3"/>
        </w:rPr>
        <w:t>pplication regarding the testimony of witness Arthur J. Hass, CFO/Controller, B</w:t>
      </w:r>
      <w:r w:rsidR="001842F2">
        <w:rPr>
          <w:spacing w:val="-3"/>
        </w:rPr>
        <w:t>CWSA</w:t>
      </w:r>
      <w:r w:rsidR="00A83972">
        <w:rPr>
          <w:spacing w:val="-3"/>
        </w:rPr>
        <w:t xml:space="preserve">, has not yet been signed and I am awaiting word from OCA whether it needs to be signed or not as the parties are </w:t>
      </w:r>
      <w:r w:rsidR="005E097E">
        <w:rPr>
          <w:spacing w:val="-3"/>
        </w:rPr>
        <w:t xml:space="preserve">so far agreeing to the exchange of information.  </w:t>
      </w:r>
    </w:p>
    <w:p w:rsidR="005E097E" w:rsidRDefault="005E097E" w:rsidP="00C07487">
      <w:pPr>
        <w:spacing w:line="360" w:lineRule="auto"/>
        <w:rPr>
          <w:spacing w:val="-3"/>
        </w:rPr>
      </w:pPr>
    </w:p>
    <w:p w:rsidR="005E097E" w:rsidRDefault="005E097E" w:rsidP="00C07487">
      <w:pPr>
        <w:spacing w:line="360" w:lineRule="auto"/>
        <w:rPr>
          <w:spacing w:val="-3"/>
        </w:rPr>
      </w:pPr>
      <w:r>
        <w:rPr>
          <w:spacing w:val="-3"/>
        </w:rPr>
        <w:tab/>
        <w:t>No discovery deadline was issued in this case per the requests of OCA and OTS in response to a recent letter from B</w:t>
      </w:r>
      <w:r w:rsidR="001842F2">
        <w:rPr>
          <w:spacing w:val="-3"/>
        </w:rPr>
        <w:t>CWSA</w:t>
      </w:r>
      <w:r>
        <w:rPr>
          <w:spacing w:val="-3"/>
        </w:rPr>
        <w:t xml:space="preserve"> to NAWC regarding </w:t>
      </w:r>
      <w:r w:rsidR="001842F2">
        <w:rPr>
          <w:spacing w:val="-3"/>
        </w:rPr>
        <w:t xml:space="preserve">a </w:t>
      </w:r>
      <w:r>
        <w:rPr>
          <w:spacing w:val="-3"/>
        </w:rPr>
        <w:t>possible additional increase in costs for bulk water supply.</w:t>
      </w:r>
    </w:p>
    <w:p w:rsidR="001B125F" w:rsidRDefault="00A83972" w:rsidP="00C07487">
      <w:pPr>
        <w:spacing w:line="360" w:lineRule="auto"/>
        <w:rPr>
          <w:spacing w:val="-3"/>
        </w:rPr>
      </w:pPr>
      <w:r>
        <w:rPr>
          <w:spacing w:val="-3"/>
        </w:rPr>
        <w:lastRenderedPageBreak/>
        <w:t xml:space="preserve">  </w:t>
      </w:r>
    </w:p>
    <w:p w:rsidR="00E54410" w:rsidRDefault="00E54410" w:rsidP="00C07487">
      <w:pPr>
        <w:spacing w:line="360" w:lineRule="auto"/>
        <w:rPr>
          <w:spacing w:val="-3"/>
        </w:rPr>
      </w:pPr>
      <w:r>
        <w:rPr>
          <w:spacing w:val="-3"/>
        </w:rPr>
        <w:tab/>
        <w:t>The parties substantially agree to the following modified procedural rules for the conduct of discovery in this case.  Accordingly, discovery served after</w:t>
      </w:r>
      <w:r w:rsidR="00E84D9A">
        <w:rPr>
          <w:spacing w:val="-3"/>
        </w:rPr>
        <w:t xml:space="preserve"> May 23, 2011, is subject to the time requirements set forth below.</w:t>
      </w:r>
    </w:p>
    <w:p w:rsidR="00E84D9A" w:rsidRDefault="00E84D9A" w:rsidP="00C07487">
      <w:pPr>
        <w:spacing w:line="360" w:lineRule="auto"/>
        <w:rPr>
          <w:spacing w:val="-3"/>
        </w:rPr>
      </w:pPr>
    </w:p>
    <w:p w:rsidR="00E84D9A" w:rsidRDefault="00E84D9A" w:rsidP="00C07487">
      <w:pPr>
        <w:spacing w:line="360" w:lineRule="auto"/>
        <w:rPr>
          <w:spacing w:val="-3"/>
        </w:rPr>
      </w:pPr>
      <w:r>
        <w:rPr>
          <w:spacing w:val="-3"/>
        </w:rPr>
        <w:t>1.</w:t>
      </w:r>
      <w:r>
        <w:rPr>
          <w:spacing w:val="-3"/>
        </w:rPr>
        <w:tab/>
        <w:t>Answers to written interrogatories to be served in-hand within ten (10) calendar days of service of the interrogatories.</w:t>
      </w:r>
    </w:p>
    <w:p w:rsidR="00E84D9A" w:rsidRDefault="00E84D9A" w:rsidP="00C07487">
      <w:pPr>
        <w:spacing w:line="360" w:lineRule="auto"/>
        <w:rPr>
          <w:spacing w:val="-3"/>
        </w:rPr>
      </w:pPr>
    </w:p>
    <w:p w:rsidR="001126D1" w:rsidRDefault="00E84D9A" w:rsidP="00C07487">
      <w:pPr>
        <w:spacing w:line="360" w:lineRule="auto"/>
        <w:rPr>
          <w:spacing w:val="-3"/>
        </w:rPr>
      </w:pPr>
      <w:r>
        <w:rPr>
          <w:spacing w:val="-3"/>
        </w:rPr>
        <w:t>2.</w:t>
      </w:r>
      <w:r>
        <w:rPr>
          <w:spacing w:val="-3"/>
        </w:rPr>
        <w:tab/>
        <w:t xml:space="preserve">Objections to interrogatories to be communicated orally within three business </w:t>
      </w:r>
      <w:r w:rsidR="00D22072">
        <w:rPr>
          <w:spacing w:val="-3"/>
        </w:rPr>
        <w:t>days of service</w:t>
      </w:r>
      <w:r>
        <w:rPr>
          <w:spacing w:val="-3"/>
        </w:rPr>
        <w:t>.</w:t>
      </w:r>
      <w:r w:rsidR="00D22072">
        <w:rPr>
          <w:rStyle w:val="FootnoteReference"/>
          <w:spacing w:val="-3"/>
        </w:rPr>
        <w:footnoteReference w:id="1"/>
      </w:r>
      <w:r w:rsidR="00D22072">
        <w:rPr>
          <w:spacing w:val="-3"/>
        </w:rPr>
        <w:t xml:space="preserve"> </w:t>
      </w:r>
    </w:p>
    <w:p w:rsidR="001126D1" w:rsidRDefault="001126D1" w:rsidP="00C07487">
      <w:pPr>
        <w:spacing w:line="360" w:lineRule="auto"/>
        <w:rPr>
          <w:spacing w:val="-3"/>
        </w:rPr>
      </w:pPr>
    </w:p>
    <w:p w:rsidR="00E84D9A" w:rsidRDefault="00E84D9A" w:rsidP="00C07487">
      <w:pPr>
        <w:spacing w:line="360" w:lineRule="auto"/>
        <w:rPr>
          <w:spacing w:val="-3"/>
        </w:rPr>
      </w:pPr>
      <w:r>
        <w:rPr>
          <w:spacing w:val="-3"/>
        </w:rPr>
        <w:t>3.</w:t>
      </w:r>
      <w:r>
        <w:rPr>
          <w:spacing w:val="-3"/>
        </w:rPr>
        <w:tab/>
        <w:t>Motions to dismiss objections and/or direct the answering of interrogatories to be filed within three business days of service of written objections.</w:t>
      </w:r>
    </w:p>
    <w:p w:rsidR="00E84D9A" w:rsidRDefault="00E84D9A" w:rsidP="00C07487">
      <w:pPr>
        <w:spacing w:line="360" w:lineRule="auto"/>
        <w:rPr>
          <w:spacing w:val="-3"/>
        </w:rPr>
      </w:pPr>
    </w:p>
    <w:p w:rsidR="00E84D9A" w:rsidRDefault="00E84D9A" w:rsidP="00C07487">
      <w:pPr>
        <w:spacing w:line="360" w:lineRule="auto"/>
        <w:rPr>
          <w:spacing w:val="-3"/>
        </w:rPr>
      </w:pPr>
      <w:r>
        <w:rPr>
          <w:spacing w:val="-3"/>
        </w:rPr>
        <w:t>4.</w:t>
      </w:r>
      <w:r>
        <w:rPr>
          <w:spacing w:val="-3"/>
        </w:rPr>
        <w:tab/>
        <w:t>Answers to motions to dismiss objections an/or direct the answering of interrogatories to be filed within three business days of service of such motions.</w:t>
      </w:r>
    </w:p>
    <w:p w:rsidR="00E84D9A" w:rsidRDefault="00E84D9A" w:rsidP="00C07487">
      <w:pPr>
        <w:spacing w:line="360" w:lineRule="auto"/>
        <w:rPr>
          <w:spacing w:val="-3"/>
        </w:rPr>
      </w:pPr>
    </w:p>
    <w:p w:rsidR="00E84D9A" w:rsidRDefault="00E84D9A" w:rsidP="00C07487">
      <w:pPr>
        <w:spacing w:line="360" w:lineRule="auto"/>
        <w:rPr>
          <w:spacing w:val="-3"/>
        </w:rPr>
      </w:pPr>
      <w:r>
        <w:rPr>
          <w:spacing w:val="-3"/>
        </w:rPr>
        <w:t>5.</w:t>
      </w:r>
      <w:r>
        <w:rPr>
          <w:spacing w:val="-3"/>
        </w:rPr>
        <w:tab/>
        <w:t>Rulings over such motions to be issued, if possible, within seven days of the filing of the motion.</w:t>
      </w:r>
    </w:p>
    <w:p w:rsidR="00CF74B7" w:rsidRDefault="00CF74B7" w:rsidP="00C07487">
      <w:pPr>
        <w:spacing w:line="360" w:lineRule="auto"/>
        <w:rPr>
          <w:spacing w:val="-3"/>
        </w:rPr>
      </w:pPr>
    </w:p>
    <w:p w:rsidR="00E84D9A" w:rsidRDefault="00E84D9A" w:rsidP="00C07487">
      <w:pPr>
        <w:spacing w:line="360" w:lineRule="auto"/>
        <w:rPr>
          <w:spacing w:val="-3"/>
        </w:rPr>
      </w:pPr>
      <w:r>
        <w:rPr>
          <w:spacing w:val="-3"/>
        </w:rPr>
        <w:t>6.</w:t>
      </w:r>
      <w:r>
        <w:rPr>
          <w:spacing w:val="-3"/>
        </w:rPr>
        <w:tab/>
        <w:t xml:space="preserve">Responses to request for document production, entry for </w:t>
      </w:r>
      <w:r w:rsidR="00CF74B7">
        <w:rPr>
          <w:spacing w:val="-3"/>
        </w:rPr>
        <w:t>inspection</w:t>
      </w:r>
      <w:r>
        <w:rPr>
          <w:spacing w:val="-3"/>
        </w:rPr>
        <w:t>, or other purposes to be served in-hand within ten calendar days.</w:t>
      </w:r>
    </w:p>
    <w:p w:rsidR="00CF74B7" w:rsidRDefault="00CF74B7" w:rsidP="00C07487">
      <w:pPr>
        <w:spacing w:line="360" w:lineRule="auto"/>
        <w:rPr>
          <w:spacing w:val="-3"/>
        </w:rPr>
      </w:pPr>
    </w:p>
    <w:p w:rsidR="00E84D9A" w:rsidRDefault="00E84D9A" w:rsidP="00C07487">
      <w:pPr>
        <w:spacing w:line="360" w:lineRule="auto"/>
        <w:rPr>
          <w:spacing w:val="-3"/>
        </w:rPr>
      </w:pPr>
      <w:r>
        <w:rPr>
          <w:spacing w:val="-3"/>
        </w:rPr>
        <w:t>7.</w:t>
      </w:r>
      <w:r>
        <w:rPr>
          <w:spacing w:val="-3"/>
        </w:rPr>
        <w:tab/>
        <w:t>Requests for admission be deemed admitted unless answered within ten days or objected to within five calendar days of service.</w:t>
      </w:r>
    </w:p>
    <w:p w:rsidR="00CF74B7" w:rsidRDefault="00CF74B7" w:rsidP="00C07487">
      <w:pPr>
        <w:spacing w:line="360" w:lineRule="auto"/>
        <w:rPr>
          <w:spacing w:val="-3"/>
        </w:rPr>
      </w:pPr>
    </w:p>
    <w:p w:rsidR="00E84D9A" w:rsidRDefault="00E84D9A" w:rsidP="00C07487">
      <w:pPr>
        <w:spacing w:line="360" w:lineRule="auto"/>
        <w:rPr>
          <w:spacing w:val="-3"/>
        </w:rPr>
      </w:pPr>
      <w:r>
        <w:rPr>
          <w:spacing w:val="-3"/>
        </w:rPr>
        <w:t>8.</w:t>
      </w:r>
      <w:r>
        <w:rPr>
          <w:spacing w:val="-3"/>
        </w:rPr>
        <w:tab/>
        <w:t>Answers to on-the-record data requests to be served in-hand within seven calendar days of the request.</w:t>
      </w:r>
    </w:p>
    <w:p w:rsidR="00E84D9A" w:rsidRPr="001B125F" w:rsidRDefault="00E84D9A" w:rsidP="00C07487">
      <w:pPr>
        <w:spacing w:line="360" w:lineRule="auto"/>
      </w:pPr>
    </w:p>
    <w:p w:rsidR="00CF74B7" w:rsidRDefault="00CF74B7" w:rsidP="00C07487">
      <w:pPr>
        <w:spacing w:line="360" w:lineRule="auto"/>
        <w:rPr>
          <w:u w:val="single"/>
        </w:rPr>
      </w:pPr>
    </w:p>
    <w:p w:rsidR="00CF74B7" w:rsidRDefault="00CF74B7" w:rsidP="00C07487">
      <w:pPr>
        <w:spacing w:line="360" w:lineRule="auto"/>
        <w:rPr>
          <w:u w:val="single"/>
        </w:rPr>
      </w:pPr>
    </w:p>
    <w:p w:rsidR="00C07487" w:rsidRDefault="00C07487" w:rsidP="00C07487">
      <w:pPr>
        <w:spacing w:line="360" w:lineRule="auto"/>
        <w:rPr>
          <w:u w:val="single"/>
        </w:rPr>
      </w:pPr>
      <w:r>
        <w:rPr>
          <w:u w:val="single"/>
        </w:rPr>
        <w:t>Procedural Schedule</w:t>
      </w:r>
    </w:p>
    <w:p w:rsidR="00C07487" w:rsidRDefault="005E097E" w:rsidP="00C07487">
      <w:pPr>
        <w:spacing w:line="360" w:lineRule="auto"/>
      </w:pPr>
      <w:r>
        <w:tab/>
        <w:t>The procedural schedule is as follows:</w:t>
      </w:r>
    </w:p>
    <w:p w:rsidR="005E097E" w:rsidRDefault="005E097E" w:rsidP="00C07487">
      <w:pPr>
        <w:spacing w:line="360" w:lineRule="auto"/>
      </w:pPr>
    </w:p>
    <w:p w:rsidR="005E097E" w:rsidRDefault="005E097E" w:rsidP="00C07487">
      <w:pPr>
        <w:spacing w:line="360" w:lineRule="auto"/>
      </w:pPr>
      <w:r>
        <w:t>Prehearing Conference</w:t>
      </w:r>
      <w:r w:rsidR="00D317F3">
        <w:tab/>
      </w:r>
      <w:r w:rsidR="00D317F3">
        <w:tab/>
      </w:r>
      <w:r>
        <w:tab/>
      </w:r>
      <w:r>
        <w:tab/>
        <w:t>May 23, 2011</w:t>
      </w:r>
    </w:p>
    <w:p w:rsidR="005E097E" w:rsidRDefault="00D317F3" w:rsidP="00C07487">
      <w:pPr>
        <w:spacing w:line="360" w:lineRule="auto"/>
      </w:pPr>
      <w:r>
        <w:t>All parties serve written rebuttal testimony</w:t>
      </w:r>
      <w:r>
        <w:tab/>
      </w:r>
      <w:r>
        <w:tab/>
        <w:t>July 7, 2011</w:t>
      </w:r>
    </w:p>
    <w:p w:rsidR="00D317F3" w:rsidRDefault="00D317F3" w:rsidP="00C07487">
      <w:pPr>
        <w:spacing w:line="360" w:lineRule="auto"/>
      </w:pPr>
      <w:r>
        <w:t>All parties serve written surrebuttal testimony</w:t>
      </w:r>
      <w:r>
        <w:tab/>
        <w:t>July 18, 2011</w:t>
      </w:r>
    </w:p>
    <w:p w:rsidR="00D317F3" w:rsidRPr="005E097E" w:rsidRDefault="00D317F3" w:rsidP="00C07487">
      <w:pPr>
        <w:spacing w:line="360" w:lineRule="auto"/>
      </w:pPr>
      <w:r>
        <w:t>Evidentiary Hearings in Harrisburg</w:t>
      </w:r>
      <w:r>
        <w:tab/>
      </w:r>
      <w:r>
        <w:tab/>
      </w:r>
      <w:r>
        <w:tab/>
        <w:t>July 21- 22, 2011</w:t>
      </w:r>
    </w:p>
    <w:p w:rsidR="00C07487" w:rsidRDefault="001F5686" w:rsidP="00C07487">
      <w:pPr>
        <w:spacing w:line="360" w:lineRule="auto"/>
      </w:pPr>
      <w:r>
        <w:t>Main brief deadline</w:t>
      </w:r>
      <w:r>
        <w:tab/>
      </w:r>
      <w:r>
        <w:tab/>
      </w:r>
      <w:r>
        <w:tab/>
      </w:r>
      <w:r>
        <w:tab/>
      </w:r>
      <w:r>
        <w:tab/>
        <w:t>August 12, 2011</w:t>
      </w:r>
    </w:p>
    <w:p w:rsidR="001F5686" w:rsidRDefault="001F5686" w:rsidP="00C07487">
      <w:pPr>
        <w:spacing w:line="360" w:lineRule="auto"/>
      </w:pPr>
      <w:r>
        <w:t>Reply brief deadline</w:t>
      </w:r>
      <w:r>
        <w:tab/>
      </w:r>
      <w:r>
        <w:tab/>
      </w:r>
      <w:r>
        <w:tab/>
      </w:r>
      <w:r>
        <w:tab/>
      </w:r>
      <w:r>
        <w:tab/>
        <w:t>August 22, 2011</w:t>
      </w:r>
    </w:p>
    <w:p w:rsidR="001F5686" w:rsidRDefault="001F5686" w:rsidP="00C07487">
      <w:pPr>
        <w:spacing w:line="360" w:lineRule="auto"/>
      </w:pPr>
    </w:p>
    <w:p w:rsidR="001F5686" w:rsidRDefault="001F5686" w:rsidP="00C07487">
      <w:pPr>
        <w:spacing w:line="360" w:lineRule="auto"/>
      </w:pPr>
      <w:r>
        <w:tab/>
        <w:t>The above filing dates are all in-hand dates (by 4:30 p.m.) to the parties and the presiding officer.  All parties are reminded to serve the presiding officer with all filed documents, and to provide the presiding officer with an e-version in Word 2003.</w:t>
      </w:r>
    </w:p>
    <w:p w:rsidR="001F5686" w:rsidRDefault="001F5686" w:rsidP="00C07487">
      <w:pPr>
        <w:spacing w:line="360" w:lineRule="auto"/>
      </w:pPr>
    </w:p>
    <w:p w:rsidR="001F5686" w:rsidRDefault="001F5686" w:rsidP="00C07487">
      <w:pPr>
        <w:spacing w:line="360" w:lineRule="auto"/>
      </w:pPr>
      <w:r>
        <w:rPr>
          <w:u w:val="single"/>
        </w:rPr>
        <w:t>Identification of witness order</w:t>
      </w:r>
    </w:p>
    <w:p w:rsidR="001F5686" w:rsidRDefault="001F5686" w:rsidP="00C07487">
      <w:pPr>
        <w:spacing w:line="360" w:lineRule="auto"/>
      </w:pPr>
    </w:p>
    <w:p w:rsidR="001F5686" w:rsidRDefault="001F5686" w:rsidP="00C07487">
      <w:pPr>
        <w:spacing w:line="360" w:lineRule="auto"/>
      </w:pPr>
      <w:r>
        <w:tab/>
        <w:t xml:space="preserve">Counsel for NAWC will coordinate the order of witnesses and estimated time for cross-examination by each party, and will supply a copy of the witness order to me approximately </w:t>
      </w:r>
      <w:r w:rsidR="0074441A">
        <w:t>three days</w:t>
      </w:r>
      <w:r>
        <w:t xml:space="preserve"> prior to the hearing, or as soon thereafter as possible given that surrebuttal testimony is due </w:t>
      </w:r>
      <w:r w:rsidR="0074441A">
        <w:t>three days before the hearing.</w:t>
      </w:r>
    </w:p>
    <w:p w:rsidR="0074441A" w:rsidRDefault="0074441A" w:rsidP="00C07487">
      <w:pPr>
        <w:spacing w:line="360" w:lineRule="auto"/>
      </w:pPr>
    </w:p>
    <w:p w:rsidR="0074441A" w:rsidRDefault="0074441A" w:rsidP="00C07487">
      <w:pPr>
        <w:spacing w:line="360" w:lineRule="auto"/>
        <w:rPr>
          <w:u w:val="single"/>
        </w:rPr>
      </w:pPr>
      <w:r>
        <w:rPr>
          <w:u w:val="single"/>
        </w:rPr>
        <w:t>Service of documents</w:t>
      </w:r>
    </w:p>
    <w:p w:rsidR="0074441A" w:rsidRDefault="0074441A" w:rsidP="00C07487">
      <w:pPr>
        <w:spacing w:line="360" w:lineRule="auto"/>
        <w:rPr>
          <w:u w:val="single"/>
        </w:rPr>
      </w:pPr>
    </w:p>
    <w:p w:rsidR="0074441A" w:rsidRDefault="0074441A" w:rsidP="00C07487">
      <w:pPr>
        <w:spacing w:line="360" w:lineRule="auto"/>
      </w:pPr>
      <w:r>
        <w:tab/>
        <w:t>Service of documents by e-mail (by 4:30 p.m.) on the due date will be considered in-hand service, if a hard copy is sent by the following day via first class mail.  The service list is attached to this Scheduling Order.  Each party on the service list will be limited to one mailing address, although multiple attorneys may be listed for that address.  Multiple attorneys may be included on an e-mail distribution list.</w:t>
      </w:r>
    </w:p>
    <w:p w:rsidR="0074441A" w:rsidRDefault="0074441A" w:rsidP="00C07487">
      <w:pPr>
        <w:spacing w:line="360" w:lineRule="auto"/>
      </w:pPr>
    </w:p>
    <w:p w:rsidR="00CF74B7" w:rsidRDefault="00CF74B7" w:rsidP="00C07487">
      <w:pPr>
        <w:spacing w:line="360" w:lineRule="auto"/>
        <w:rPr>
          <w:u w:val="single"/>
        </w:rPr>
      </w:pPr>
    </w:p>
    <w:p w:rsidR="00CF74B7" w:rsidRDefault="00CF74B7" w:rsidP="00C07487">
      <w:pPr>
        <w:spacing w:line="360" w:lineRule="auto"/>
        <w:rPr>
          <w:u w:val="single"/>
        </w:rPr>
      </w:pPr>
    </w:p>
    <w:p w:rsidR="0074441A" w:rsidRDefault="0074441A" w:rsidP="00C07487">
      <w:pPr>
        <w:spacing w:line="360" w:lineRule="auto"/>
        <w:rPr>
          <w:u w:val="single"/>
        </w:rPr>
      </w:pPr>
      <w:r>
        <w:rPr>
          <w:u w:val="single"/>
        </w:rPr>
        <w:t>Briefing instructions</w:t>
      </w:r>
    </w:p>
    <w:p w:rsidR="0074441A" w:rsidRDefault="0074441A" w:rsidP="00C07487">
      <w:pPr>
        <w:spacing w:line="360" w:lineRule="auto"/>
        <w:rPr>
          <w:u w:val="single"/>
        </w:rPr>
      </w:pPr>
    </w:p>
    <w:p w:rsidR="0074441A" w:rsidRDefault="0074441A" w:rsidP="00C07487">
      <w:pPr>
        <w:spacing w:line="360" w:lineRule="auto"/>
      </w:pPr>
      <w:r>
        <w:tab/>
        <w:t xml:space="preserve">Briefing instructions were handed out to the parties at the prehearing conference.  The parties are directed to follow a common </w:t>
      </w:r>
      <w:r w:rsidR="008937A9">
        <w:t>briefing outline.  The parties are directed to provide the presiding officer with three hard copies of their briefs.</w:t>
      </w:r>
    </w:p>
    <w:p w:rsidR="0074441A" w:rsidRDefault="0074441A" w:rsidP="00C07487">
      <w:pPr>
        <w:spacing w:line="360" w:lineRule="auto"/>
      </w:pPr>
    </w:p>
    <w:p w:rsidR="0074441A" w:rsidRDefault="008937A9" w:rsidP="00C07487">
      <w:pPr>
        <w:spacing w:line="360" w:lineRule="auto"/>
        <w:rPr>
          <w:u w:val="single"/>
        </w:rPr>
      </w:pPr>
      <w:r>
        <w:rPr>
          <w:u w:val="single"/>
        </w:rPr>
        <w:t>Location and start time of hearing</w:t>
      </w:r>
    </w:p>
    <w:p w:rsidR="008937A9" w:rsidRDefault="008937A9" w:rsidP="00C07487">
      <w:pPr>
        <w:spacing w:line="360" w:lineRule="auto"/>
        <w:rPr>
          <w:u w:val="single"/>
        </w:rPr>
      </w:pPr>
    </w:p>
    <w:p w:rsidR="008937A9" w:rsidRDefault="008937A9" w:rsidP="00C07487">
      <w:pPr>
        <w:spacing w:line="360" w:lineRule="auto"/>
      </w:pPr>
      <w:r>
        <w:tab/>
        <w:t>The hearings will be held at the Commonwealth Keystone Building, in Harrisburg, PA, beginning at 10:00 a.m. on Thursday, July 21, 2011, in Hearing Room No. 2.</w:t>
      </w:r>
    </w:p>
    <w:p w:rsidR="008937A9" w:rsidRDefault="008937A9" w:rsidP="00C07487">
      <w:pPr>
        <w:spacing w:line="360" w:lineRule="auto"/>
      </w:pPr>
    </w:p>
    <w:p w:rsidR="008937A9" w:rsidRDefault="008937A9" w:rsidP="00C07487">
      <w:pPr>
        <w:spacing w:line="360" w:lineRule="auto"/>
      </w:pPr>
      <w:r>
        <w:rPr>
          <w:u w:val="single"/>
        </w:rPr>
        <w:t>Transcript turnaround time</w:t>
      </w:r>
    </w:p>
    <w:p w:rsidR="008937A9" w:rsidRDefault="008937A9" w:rsidP="00C07487">
      <w:pPr>
        <w:spacing w:line="360" w:lineRule="auto"/>
      </w:pPr>
    </w:p>
    <w:p w:rsidR="008937A9" w:rsidRDefault="008937A9" w:rsidP="00C07487">
      <w:pPr>
        <w:spacing w:line="360" w:lineRule="auto"/>
      </w:pPr>
      <w:r>
        <w:tab/>
        <w:t>The transcript turnaround time is three (3) days.</w:t>
      </w:r>
    </w:p>
    <w:p w:rsidR="004C284D" w:rsidRDefault="004C284D" w:rsidP="00C07487">
      <w:pPr>
        <w:spacing w:line="360" w:lineRule="auto"/>
      </w:pPr>
    </w:p>
    <w:p w:rsidR="004C284D" w:rsidRDefault="004C284D" w:rsidP="00C07487">
      <w:pPr>
        <w:spacing w:line="360" w:lineRule="auto"/>
      </w:pPr>
      <w:r>
        <w:rPr>
          <w:u w:val="single"/>
        </w:rPr>
        <w:t>Protective Order</w:t>
      </w:r>
    </w:p>
    <w:p w:rsidR="004C284D" w:rsidRDefault="004C284D" w:rsidP="00C07487">
      <w:pPr>
        <w:spacing w:line="360" w:lineRule="auto"/>
      </w:pPr>
    </w:p>
    <w:p w:rsidR="004C284D" w:rsidRDefault="004C284D" w:rsidP="00C07487">
      <w:pPr>
        <w:spacing w:line="360" w:lineRule="auto"/>
      </w:pPr>
      <w:r>
        <w:tab/>
        <w:t>At the prehearing conference, OCA offered the parties would agree to a proposed stipulated protective order to cover any confidential information offered into evidence into this case.  I remind the parties that such a proposed order should be submitted to me and entered before the hearings begin on July 21, 2011.</w:t>
      </w:r>
    </w:p>
    <w:p w:rsidR="004350F4" w:rsidRDefault="004350F4" w:rsidP="00C07487">
      <w:pPr>
        <w:spacing w:line="360" w:lineRule="auto"/>
      </w:pPr>
    </w:p>
    <w:p w:rsidR="004350F4" w:rsidRDefault="004350F4" w:rsidP="00C07487">
      <w:pPr>
        <w:spacing w:line="360" w:lineRule="auto"/>
      </w:pPr>
      <w:r>
        <w:rPr>
          <w:u w:val="single"/>
        </w:rPr>
        <w:t>Settlement</w:t>
      </w:r>
    </w:p>
    <w:p w:rsidR="004350F4" w:rsidRDefault="004350F4" w:rsidP="00C07487">
      <w:pPr>
        <w:spacing w:line="360" w:lineRule="auto"/>
      </w:pPr>
    </w:p>
    <w:p w:rsidR="004350F4" w:rsidRPr="004350F4" w:rsidRDefault="004350F4" w:rsidP="00C07487">
      <w:pPr>
        <w:spacing w:line="360" w:lineRule="auto"/>
      </w:pPr>
      <w:r>
        <w:tab/>
        <w:t xml:space="preserve">The parties are encouraged to commence settlement discussions and are reminded that if a settlement is reached, they should file a joint petition for settlement as well as individual party’s statements in support of the settlement petition.  Additionally, it may be necessary to enter written testimony and other evidence into the record with a </w:t>
      </w:r>
      <w:r>
        <w:lastRenderedPageBreak/>
        <w:t>settlement petition, in order to provide the presiding officer with enough evidence to support findings that the proposed settlement is in the public’s interest and that any proposed rate increase is reasonable and just.  Any settlement petitions are to be filed in hard copy as well as in a CD in searchable PDF format.  In addition, any settlement petitions are to be delivered to me in hard copy as well as electronically in Word format.</w:t>
      </w:r>
    </w:p>
    <w:p w:rsidR="006D33B5" w:rsidRPr="005E5B28" w:rsidRDefault="006D33B5">
      <w:pPr>
        <w:spacing w:line="360" w:lineRule="auto"/>
        <w:jc w:val="center"/>
        <w:rPr>
          <w:bCs/>
          <w:u w:val="single"/>
        </w:rPr>
      </w:pPr>
    </w:p>
    <w:p w:rsidR="006D33B5" w:rsidRPr="005E5B28" w:rsidRDefault="006D33B5">
      <w:pPr>
        <w:spacing w:line="360" w:lineRule="auto"/>
        <w:ind w:firstLine="1440"/>
        <w:rPr>
          <w:u w:val="single"/>
        </w:rPr>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E6582F" w:rsidRDefault="006D33B5" w:rsidP="00E6582F">
      <w:pPr>
        <w:spacing w:line="360" w:lineRule="auto"/>
        <w:ind w:firstLine="1440"/>
        <w:rPr>
          <w:bCs/>
        </w:rPr>
      </w:pPr>
      <w:r w:rsidRPr="005E5B28">
        <w:rPr>
          <w:bCs/>
        </w:rPr>
        <w:t>IT IS ORDERED:</w:t>
      </w:r>
    </w:p>
    <w:p w:rsidR="00E6582F" w:rsidRDefault="00E6582F" w:rsidP="00E6582F">
      <w:pPr>
        <w:spacing w:line="360" w:lineRule="auto"/>
        <w:ind w:firstLine="1440"/>
        <w:rPr>
          <w:bCs/>
        </w:rPr>
      </w:pPr>
    </w:p>
    <w:p w:rsidR="00E6582F" w:rsidRDefault="00E6582F" w:rsidP="00E6582F">
      <w:pPr>
        <w:spacing w:line="360" w:lineRule="auto"/>
        <w:ind w:firstLine="1440"/>
        <w:rPr>
          <w:bCs/>
        </w:rPr>
      </w:pPr>
      <w:r>
        <w:rPr>
          <w:bCs/>
        </w:rPr>
        <w:t>1.</w:t>
      </w:r>
      <w:r>
        <w:rPr>
          <w:bCs/>
        </w:rPr>
        <w:tab/>
      </w:r>
      <w:r>
        <w:t>That the Complaint of the OCA at Docket No. C-2011-2230952 is hereby consolidated with Docket No. R-2011-2230259.</w:t>
      </w:r>
    </w:p>
    <w:p w:rsidR="00E6582F" w:rsidRDefault="00E6582F" w:rsidP="00E6582F">
      <w:pPr>
        <w:spacing w:line="360" w:lineRule="auto"/>
        <w:ind w:firstLine="1440"/>
        <w:rPr>
          <w:bCs/>
        </w:rPr>
      </w:pPr>
    </w:p>
    <w:p w:rsidR="00F37082" w:rsidRDefault="00E6582F" w:rsidP="00E6582F">
      <w:pPr>
        <w:spacing w:line="360" w:lineRule="auto"/>
        <w:ind w:firstLine="1440"/>
      </w:pPr>
      <w:r>
        <w:t>2.</w:t>
      </w:r>
      <w:r>
        <w:tab/>
      </w:r>
      <w:r w:rsidR="001E755C" w:rsidRPr="00302AF6">
        <w:t xml:space="preserve">That </w:t>
      </w:r>
      <w:r w:rsidR="00883E39">
        <w:t xml:space="preserve">the </w:t>
      </w:r>
      <w:r>
        <w:t xml:space="preserve">procedural </w:t>
      </w:r>
      <w:r w:rsidR="00F37082">
        <w:t>schedule and other matters set forth herein are adopted for this proceeding.</w:t>
      </w:r>
    </w:p>
    <w:p w:rsidR="00883E39" w:rsidRDefault="00883E39"/>
    <w:p w:rsidR="003038D5" w:rsidRDefault="00CA2622" w:rsidP="00CA2622">
      <w:pPr>
        <w:spacing w:line="360" w:lineRule="auto"/>
      </w:pPr>
      <w:r>
        <w:tab/>
      </w:r>
      <w:r>
        <w:tab/>
        <w:t>3.</w:t>
      </w:r>
      <w:r w:rsidRPr="00CA2622">
        <w:rPr>
          <w:spacing w:val="-3"/>
        </w:rPr>
        <w:t xml:space="preserve"> </w:t>
      </w:r>
      <w:r>
        <w:rPr>
          <w:spacing w:val="-3"/>
        </w:rPr>
        <w:tab/>
      </w:r>
      <w:r w:rsidRPr="009F7F92">
        <w:rPr>
          <w:spacing w:val="-3"/>
        </w:rPr>
        <w:t>That, except for good cause, any requests for a change in the scheduled hearing dates</w:t>
      </w:r>
      <w:r>
        <w:rPr>
          <w:spacing w:val="-3"/>
        </w:rPr>
        <w:t>,</w:t>
      </w:r>
      <w:r w:rsidRPr="009F7F92">
        <w:rPr>
          <w:spacing w:val="-3"/>
        </w:rPr>
        <w:t xml:space="preserve"> briefing deadlines</w:t>
      </w:r>
      <w:r>
        <w:rPr>
          <w:spacing w:val="-3"/>
        </w:rPr>
        <w:t>, or other deadlines</w:t>
      </w:r>
      <w:r w:rsidRPr="009F7F92">
        <w:rPr>
          <w:spacing w:val="-3"/>
        </w:rPr>
        <w:t xml:space="preserve"> must be submitted to me in writing no later than five (5) days prior to the scheduled date</w:t>
      </w:r>
      <w:r>
        <w:rPr>
          <w:spacing w:val="-3"/>
        </w:rPr>
        <w:t>, if possible</w:t>
      </w:r>
      <w:r w:rsidRPr="009F7F92">
        <w:rPr>
          <w:spacing w:val="-3"/>
        </w:rPr>
        <w:t>.  52 Pa. Code §1.15(b).  Requests for changes must state the agreement or opposition of other parties, and must be sent to me and all parties of record.</w:t>
      </w:r>
      <w:r>
        <w:tab/>
      </w:r>
    </w:p>
    <w:p w:rsidR="003038D5" w:rsidRDefault="003038D5"/>
    <w:p w:rsidR="003038D5" w:rsidRDefault="003038D5"/>
    <w:p w:rsidR="006D33B5" w:rsidRPr="00774975" w:rsidRDefault="006D33B5">
      <w:pPr>
        <w:rPr>
          <w:u w:val="single"/>
        </w:rPr>
      </w:pPr>
      <w:r w:rsidRPr="00E22703">
        <w:t xml:space="preserve">Date: </w:t>
      </w:r>
      <w:r w:rsidR="00F37082">
        <w:rPr>
          <w:u w:val="single"/>
        </w:rPr>
        <w:t xml:space="preserve">June 17, </w:t>
      </w:r>
      <w:r w:rsidR="00526B7E">
        <w:rPr>
          <w:u w:val="single"/>
        </w:rPr>
        <w:t>2011</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0056328E">
        <w:t>Elizabeth H. Barnes</w:t>
      </w:r>
    </w:p>
    <w:p w:rsidR="00C94AA8" w:rsidRDefault="006D33B5">
      <w:pPr>
        <w:sectPr w:rsidR="00C94AA8" w:rsidSect="00713D64">
          <w:footerReference w:type="default" r:id="rId8"/>
          <w:pgSz w:w="12240" w:h="15840"/>
          <w:pgMar w:top="1440" w:right="1800" w:bottom="1440" w:left="1800" w:header="720" w:footer="720" w:gutter="0"/>
          <w:cols w:space="720"/>
          <w:titlePg/>
        </w:sectPr>
      </w:pPr>
      <w:r w:rsidRPr="00E22703">
        <w:tab/>
      </w:r>
      <w:r w:rsidRPr="00E22703">
        <w:tab/>
      </w:r>
      <w:r w:rsidRPr="00E22703">
        <w:tab/>
      </w:r>
      <w:r w:rsidRPr="00E22703">
        <w:tab/>
        <w:t>Administrative Law Judge</w:t>
      </w:r>
    </w:p>
    <w:p w:rsidR="00C94AA8" w:rsidRDefault="00C94AA8" w:rsidP="00C94AA8">
      <w:pPr>
        <w:rPr>
          <w:rFonts w:ascii="Microsoft Sans Serif"/>
        </w:rPr>
      </w:pPr>
      <w:r>
        <w:rPr>
          <w:rFonts w:ascii="Microsoft Sans Serif"/>
          <w:b/>
          <w:u w:val="single"/>
        </w:rPr>
        <w:lastRenderedPageBreak/>
        <w:t>R-2011-2230259 - PA PUBLIC UTILITY COMMISSION v. THE NEWTOWN ARTESIAN WATER COMPANY</w:t>
      </w:r>
      <w:r>
        <w:rPr>
          <w:rFonts w:ascii="Microsoft Sans Serif"/>
          <w:b/>
          <w:u w:val="single"/>
        </w:rPr>
        <w:cr/>
      </w:r>
      <w:r>
        <w:rPr>
          <w:rFonts w:ascii="Microsoft Sans Serif"/>
          <w:b/>
          <w:u w:val="single"/>
        </w:rPr>
        <w:cr/>
      </w:r>
      <w:r>
        <w:rPr>
          <w:rFonts w:ascii="Microsoft Sans Serif"/>
        </w:rPr>
        <w:t>ADEOLU A BAKARE ESQUIRE</w:t>
      </w:r>
      <w:r>
        <w:rPr>
          <w:rFonts w:ascii="Microsoft Sans Serif"/>
        </w:rPr>
        <w:cr/>
        <w:t>PA PUC OFFICE OF TRIAL STAFF</w:t>
      </w:r>
      <w:r>
        <w:rPr>
          <w:rFonts w:ascii="Microsoft Sans Serif"/>
        </w:rPr>
        <w:cr/>
        <w:t>PO BOX 3265</w:t>
      </w:r>
      <w:r>
        <w:rPr>
          <w:rFonts w:ascii="Microsoft Sans Serif"/>
        </w:rPr>
        <w:cr/>
        <w:t>HARRISBURG PA  17105-3265</w:t>
      </w:r>
      <w:r>
        <w:rPr>
          <w:rFonts w:ascii="Microsoft Sans Serif"/>
        </w:rPr>
        <w:cr/>
        <w:t>717-783-6170</w:t>
      </w:r>
      <w:r>
        <w:rPr>
          <w:rFonts w:ascii="Microsoft Sans Serif"/>
        </w:rPr>
        <w:cr/>
      </w:r>
      <w:r>
        <w:rPr>
          <w:rFonts w:ascii="Microsoft Sans Serif"/>
        </w:rPr>
        <w:cr/>
        <w:t>DIANNE E DUSMAN ATTORNEY</w:t>
      </w:r>
      <w:r>
        <w:rPr>
          <w:rFonts w:ascii="Microsoft Sans Serif"/>
        </w:rPr>
        <w:cr/>
        <w:t>PA OFFICE OF CONSUMER ADVOCATE</w:t>
      </w:r>
      <w:r>
        <w:rPr>
          <w:rFonts w:ascii="Microsoft Sans Serif"/>
        </w:rPr>
        <w:cr/>
        <w:t xml:space="preserve">555 WALNUT STREET 5TH </w:t>
      </w:r>
      <w:proofErr w:type="gramStart"/>
      <w:r>
        <w:rPr>
          <w:rFonts w:ascii="Microsoft Sans Serif"/>
        </w:rPr>
        <w:t>FLOOR</w:t>
      </w:r>
      <w:proofErr w:type="gramEnd"/>
      <w:r>
        <w:rPr>
          <w:rFonts w:ascii="Microsoft Sans Serif"/>
        </w:rPr>
        <w:cr/>
        <w:t>FORUM PLACE</w:t>
      </w:r>
      <w:r>
        <w:rPr>
          <w:rFonts w:ascii="Microsoft Sans Serif"/>
        </w:rPr>
        <w:cr/>
        <w:t>HARRISBURG PA  17101</w:t>
      </w:r>
      <w:r>
        <w:rPr>
          <w:rFonts w:ascii="Microsoft Sans Serif"/>
        </w:rPr>
        <w:cr/>
        <w:t>717-783-5048</w:t>
      </w:r>
      <w:r>
        <w:rPr>
          <w:rFonts w:ascii="Microsoft Sans Serif"/>
        </w:rPr>
        <w:cr/>
      </w:r>
      <w:r>
        <w:rPr>
          <w:rFonts w:ascii="Microsoft Sans Serif"/>
        </w:rPr>
        <w:cr/>
        <w:t>SHAUN SPARKS ATTORNEY</w:t>
      </w:r>
      <w:r>
        <w:rPr>
          <w:rFonts w:ascii="Microsoft Sans Serif"/>
        </w:rPr>
        <w:cr/>
        <w:t>PA OFFICE OF CONSUMER ADVOCATE</w:t>
      </w:r>
      <w:r>
        <w:rPr>
          <w:rFonts w:ascii="Microsoft Sans Serif"/>
        </w:rPr>
        <w:cr/>
        <w:t>5TH FLOOR FORUM PLACE</w:t>
      </w:r>
      <w:r>
        <w:rPr>
          <w:rFonts w:ascii="Microsoft Sans Serif"/>
        </w:rPr>
        <w:cr/>
        <w:t>555 WALNUT STREET</w:t>
      </w:r>
      <w:r>
        <w:rPr>
          <w:rFonts w:ascii="Microsoft Sans Serif"/>
        </w:rPr>
        <w:cr/>
        <w:t>HARRISBURG PA  17101</w:t>
      </w:r>
      <w:r>
        <w:rPr>
          <w:rFonts w:ascii="Microsoft Sans Serif"/>
        </w:rPr>
        <w:cr/>
        <w:t>717-783-5048</w:t>
      </w:r>
      <w:r>
        <w:rPr>
          <w:rFonts w:ascii="Microsoft Sans Serif"/>
        </w:rPr>
        <w:cr/>
      </w:r>
      <w:r>
        <w:rPr>
          <w:rFonts w:ascii="Microsoft Sans Serif"/>
        </w:rPr>
        <w:cr/>
        <w:t>THOMAS T NIESEN ESQUIRE</w:t>
      </w:r>
      <w:r>
        <w:rPr>
          <w:rFonts w:ascii="Microsoft Sans Serif"/>
        </w:rPr>
        <w:cr/>
        <w:t>THOMAS LONG NIESEN &amp; KENNARD</w:t>
      </w:r>
      <w:r>
        <w:rPr>
          <w:rFonts w:ascii="Microsoft Sans Serif"/>
        </w:rPr>
        <w:cr/>
        <w:t>PO BOX 9500</w:t>
      </w:r>
      <w:r>
        <w:rPr>
          <w:rFonts w:ascii="Microsoft Sans Serif"/>
        </w:rPr>
        <w:cr/>
        <w:t>HARRISBURG PA  17108-9500</w:t>
      </w:r>
      <w:r>
        <w:rPr>
          <w:rFonts w:ascii="Microsoft Sans Serif"/>
        </w:rPr>
        <w:cr/>
        <w:t>7172557600</w:t>
      </w:r>
      <w:r>
        <w:rPr>
          <w:rFonts w:ascii="Microsoft Sans Serif"/>
        </w:rPr>
        <w:cr/>
      </w:r>
    </w:p>
    <w:p w:rsidR="00C94AA8" w:rsidRDefault="00C94AA8" w:rsidP="00C94AA8">
      <w:pPr>
        <w:rPr>
          <w:rFonts w:ascii="Microsoft Sans Serif"/>
        </w:rPr>
      </w:pPr>
      <w:r>
        <w:rPr>
          <w:rFonts w:ascii="Microsoft Sans Serif"/>
        </w:rPr>
        <w:t>BRENDEN e. BRETT</w:t>
      </w:r>
    </w:p>
    <w:p w:rsidR="00C94AA8" w:rsidRDefault="00C94AA8" w:rsidP="00C94AA8">
      <w:pPr>
        <w:rPr>
          <w:rFonts w:ascii="Microsoft Sans Serif"/>
        </w:rPr>
      </w:pPr>
      <w:proofErr w:type="gramStart"/>
      <w:r>
        <w:rPr>
          <w:rFonts w:ascii="Microsoft Sans Serif"/>
        </w:rPr>
        <w:t>PRATT, Brett &amp; LUCE, P.C.</w:t>
      </w:r>
      <w:proofErr w:type="gramEnd"/>
    </w:p>
    <w:p w:rsidR="00C94AA8" w:rsidRDefault="00C94AA8" w:rsidP="00C94AA8">
      <w:pPr>
        <w:rPr>
          <w:rFonts w:ascii="Microsoft Sans Serif"/>
        </w:rPr>
      </w:pPr>
      <w:r>
        <w:rPr>
          <w:rFonts w:ascii="Microsoft Sans Serif"/>
        </w:rPr>
        <w:t>68 EAST COURT ST</w:t>
      </w:r>
    </w:p>
    <w:p w:rsidR="00C94AA8" w:rsidRDefault="00C94AA8" w:rsidP="00C94AA8">
      <w:pPr>
        <w:rPr>
          <w:rFonts w:ascii="Microsoft Sans Serif"/>
        </w:rPr>
      </w:pPr>
      <w:r>
        <w:rPr>
          <w:rFonts w:ascii="Microsoft Sans Serif"/>
        </w:rPr>
        <w:t>PO BOX 659</w:t>
      </w:r>
    </w:p>
    <w:p w:rsidR="00C94AA8" w:rsidRDefault="00C94AA8" w:rsidP="00C94AA8">
      <w:pPr>
        <w:rPr>
          <w:rFonts w:ascii="Microsoft Sans Serif"/>
        </w:rPr>
      </w:pPr>
      <w:r>
        <w:rPr>
          <w:rFonts w:ascii="Microsoft Sans Serif"/>
        </w:rPr>
        <w:t>DOYLESTOWN PA 18901</w:t>
      </w:r>
    </w:p>
    <w:p w:rsidR="00C94AA8" w:rsidRDefault="00C94AA8" w:rsidP="00C94AA8">
      <w:pPr>
        <w:rPr>
          <w:rFonts w:ascii="Microsoft Sans Serif"/>
        </w:rPr>
      </w:pPr>
    </w:p>
    <w:p w:rsidR="00C94AA8" w:rsidRPr="002D7944" w:rsidRDefault="00C94AA8" w:rsidP="00C94AA8">
      <w:pPr>
        <w:rPr>
          <w:rFonts w:ascii="Microsoft Sans Serif"/>
        </w:rPr>
      </w:pPr>
    </w:p>
    <w:p w:rsidR="00C94AA8" w:rsidRDefault="00C94AA8" w:rsidP="00C94AA8"/>
    <w:p w:rsidR="006D33B5" w:rsidRPr="00E22703" w:rsidRDefault="006D33B5">
      <w:pPr>
        <w:rPr>
          <w:u w:val="single"/>
        </w:rPr>
      </w:pPr>
    </w:p>
    <w:sectPr w:rsidR="006D33B5" w:rsidRPr="00E22703" w:rsidSect="00D50A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E35" w:rsidRDefault="00B32E35">
      <w:r>
        <w:separator/>
      </w:r>
    </w:p>
  </w:endnote>
  <w:endnote w:type="continuationSeparator" w:id="0">
    <w:p w:rsidR="00B32E35" w:rsidRDefault="00B32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B5" w:rsidRPr="003C02CC" w:rsidRDefault="001A2F2E">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C94AA8">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E35" w:rsidRDefault="00B32E35">
      <w:r>
        <w:separator/>
      </w:r>
    </w:p>
  </w:footnote>
  <w:footnote w:type="continuationSeparator" w:id="0">
    <w:p w:rsidR="00B32E35" w:rsidRDefault="00B32E35">
      <w:r>
        <w:continuationSeparator/>
      </w:r>
    </w:p>
  </w:footnote>
  <w:footnote w:id="1">
    <w:p w:rsidR="00D22072" w:rsidRDefault="00D22072" w:rsidP="00D22072">
      <w:pPr>
        <w:pStyle w:val="FootnoteText"/>
      </w:pPr>
      <w:r>
        <w:tab/>
      </w:r>
      <w:r>
        <w:rPr>
          <w:rStyle w:val="FootnoteReference"/>
        </w:rPr>
        <w:footnoteRef/>
      </w:r>
      <w:r>
        <w:tab/>
        <w:t xml:space="preserve"> </w:t>
      </w:r>
      <w:r>
        <w:rPr>
          <w:spacing w:val="-3"/>
        </w:rPr>
        <w:t>There is no longer any procedural requirement that the ALJ be served with objections to interrogatories.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A543D6"/>
    <w:rsid w:val="00002E79"/>
    <w:rsid w:val="00003135"/>
    <w:rsid w:val="00005247"/>
    <w:rsid w:val="000065C6"/>
    <w:rsid w:val="00011478"/>
    <w:rsid w:val="000253F8"/>
    <w:rsid w:val="00031CED"/>
    <w:rsid w:val="00037E8B"/>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100249"/>
    <w:rsid w:val="001011A4"/>
    <w:rsid w:val="00104073"/>
    <w:rsid w:val="00104D08"/>
    <w:rsid w:val="001066C1"/>
    <w:rsid w:val="001126D1"/>
    <w:rsid w:val="00113C98"/>
    <w:rsid w:val="001143EE"/>
    <w:rsid w:val="00116479"/>
    <w:rsid w:val="00116C62"/>
    <w:rsid w:val="00122A9C"/>
    <w:rsid w:val="001270B6"/>
    <w:rsid w:val="00132928"/>
    <w:rsid w:val="0013770C"/>
    <w:rsid w:val="00142EE0"/>
    <w:rsid w:val="001441F9"/>
    <w:rsid w:val="00153529"/>
    <w:rsid w:val="001547B2"/>
    <w:rsid w:val="001714A2"/>
    <w:rsid w:val="00181BAB"/>
    <w:rsid w:val="00182ECA"/>
    <w:rsid w:val="001842F2"/>
    <w:rsid w:val="00187495"/>
    <w:rsid w:val="001900E6"/>
    <w:rsid w:val="00190843"/>
    <w:rsid w:val="0019509B"/>
    <w:rsid w:val="001A1495"/>
    <w:rsid w:val="001A2F2E"/>
    <w:rsid w:val="001B125F"/>
    <w:rsid w:val="001C1D18"/>
    <w:rsid w:val="001C23B6"/>
    <w:rsid w:val="001C7376"/>
    <w:rsid w:val="001C7DC7"/>
    <w:rsid w:val="001D0606"/>
    <w:rsid w:val="001D36BC"/>
    <w:rsid w:val="001D48D9"/>
    <w:rsid w:val="001E0583"/>
    <w:rsid w:val="001E1EE6"/>
    <w:rsid w:val="001E41F1"/>
    <w:rsid w:val="001E755C"/>
    <w:rsid w:val="001F3D60"/>
    <w:rsid w:val="001F5686"/>
    <w:rsid w:val="001F59C0"/>
    <w:rsid w:val="002026C5"/>
    <w:rsid w:val="002069A1"/>
    <w:rsid w:val="00212459"/>
    <w:rsid w:val="0022121D"/>
    <w:rsid w:val="00224765"/>
    <w:rsid w:val="00226CA1"/>
    <w:rsid w:val="00252F51"/>
    <w:rsid w:val="0025436A"/>
    <w:rsid w:val="0026329B"/>
    <w:rsid w:val="00266583"/>
    <w:rsid w:val="0027269F"/>
    <w:rsid w:val="00276158"/>
    <w:rsid w:val="002825EF"/>
    <w:rsid w:val="002860B7"/>
    <w:rsid w:val="002967E5"/>
    <w:rsid w:val="002A5F3B"/>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038EF"/>
    <w:rsid w:val="00312F22"/>
    <w:rsid w:val="003234C9"/>
    <w:rsid w:val="00337DC7"/>
    <w:rsid w:val="0036322E"/>
    <w:rsid w:val="00366708"/>
    <w:rsid w:val="00367E2E"/>
    <w:rsid w:val="00371B8B"/>
    <w:rsid w:val="00374FE0"/>
    <w:rsid w:val="0037679C"/>
    <w:rsid w:val="003828F7"/>
    <w:rsid w:val="0039023D"/>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5EAE"/>
    <w:rsid w:val="004327EC"/>
    <w:rsid w:val="004350F4"/>
    <w:rsid w:val="0044078D"/>
    <w:rsid w:val="00446AEA"/>
    <w:rsid w:val="004509B5"/>
    <w:rsid w:val="004677A9"/>
    <w:rsid w:val="0046782D"/>
    <w:rsid w:val="0048022D"/>
    <w:rsid w:val="00484CA9"/>
    <w:rsid w:val="00487C67"/>
    <w:rsid w:val="00491200"/>
    <w:rsid w:val="004A6217"/>
    <w:rsid w:val="004B12AD"/>
    <w:rsid w:val="004C19EA"/>
    <w:rsid w:val="004C284D"/>
    <w:rsid w:val="004C5959"/>
    <w:rsid w:val="004D5EDA"/>
    <w:rsid w:val="004F0FF9"/>
    <w:rsid w:val="0050525A"/>
    <w:rsid w:val="00506ED2"/>
    <w:rsid w:val="0051332A"/>
    <w:rsid w:val="005173E3"/>
    <w:rsid w:val="0052063B"/>
    <w:rsid w:val="00526B7E"/>
    <w:rsid w:val="00531C6A"/>
    <w:rsid w:val="0053542E"/>
    <w:rsid w:val="00535728"/>
    <w:rsid w:val="00535B47"/>
    <w:rsid w:val="00541FA5"/>
    <w:rsid w:val="00555AB2"/>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097E"/>
    <w:rsid w:val="005E5B28"/>
    <w:rsid w:val="005F179B"/>
    <w:rsid w:val="005F1FD3"/>
    <w:rsid w:val="005F2817"/>
    <w:rsid w:val="005F3E44"/>
    <w:rsid w:val="006031D8"/>
    <w:rsid w:val="006044E1"/>
    <w:rsid w:val="0060777D"/>
    <w:rsid w:val="006151E8"/>
    <w:rsid w:val="00617F66"/>
    <w:rsid w:val="00626332"/>
    <w:rsid w:val="00634D85"/>
    <w:rsid w:val="00643063"/>
    <w:rsid w:val="0064719F"/>
    <w:rsid w:val="00657239"/>
    <w:rsid w:val="00661F7B"/>
    <w:rsid w:val="00670EBA"/>
    <w:rsid w:val="006763F3"/>
    <w:rsid w:val="006803CC"/>
    <w:rsid w:val="006816B8"/>
    <w:rsid w:val="00684075"/>
    <w:rsid w:val="00694651"/>
    <w:rsid w:val="0069608E"/>
    <w:rsid w:val="006A7A0E"/>
    <w:rsid w:val="006C2C4C"/>
    <w:rsid w:val="006C393A"/>
    <w:rsid w:val="006C5A4D"/>
    <w:rsid w:val="006D33B5"/>
    <w:rsid w:val="006D48B8"/>
    <w:rsid w:val="006D5523"/>
    <w:rsid w:val="006E6FAE"/>
    <w:rsid w:val="006F1BFA"/>
    <w:rsid w:val="006F3A0C"/>
    <w:rsid w:val="006F74A6"/>
    <w:rsid w:val="006F77FC"/>
    <w:rsid w:val="006F7FCB"/>
    <w:rsid w:val="00702A13"/>
    <w:rsid w:val="007138CC"/>
    <w:rsid w:val="00713D64"/>
    <w:rsid w:val="00714476"/>
    <w:rsid w:val="007203E5"/>
    <w:rsid w:val="00724ABE"/>
    <w:rsid w:val="00735291"/>
    <w:rsid w:val="0074212A"/>
    <w:rsid w:val="0074441A"/>
    <w:rsid w:val="00746EC7"/>
    <w:rsid w:val="00752614"/>
    <w:rsid w:val="00761AAA"/>
    <w:rsid w:val="00763DA0"/>
    <w:rsid w:val="00771201"/>
    <w:rsid w:val="00774975"/>
    <w:rsid w:val="00783F05"/>
    <w:rsid w:val="00784AE9"/>
    <w:rsid w:val="007876C7"/>
    <w:rsid w:val="007945B3"/>
    <w:rsid w:val="007953CC"/>
    <w:rsid w:val="007B135C"/>
    <w:rsid w:val="007B19DA"/>
    <w:rsid w:val="007B76C4"/>
    <w:rsid w:val="007C6559"/>
    <w:rsid w:val="007F24B0"/>
    <w:rsid w:val="007F6F2B"/>
    <w:rsid w:val="007F7EA4"/>
    <w:rsid w:val="00801014"/>
    <w:rsid w:val="008027C4"/>
    <w:rsid w:val="00802923"/>
    <w:rsid w:val="00817C41"/>
    <w:rsid w:val="00820EA8"/>
    <w:rsid w:val="00830CF6"/>
    <w:rsid w:val="008413F8"/>
    <w:rsid w:val="008438CF"/>
    <w:rsid w:val="00845A5B"/>
    <w:rsid w:val="00854EC8"/>
    <w:rsid w:val="008733C7"/>
    <w:rsid w:val="0088262B"/>
    <w:rsid w:val="00883E39"/>
    <w:rsid w:val="00886427"/>
    <w:rsid w:val="008921ED"/>
    <w:rsid w:val="008937A9"/>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21C65"/>
    <w:rsid w:val="00A30723"/>
    <w:rsid w:val="00A4123B"/>
    <w:rsid w:val="00A43247"/>
    <w:rsid w:val="00A442D1"/>
    <w:rsid w:val="00A452AA"/>
    <w:rsid w:val="00A4600A"/>
    <w:rsid w:val="00A543D6"/>
    <w:rsid w:val="00A62BBE"/>
    <w:rsid w:val="00A76336"/>
    <w:rsid w:val="00A76480"/>
    <w:rsid w:val="00A83972"/>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0212"/>
    <w:rsid w:val="00B22385"/>
    <w:rsid w:val="00B32E35"/>
    <w:rsid w:val="00B34D51"/>
    <w:rsid w:val="00B42052"/>
    <w:rsid w:val="00B42143"/>
    <w:rsid w:val="00B4231E"/>
    <w:rsid w:val="00B428B5"/>
    <w:rsid w:val="00B44A3E"/>
    <w:rsid w:val="00B606E5"/>
    <w:rsid w:val="00B6233D"/>
    <w:rsid w:val="00B715DC"/>
    <w:rsid w:val="00B7459D"/>
    <w:rsid w:val="00B83324"/>
    <w:rsid w:val="00B85A59"/>
    <w:rsid w:val="00B87D27"/>
    <w:rsid w:val="00B87F4C"/>
    <w:rsid w:val="00B905A3"/>
    <w:rsid w:val="00B97AB5"/>
    <w:rsid w:val="00BA0600"/>
    <w:rsid w:val="00BA19C5"/>
    <w:rsid w:val="00BA5156"/>
    <w:rsid w:val="00BB0A31"/>
    <w:rsid w:val="00BB229F"/>
    <w:rsid w:val="00BB5DF1"/>
    <w:rsid w:val="00BC689D"/>
    <w:rsid w:val="00BD2783"/>
    <w:rsid w:val="00BE0854"/>
    <w:rsid w:val="00BE1ED2"/>
    <w:rsid w:val="00BF341D"/>
    <w:rsid w:val="00BF3473"/>
    <w:rsid w:val="00BF718F"/>
    <w:rsid w:val="00C0065E"/>
    <w:rsid w:val="00C07487"/>
    <w:rsid w:val="00C16397"/>
    <w:rsid w:val="00C201CA"/>
    <w:rsid w:val="00C241A1"/>
    <w:rsid w:val="00C27500"/>
    <w:rsid w:val="00C27ADF"/>
    <w:rsid w:val="00C306E8"/>
    <w:rsid w:val="00C35956"/>
    <w:rsid w:val="00C407D6"/>
    <w:rsid w:val="00C60A73"/>
    <w:rsid w:val="00C6203D"/>
    <w:rsid w:val="00C67551"/>
    <w:rsid w:val="00C72120"/>
    <w:rsid w:val="00C77DA0"/>
    <w:rsid w:val="00C90325"/>
    <w:rsid w:val="00C94AA8"/>
    <w:rsid w:val="00CA2622"/>
    <w:rsid w:val="00CA3396"/>
    <w:rsid w:val="00CA73E2"/>
    <w:rsid w:val="00CB18E0"/>
    <w:rsid w:val="00CB4DB1"/>
    <w:rsid w:val="00CC3542"/>
    <w:rsid w:val="00CD5609"/>
    <w:rsid w:val="00CD68CE"/>
    <w:rsid w:val="00CE20E9"/>
    <w:rsid w:val="00CE3773"/>
    <w:rsid w:val="00CE6FC5"/>
    <w:rsid w:val="00CE701C"/>
    <w:rsid w:val="00CF0E33"/>
    <w:rsid w:val="00CF4490"/>
    <w:rsid w:val="00CF5A8F"/>
    <w:rsid w:val="00CF74B7"/>
    <w:rsid w:val="00D00379"/>
    <w:rsid w:val="00D071C5"/>
    <w:rsid w:val="00D10467"/>
    <w:rsid w:val="00D10652"/>
    <w:rsid w:val="00D13DB2"/>
    <w:rsid w:val="00D209B6"/>
    <w:rsid w:val="00D22072"/>
    <w:rsid w:val="00D2255F"/>
    <w:rsid w:val="00D24620"/>
    <w:rsid w:val="00D3123C"/>
    <w:rsid w:val="00D317F3"/>
    <w:rsid w:val="00D44B05"/>
    <w:rsid w:val="00D44C68"/>
    <w:rsid w:val="00D51B5E"/>
    <w:rsid w:val="00D557D5"/>
    <w:rsid w:val="00D64F50"/>
    <w:rsid w:val="00D73519"/>
    <w:rsid w:val="00D73E83"/>
    <w:rsid w:val="00D80A3E"/>
    <w:rsid w:val="00D84B3D"/>
    <w:rsid w:val="00D92151"/>
    <w:rsid w:val="00DA0323"/>
    <w:rsid w:val="00DA3FF9"/>
    <w:rsid w:val="00DB13BD"/>
    <w:rsid w:val="00DB1971"/>
    <w:rsid w:val="00DB5A51"/>
    <w:rsid w:val="00DC451E"/>
    <w:rsid w:val="00DC5FA1"/>
    <w:rsid w:val="00DD0CE4"/>
    <w:rsid w:val="00DE3721"/>
    <w:rsid w:val="00DF448C"/>
    <w:rsid w:val="00E061D8"/>
    <w:rsid w:val="00E07EE4"/>
    <w:rsid w:val="00E14245"/>
    <w:rsid w:val="00E22703"/>
    <w:rsid w:val="00E24228"/>
    <w:rsid w:val="00E27B5F"/>
    <w:rsid w:val="00E445D8"/>
    <w:rsid w:val="00E4692C"/>
    <w:rsid w:val="00E46ACA"/>
    <w:rsid w:val="00E526F5"/>
    <w:rsid w:val="00E54410"/>
    <w:rsid w:val="00E5528B"/>
    <w:rsid w:val="00E5593B"/>
    <w:rsid w:val="00E63F24"/>
    <w:rsid w:val="00E6582F"/>
    <w:rsid w:val="00E70A61"/>
    <w:rsid w:val="00E77251"/>
    <w:rsid w:val="00E817EE"/>
    <w:rsid w:val="00E818B6"/>
    <w:rsid w:val="00E84D9A"/>
    <w:rsid w:val="00E9187B"/>
    <w:rsid w:val="00E92FD0"/>
    <w:rsid w:val="00EB045D"/>
    <w:rsid w:val="00EC1909"/>
    <w:rsid w:val="00EC2835"/>
    <w:rsid w:val="00EC4455"/>
    <w:rsid w:val="00ED4EEA"/>
    <w:rsid w:val="00EF1F46"/>
    <w:rsid w:val="00F00D62"/>
    <w:rsid w:val="00F0305C"/>
    <w:rsid w:val="00F23018"/>
    <w:rsid w:val="00F33096"/>
    <w:rsid w:val="00F37082"/>
    <w:rsid w:val="00F40D25"/>
    <w:rsid w:val="00F5660C"/>
    <w:rsid w:val="00F63836"/>
    <w:rsid w:val="00F76819"/>
    <w:rsid w:val="00F84BD4"/>
    <w:rsid w:val="00F9081A"/>
    <w:rsid w:val="00F90A9D"/>
    <w:rsid w:val="00FA0E84"/>
    <w:rsid w:val="00FA5B52"/>
    <w:rsid w:val="00FA73C3"/>
    <w:rsid w:val="00FA7A69"/>
    <w:rsid w:val="00FD25D2"/>
    <w:rsid w:val="00FD342D"/>
    <w:rsid w:val="00FD4C02"/>
    <w:rsid w:val="00FD795C"/>
    <w:rsid w:val="00FE1C67"/>
    <w:rsid w:val="00FE1CDD"/>
    <w:rsid w:val="00FF2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D0D3-F0DB-490D-BB56-685C5503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subject/>
  <dc:creator>DSA</dc:creator>
  <cp:keywords/>
  <dc:description/>
  <cp:lastModifiedBy>astout</cp:lastModifiedBy>
  <cp:revision>3</cp:revision>
  <cp:lastPrinted>2011-06-17T20:19:00Z</cp:lastPrinted>
  <dcterms:created xsi:type="dcterms:W3CDTF">2011-06-22T12:51:00Z</dcterms:created>
  <dcterms:modified xsi:type="dcterms:W3CDTF">2011-06-22T12:59:00Z</dcterms:modified>
</cp:coreProperties>
</file>