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3B2" w:rsidRPr="0021115D" w:rsidRDefault="00A603B2" w:rsidP="00D038E3">
      <w:pPr>
        <w:tabs>
          <w:tab w:val="center" w:pos="4680"/>
        </w:tabs>
        <w:suppressAutoHyphens/>
        <w:jc w:val="center"/>
        <w:outlineLvl w:val="0"/>
        <w:rPr>
          <w:b/>
          <w:bCs/>
        </w:rPr>
      </w:pPr>
      <w:r w:rsidRPr="0021115D">
        <w:rPr>
          <w:b/>
          <w:bCs/>
        </w:rPr>
        <w:t>BEFORE THE</w:t>
      </w:r>
    </w:p>
    <w:p w:rsidR="00A603B2" w:rsidRPr="0021115D" w:rsidRDefault="00A603B2" w:rsidP="00D038E3">
      <w:pPr>
        <w:tabs>
          <w:tab w:val="left" w:pos="-720"/>
        </w:tabs>
        <w:suppressAutoHyphens/>
        <w:jc w:val="center"/>
        <w:outlineLvl w:val="0"/>
        <w:rPr>
          <w:b/>
          <w:bCs/>
        </w:rPr>
      </w:pPr>
      <w:r w:rsidRPr="0021115D">
        <w:rPr>
          <w:b/>
          <w:bCs/>
        </w:rPr>
        <w:t>PENNSYLVANIA PUBLIC UTILITY COMMISSION</w:t>
      </w:r>
    </w:p>
    <w:p w:rsidR="00086CB1" w:rsidRPr="0021115D" w:rsidRDefault="00086CB1" w:rsidP="0021115D">
      <w:pPr>
        <w:tabs>
          <w:tab w:val="left" w:pos="-720"/>
        </w:tabs>
        <w:suppressAutoHyphens/>
        <w:jc w:val="center"/>
        <w:rPr>
          <w:bCs/>
        </w:rPr>
      </w:pPr>
    </w:p>
    <w:p w:rsidR="00086CB1" w:rsidRPr="0021115D" w:rsidRDefault="00086CB1" w:rsidP="0021115D">
      <w:pPr>
        <w:tabs>
          <w:tab w:val="left" w:pos="-720"/>
        </w:tabs>
        <w:suppressAutoHyphens/>
        <w:jc w:val="center"/>
        <w:rPr>
          <w:bCs/>
        </w:rPr>
      </w:pPr>
    </w:p>
    <w:p w:rsidR="00086CB1" w:rsidRPr="0021115D" w:rsidRDefault="00086CB1" w:rsidP="0021115D">
      <w:pPr>
        <w:tabs>
          <w:tab w:val="left" w:pos="-720"/>
        </w:tabs>
        <w:suppressAutoHyphens/>
        <w:jc w:val="center"/>
        <w:rPr>
          <w:bCs/>
        </w:rPr>
      </w:pPr>
    </w:p>
    <w:p w:rsidR="00A603B2" w:rsidRPr="0021115D" w:rsidRDefault="00834E42" w:rsidP="0021115D">
      <w:pPr>
        <w:tabs>
          <w:tab w:val="left" w:pos="-720"/>
        </w:tabs>
        <w:suppressAutoHyphens/>
      </w:pPr>
      <w:r>
        <w:t>Kadeeia McIver</w:t>
      </w:r>
      <w:r w:rsidR="0071609E" w:rsidRPr="0021115D">
        <w:tab/>
      </w:r>
      <w:r w:rsidR="0071609E" w:rsidRPr="0021115D">
        <w:tab/>
      </w:r>
      <w:r w:rsidR="00CD5C75" w:rsidRPr="0021115D">
        <w:tab/>
      </w:r>
      <w:r w:rsidR="00CD5C75" w:rsidRPr="0021115D">
        <w:tab/>
      </w:r>
      <w:r w:rsidR="00CD5C75" w:rsidRPr="0021115D">
        <w:tab/>
        <w:t>:</w:t>
      </w:r>
    </w:p>
    <w:p w:rsidR="00A603B2" w:rsidRPr="0021115D" w:rsidRDefault="00A603B2" w:rsidP="0021115D">
      <w:pPr>
        <w:tabs>
          <w:tab w:val="left" w:pos="-720"/>
        </w:tabs>
        <w:suppressAutoHyphens/>
      </w:pPr>
      <w:r w:rsidRPr="0021115D">
        <w:tab/>
      </w:r>
      <w:r w:rsidRPr="0021115D">
        <w:tab/>
      </w:r>
      <w:r w:rsidRPr="0021115D">
        <w:tab/>
      </w:r>
      <w:r w:rsidRPr="0021115D">
        <w:tab/>
      </w:r>
      <w:r w:rsidRPr="0021115D">
        <w:tab/>
      </w:r>
      <w:r w:rsidRPr="0021115D">
        <w:tab/>
      </w:r>
      <w:r w:rsidRPr="0021115D">
        <w:tab/>
        <w:t>:</w:t>
      </w:r>
    </w:p>
    <w:p w:rsidR="00A603B2" w:rsidRPr="0021115D" w:rsidRDefault="00A603B2" w:rsidP="0021115D">
      <w:pPr>
        <w:tabs>
          <w:tab w:val="left" w:pos="-720"/>
        </w:tabs>
        <w:suppressAutoHyphens/>
      </w:pPr>
      <w:r w:rsidRPr="0021115D">
        <w:tab/>
        <w:t>v.</w:t>
      </w:r>
      <w:r w:rsidRPr="0021115D">
        <w:tab/>
      </w:r>
      <w:r w:rsidRPr="0021115D">
        <w:tab/>
      </w:r>
      <w:r w:rsidRPr="0021115D">
        <w:tab/>
      </w:r>
      <w:r w:rsidRPr="0021115D">
        <w:tab/>
      </w:r>
      <w:r w:rsidR="00086CB1" w:rsidRPr="0021115D">
        <w:tab/>
      </w:r>
      <w:r w:rsidRPr="0021115D">
        <w:tab/>
        <w:t>:</w:t>
      </w:r>
      <w:r w:rsidR="00086CB1" w:rsidRPr="0021115D">
        <w:tab/>
      </w:r>
      <w:r w:rsidR="00086CB1" w:rsidRPr="0021115D">
        <w:tab/>
      </w:r>
      <w:r w:rsidR="00834E42">
        <w:t>C-2011</w:t>
      </w:r>
      <w:r w:rsidR="00D805AC" w:rsidRPr="0021115D">
        <w:t>-2</w:t>
      </w:r>
      <w:r w:rsidR="00834E42">
        <w:t>241810</w:t>
      </w:r>
    </w:p>
    <w:p w:rsidR="00A603B2" w:rsidRPr="0021115D" w:rsidRDefault="00A603B2" w:rsidP="0021115D">
      <w:pPr>
        <w:tabs>
          <w:tab w:val="left" w:pos="-720"/>
        </w:tabs>
        <w:suppressAutoHyphens/>
      </w:pPr>
      <w:r w:rsidRPr="0021115D">
        <w:tab/>
      </w:r>
      <w:r w:rsidRPr="0021115D">
        <w:tab/>
      </w:r>
      <w:r w:rsidRPr="0021115D">
        <w:tab/>
      </w:r>
      <w:r w:rsidRPr="0021115D">
        <w:tab/>
      </w:r>
      <w:r w:rsidRPr="0021115D">
        <w:tab/>
      </w:r>
      <w:r w:rsidRPr="0021115D">
        <w:tab/>
      </w:r>
      <w:r w:rsidRPr="0021115D">
        <w:tab/>
        <w:t>:</w:t>
      </w:r>
    </w:p>
    <w:p w:rsidR="00A603B2" w:rsidRPr="0021115D" w:rsidRDefault="00F22A7C" w:rsidP="001B43B1">
      <w:pPr>
        <w:tabs>
          <w:tab w:val="left" w:pos="-720"/>
        </w:tabs>
        <w:suppressAutoHyphens/>
      </w:pPr>
      <w:r w:rsidRPr="0021115D">
        <w:t>Philadelphia Gas Works</w:t>
      </w:r>
      <w:r w:rsidRPr="0021115D">
        <w:tab/>
      </w:r>
      <w:r w:rsidRPr="0021115D">
        <w:tab/>
      </w:r>
      <w:r w:rsidRPr="0021115D">
        <w:tab/>
      </w:r>
      <w:r w:rsidR="004D7D58" w:rsidRPr="0021115D">
        <w:tab/>
        <w:t>:</w:t>
      </w:r>
    </w:p>
    <w:p w:rsidR="00086CB1" w:rsidRPr="0021115D" w:rsidRDefault="00086CB1" w:rsidP="001B43B1">
      <w:pPr>
        <w:tabs>
          <w:tab w:val="left" w:pos="-720"/>
        </w:tabs>
        <w:suppressAutoHyphens/>
      </w:pPr>
    </w:p>
    <w:p w:rsidR="00086CB1" w:rsidRPr="0021115D" w:rsidRDefault="00086CB1" w:rsidP="001B43B1">
      <w:pPr>
        <w:tabs>
          <w:tab w:val="left" w:pos="-720"/>
        </w:tabs>
        <w:suppressAutoHyphens/>
      </w:pPr>
    </w:p>
    <w:p w:rsidR="00086CB1" w:rsidRPr="0021115D" w:rsidRDefault="00086CB1" w:rsidP="001B43B1">
      <w:pPr>
        <w:tabs>
          <w:tab w:val="left" w:pos="-720"/>
        </w:tabs>
        <w:suppressAutoHyphens/>
      </w:pPr>
    </w:p>
    <w:p w:rsidR="00A603B2" w:rsidRPr="0021115D" w:rsidRDefault="00993605" w:rsidP="00D038E3">
      <w:pPr>
        <w:tabs>
          <w:tab w:val="center" w:pos="4680"/>
        </w:tabs>
        <w:suppressAutoHyphens/>
        <w:jc w:val="center"/>
        <w:outlineLvl w:val="0"/>
        <w:rPr>
          <w:b/>
          <w:bCs/>
          <w:u w:val="single"/>
        </w:rPr>
      </w:pPr>
      <w:r w:rsidRPr="0021115D">
        <w:rPr>
          <w:b/>
          <w:bCs/>
          <w:u w:val="single"/>
        </w:rPr>
        <w:t xml:space="preserve">INITIAL DECISION SUSTAINING </w:t>
      </w:r>
      <w:r w:rsidR="00526E4A" w:rsidRPr="0021115D">
        <w:rPr>
          <w:b/>
          <w:bCs/>
          <w:u w:val="single"/>
        </w:rPr>
        <w:t>PRELIMINARY OBJECTION</w:t>
      </w:r>
    </w:p>
    <w:p w:rsidR="00993605" w:rsidRPr="0021115D" w:rsidRDefault="00993605" w:rsidP="001B43B1">
      <w:pPr>
        <w:tabs>
          <w:tab w:val="center" w:pos="4680"/>
        </w:tabs>
        <w:suppressAutoHyphens/>
        <w:jc w:val="center"/>
        <w:rPr>
          <w:bCs/>
        </w:rPr>
      </w:pPr>
    </w:p>
    <w:p w:rsidR="00993605" w:rsidRPr="0021115D" w:rsidRDefault="00993605" w:rsidP="001B43B1">
      <w:pPr>
        <w:tabs>
          <w:tab w:val="center" w:pos="4680"/>
        </w:tabs>
        <w:suppressAutoHyphens/>
        <w:jc w:val="center"/>
        <w:rPr>
          <w:bCs/>
        </w:rPr>
      </w:pPr>
    </w:p>
    <w:p w:rsidR="00993605" w:rsidRPr="0021115D" w:rsidRDefault="00993605" w:rsidP="00D038E3">
      <w:pPr>
        <w:tabs>
          <w:tab w:val="center" w:pos="4680"/>
        </w:tabs>
        <w:suppressAutoHyphens/>
        <w:jc w:val="center"/>
        <w:outlineLvl w:val="0"/>
        <w:rPr>
          <w:bCs/>
        </w:rPr>
      </w:pPr>
      <w:r w:rsidRPr="0021115D">
        <w:rPr>
          <w:bCs/>
        </w:rPr>
        <w:t>Before</w:t>
      </w:r>
    </w:p>
    <w:p w:rsidR="00993605" w:rsidRPr="0021115D" w:rsidRDefault="00A25AB9" w:rsidP="0021115D">
      <w:pPr>
        <w:tabs>
          <w:tab w:val="center" w:pos="4680"/>
        </w:tabs>
        <w:suppressAutoHyphens/>
        <w:jc w:val="center"/>
        <w:rPr>
          <w:bCs/>
        </w:rPr>
      </w:pPr>
      <w:r>
        <w:rPr>
          <w:bCs/>
        </w:rPr>
        <w:t>Katrina L. Dunderdale</w:t>
      </w:r>
    </w:p>
    <w:p w:rsidR="00993605" w:rsidRPr="0021115D" w:rsidRDefault="00993605" w:rsidP="0021115D">
      <w:pPr>
        <w:tabs>
          <w:tab w:val="center" w:pos="4680"/>
        </w:tabs>
        <w:suppressAutoHyphens/>
        <w:jc w:val="center"/>
        <w:rPr>
          <w:bCs/>
        </w:rPr>
      </w:pPr>
      <w:r w:rsidRPr="0021115D">
        <w:rPr>
          <w:bCs/>
        </w:rPr>
        <w:t>Administrative Law Judge</w:t>
      </w:r>
    </w:p>
    <w:p w:rsidR="00993605" w:rsidRPr="0021115D" w:rsidRDefault="00993605" w:rsidP="0021115D">
      <w:pPr>
        <w:tabs>
          <w:tab w:val="center" w:pos="4680"/>
        </w:tabs>
        <w:suppressAutoHyphens/>
        <w:jc w:val="center"/>
        <w:rPr>
          <w:bCs/>
        </w:rPr>
      </w:pPr>
    </w:p>
    <w:p w:rsidR="00993605" w:rsidRPr="0021115D" w:rsidRDefault="00993605" w:rsidP="0021115D">
      <w:pPr>
        <w:tabs>
          <w:tab w:val="center" w:pos="4680"/>
        </w:tabs>
        <w:suppressAutoHyphens/>
        <w:jc w:val="center"/>
        <w:rPr>
          <w:bCs/>
        </w:rPr>
      </w:pPr>
    </w:p>
    <w:p w:rsidR="00993605" w:rsidRPr="0021115D" w:rsidRDefault="00993605" w:rsidP="00D038E3">
      <w:pPr>
        <w:tabs>
          <w:tab w:val="center" w:pos="4680"/>
        </w:tabs>
        <w:suppressAutoHyphens/>
        <w:jc w:val="center"/>
        <w:outlineLvl w:val="0"/>
        <w:rPr>
          <w:bCs/>
          <w:u w:val="single"/>
        </w:rPr>
      </w:pPr>
      <w:r w:rsidRPr="0021115D">
        <w:rPr>
          <w:bCs/>
          <w:u w:val="single"/>
        </w:rPr>
        <w:t>HISTORY OF THE PROCEEDING</w:t>
      </w:r>
    </w:p>
    <w:p w:rsidR="00526E4A" w:rsidRPr="0021115D" w:rsidRDefault="00526E4A" w:rsidP="0021115D">
      <w:pPr>
        <w:tabs>
          <w:tab w:val="center" w:pos="4680"/>
        </w:tabs>
        <w:suppressAutoHyphens/>
        <w:ind w:firstLine="1440"/>
        <w:rPr>
          <w:bCs/>
        </w:rPr>
      </w:pPr>
    </w:p>
    <w:p w:rsidR="00526E4A" w:rsidRPr="0021115D" w:rsidRDefault="00526E4A" w:rsidP="0021115D">
      <w:pPr>
        <w:tabs>
          <w:tab w:val="center" w:pos="4680"/>
        </w:tabs>
        <w:suppressAutoHyphens/>
        <w:ind w:firstLine="1440"/>
        <w:rPr>
          <w:bCs/>
        </w:rPr>
      </w:pPr>
    </w:p>
    <w:p w:rsidR="0013269B" w:rsidRPr="0021115D" w:rsidRDefault="00A603B2" w:rsidP="0021115D">
      <w:pPr>
        <w:spacing w:line="360" w:lineRule="auto"/>
        <w:ind w:firstLine="1440"/>
      </w:pPr>
      <w:r w:rsidRPr="0021115D">
        <w:t xml:space="preserve">On </w:t>
      </w:r>
      <w:r w:rsidR="00834E42">
        <w:t>May 9, 2011</w:t>
      </w:r>
      <w:r w:rsidRPr="0021115D">
        <w:t xml:space="preserve">, </w:t>
      </w:r>
      <w:r w:rsidR="00834E42">
        <w:t>Kadeeia McIver</w:t>
      </w:r>
      <w:r w:rsidR="0071609E" w:rsidRPr="0021115D">
        <w:t xml:space="preserve"> </w:t>
      </w:r>
      <w:r w:rsidR="00834E42">
        <w:t>(</w:t>
      </w:r>
      <w:r w:rsidR="0021464C">
        <w:t>“</w:t>
      </w:r>
      <w:r w:rsidR="00834E42">
        <w:t>Complainant</w:t>
      </w:r>
      <w:r w:rsidR="0021464C">
        <w:t>”</w:t>
      </w:r>
      <w:r w:rsidR="00834E42">
        <w:t>) filed a f</w:t>
      </w:r>
      <w:r w:rsidRPr="0021115D">
        <w:t xml:space="preserve">ormal </w:t>
      </w:r>
      <w:r w:rsidR="00AA65DA">
        <w:t>c</w:t>
      </w:r>
      <w:r w:rsidRPr="0021115D">
        <w:t xml:space="preserve">omplaint against </w:t>
      </w:r>
      <w:r w:rsidR="008F3B25" w:rsidRPr="0021115D">
        <w:t xml:space="preserve">the </w:t>
      </w:r>
      <w:r w:rsidR="00966C5A" w:rsidRPr="0021115D">
        <w:t xml:space="preserve">Philadelphia Gas Works </w:t>
      </w:r>
      <w:r w:rsidR="00834E42">
        <w:t>(</w:t>
      </w:r>
      <w:r w:rsidR="0021464C">
        <w:t>“</w:t>
      </w:r>
      <w:r w:rsidR="00834E42">
        <w:t>R</w:t>
      </w:r>
      <w:r w:rsidRPr="0021115D">
        <w:t>espondent</w:t>
      </w:r>
      <w:r w:rsidR="0021464C">
        <w:t>”</w:t>
      </w:r>
      <w:r w:rsidRPr="0021115D">
        <w:t>) with the Pennsylvania Public Utility Commission (</w:t>
      </w:r>
      <w:r w:rsidR="0021464C">
        <w:t>“</w:t>
      </w:r>
      <w:r w:rsidRPr="0021115D">
        <w:t>Commission</w:t>
      </w:r>
      <w:r w:rsidR="0021464C">
        <w:t>”</w:t>
      </w:r>
      <w:r w:rsidRPr="0021115D">
        <w:t>), Docket N</w:t>
      </w:r>
      <w:r w:rsidR="00105EA1">
        <w:t>o.</w:t>
      </w:r>
      <w:r w:rsidRPr="0021115D">
        <w:t xml:space="preserve"> </w:t>
      </w:r>
      <w:proofErr w:type="gramStart"/>
      <w:r w:rsidR="000A425C" w:rsidRPr="0021115D">
        <w:t>C-</w:t>
      </w:r>
      <w:r w:rsidR="00834E42">
        <w:t>2011-2241810</w:t>
      </w:r>
      <w:r w:rsidRPr="0021115D">
        <w:t>.</w:t>
      </w:r>
      <w:proofErr w:type="gramEnd"/>
      <w:r w:rsidRPr="0021115D">
        <w:t xml:space="preserve">  </w:t>
      </w:r>
      <w:r w:rsidR="00834E42">
        <w:t>Complainant</w:t>
      </w:r>
      <w:r w:rsidRPr="0021115D">
        <w:t xml:space="preserve"> </w:t>
      </w:r>
      <w:r w:rsidR="00550E7F" w:rsidRPr="0021115D">
        <w:t>alleged</w:t>
      </w:r>
      <w:r w:rsidR="00D805AC" w:rsidRPr="0021115D">
        <w:t xml:space="preserve"> </w:t>
      </w:r>
      <w:r w:rsidR="00834E42">
        <w:t>she</w:t>
      </w:r>
      <w:r w:rsidR="00550E7F" w:rsidRPr="0021115D">
        <w:t xml:space="preserve"> </w:t>
      </w:r>
      <w:r w:rsidR="00EB4A7E" w:rsidRPr="0021115D">
        <w:t>owned</w:t>
      </w:r>
      <w:r w:rsidR="0076666C" w:rsidRPr="0021115D">
        <w:t xml:space="preserve"> </w:t>
      </w:r>
      <w:r w:rsidR="00834E42">
        <w:t>real</w:t>
      </w:r>
      <w:r w:rsidR="0076666C" w:rsidRPr="0021115D">
        <w:t xml:space="preserve"> property</w:t>
      </w:r>
      <w:r w:rsidR="009F6EE1" w:rsidRPr="0021115D">
        <w:t xml:space="preserve"> </w:t>
      </w:r>
      <w:r w:rsidR="00C73B5A" w:rsidRPr="0021115D">
        <w:t xml:space="preserve">located at </w:t>
      </w:r>
      <w:r w:rsidR="00834E42">
        <w:t>1086 Wagner Avenue</w:t>
      </w:r>
      <w:r w:rsidR="00C73B5A" w:rsidRPr="0021115D">
        <w:t>, Philadelphia, PA (</w:t>
      </w:r>
      <w:r w:rsidR="0021464C">
        <w:t>“</w:t>
      </w:r>
      <w:r w:rsidR="00C73B5A" w:rsidRPr="0021115D">
        <w:t>Premises</w:t>
      </w:r>
      <w:r w:rsidR="0021464C">
        <w:t>”</w:t>
      </w:r>
      <w:r w:rsidR="00C73B5A" w:rsidRPr="0021115D">
        <w:t>)</w:t>
      </w:r>
      <w:r w:rsidR="0076666C" w:rsidRPr="0021115D">
        <w:t xml:space="preserve"> </w:t>
      </w:r>
      <w:r w:rsidR="00904D6B" w:rsidRPr="0021115D">
        <w:t>upon which a lien</w:t>
      </w:r>
      <w:r w:rsidR="0013269B" w:rsidRPr="0021115D">
        <w:t xml:space="preserve"> </w:t>
      </w:r>
      <w:r w:rsidR="00904D6B" w:rsidRPr="0021115D">
        <w:t>had been placed for unpaid natural gas service bills</w:t>
      </w:r>
      <w:r w:rsidR="00DF5DD8" w:rsidRPr="0021115D">
        <w:t xml:space="preserve"> </w:t>
      </w:r>
      <w:r w:rsidR="00EB4A7E" w:rsidRPr="0021115D">
        <w:t>incurred by a tenant of the Premises</w:t>
      </w:r>
      <w:r w:rsidR="00DF5DD8" w:rsidRPr="0021115D">
        <w:t>.  Complainant requested the lien be removed.</w:t>
      </w:r>
    </w:p>
    <w:p w:rsidR="0095005F" w:rsidRPr="0021115D" w:rsidRDefault="0095005F" w:rsidP="0021115D">
      <w:pPr>
        <w:spacing w:line="360" w:lineRule="auto"/>
        <w:ind w:firstLine="1440"/>
      </w:pPr>
    </w:p>
    <w:p w:rsidR="00335B69" w:rsidRPr="0021115D" w:rsidRDefault="0035242D" w:rsidP="0021115D">
      <w:pPr>
        <w:spacing w:line="360" w:lineRule="auto"/>
        <w:ind w:firstLine="1440"/>
      </w:pPr>
      <w:r w:rsidRPr="0021115D">
        <w:t xml:space="preserve">On </w:t>
      </w:r>
      <w:r w:rsidR="00834E42">
        <w:t>June 7, 2011</w:t>
      </w:r>
      <w:r w:rsidRPr="0021115D">
        <w:t xml:space="preserve">, </w:t>
      </w:r>
      <w:r w:rsidR="00834E42">
        <w:t>R</w:t>
      </w:r>
      <w:r w:rsidRPr="0021115D">
        <w:t>espondent filed</w:t>
      </w:r>
      <w:r w:rsidR="005851CA" w:rsidRPr="0021115D">
        <w:t xml:space="preserve"> </w:t>
      </w:r>
      <w:r w:rsidR="0071609E" w:rsidRPr="0021115D">
        <w:t xml:space="preserve">and </w:t>
      </w:r>
      <w:r w:rsidR="005851CA" w:rsidRPr="0021115D">
        <w:t xml:space="preserve">served </w:t>
      </w:r>
      <w:r w:rsidRPr="0021115D">
        <w:t xml:space="preserve">its Answer </w:t>
      </w:r>
      <w:r w:rsidR="009553BE" w:rsidRPr="0021115D">
        <w:t xml:space="preserve">stating </w:t>
      </w:r>
      <w:r w:rsidR="0021464C">
        <w:t xml:space="preserve">the City of Philadelphia (“City”) filed </w:t>
      </w:r>
      <w:r w:rsidR="009553BE" w:rsidRPr="0021115D">
        <w:t>a</w:t>
      </w:r>
      <w:r w:rsidR="00C73B5A" w:rsidRPr="0021115D">
        <w:t xml:space="preserve"> lien </w:t>
      </w:r>
      <w:r w:rsidR="009553BE" w:rsidRPr="0021115D">
        <w:t>against the Premises</w:t>
      </w:r>
      <w:r w:rsidR="00C73B5A" w:rsidRPr="0021115D">
        <w:t>, in the amount of $</w:t>
      </w:r>
      <w:r w:rsidR="0021464C">
        <w:t>567.85</w:t>
      </w:r>
      <w:r w:rsidR="00407D67" w:rsidRPr="0021115D">
        <w:t>,</w:t>
      </w:r>
      <w:r w:rsidR="008C71CE" w:rsidRPr="0021115D">
        <w:t xml:space="preserve"> to collect the unpaid balance owed by </w:t>
      </w:r>
      <w:r w:rsidR="0021464C">
        <w:t>Donald Selby, Jr.</w:t>
      </w:r>
      <w:r w:rsidR="00743308" w:rsidRPr="0021115D">
        <w:t>, t</w:t>
      </w:r>
      <w:r w:rsidR="008C71CE" w:rsidRPr="0021115D">
        <w:t>he customer of record at the Premises</w:t>
      </w:r>
      <w:r w:rsidR="00335B69" w:rsidRPr="0021115D">
        <w:t>.</w:t>
      </w:r>
    </w:p>
    <w:p w:rsidR="0035242D" w:rsidRPr="0021115D" w:rsidRDefault="0035242D" w:rsidP="0021115D">
      <w:pPr>
        <w:spacing w:line="360" w:lineRule="auto"/>
        <w:ind w:firstLine="1440"/>
      </w:pPr>
    </w:p>
    <w:p w:rsidR="00D63477" w:rsidRPr="0021115D" w:rsidRDefault="00D63477" w:rsidP="0021115D">
      <w:pPr>
        <w:spacing w:line="360" w:lineRule="auto"/>
        <w:ind w:firstLine="1440"/>
      </w:pPr>
      <w:r w:rsidRPr="0021115D">
        <w:t xml:space="preserve">Also on </w:t>
      </w:r>
      <w:r w:rsidR="0021464C">
        <w:t>June 7, 2011</w:t>
      </w:r>
      <w:r w:rsidRPr="0021115D">
        <w:t xml:space="preserve">, </w:t>
      </w:r>
      <w:r w:rsidR="0021464C">
        <w:t>R</w:t>
      </w:r>
      <w:r w:rsidRPr="0021115D">
        <w:t>espondent filed</w:t>
      </w:r>
      <w:r w:rsidR="00177EC4" w:rsidRPr="0021115D">
        <w:t xml:space="preserve"> </w:t>
      </w:r>
      <w:r w:rsidR="00ED45E3" w:rsidRPr="0021115D">
        <w:t xml:space="preserve">and </w:t>
      </w:r>
      <w:r w:rsidR="005851CA" w:rsidRPr="0021115D">
        <w:t>s</w:t>
      </w:r>
      <w:r w:rsidR="00177EC4" w:rsidRPr="0021115D">
        <w:t>erved</w:t>
      </w:r>
      <w:r w:rsidR="00ED45E3" w:rsidRPr="0021115D">
        <w:t xml:space="preserve"> </w:t>
      </w:r>
      <w:r w:rsidRPr="0021115D">
        <w:t>its Preliminary Objection</w:t>
      </w:r>
      <w:r w:rsidR="00C30862" w:rsidRPr="0021115D">
        <w:t>s</w:t>
      </w:r>
      <w:r w:rsidRPr="0021115D">
        <w:t xml:space="preserve">, </w:t>
      </w:r>
      <w:r w:rsidR="00495507" w:rsidRPr="0021115D">
        <w:t>endorsed with a notice to plead</w:t>
      </w:r>
      <w:r w:rsidR="00360B08">
        <w:t xml:space="preserve"> within ten days</w:t>
      </w:r>
      <w:r w:rsidRPr="0021115D">
        <w:t xml:space="preserve">, </w:t>
      </w:r>
      <w:r w:rsidR="00444284" w:rsidRPr="0021115D">
        <w:t xml:space="preserve">averring the </w:t>
      </w:r>
      <w:r w:rsidR="00C30862" w:rsidRPr="0021115D">
        <w:t xml:space="preserve">Commission lacks jurisdiction over the subject matter of </w:t>
      </w:r>
      <w:r w:rsidR="0021464C">
        <w:t>this c</w:t>
      </w:r>
      <w:r w:rsidR="00C30862" w:rsidRPr="0021115D">
        <w:t xml:space="preserve">omplaint and </w:t>
      </w:r>
      <w:r w:rsidR="007C2F41" w:rsidRPr="0021115D">
        <w:t xml:space="preserve">requesting </w:t>
      </w:r>
      <w:r w:rsidR="0021464C">
        <w:t>that</w:t>
      </w:r>
      <w:r w:rsidR="007C2F41" w:rsidRPr="0021115D">
        <w:t xml:space="preserve"> </w:t>
      </w:r>
      <w:r w:rsidR="0021464C">
        <w:t>portion of the c</w:t>
      </w:r>
      <w:r w:rsidR="00444284" w:rsidRPr="0021115D">
        <w:t>omplaint</w:t>
      </w:r>
      <w:r w:rsidR="0021464C">
        <w:t>,</w:t>
      </w:r>
      <w:r w:rsidR="00444284" w:rsidRPr="0021115D">
        <w:t xml:space="preserve"> </w:t>
      </w:r>
      <w:r w:rsidR="0021464C">
        <w:t>which seeks</w:t>
      </w:r>
      <w:r w:rsidR="00444284" w:rsidRPr="0021115D">
        <w:t xml:space="preserve"> </w:t>
      </w:r>
      <w:r w:rsidR="007C2F41" w:rsidRPr="0021115D">
        <w:lastRenderedPageBreak/>
        <w:t xml:space="preserve">relief </w:t>
      </w:r>
      <w:r w:rsidR="0008255F">
        <w:t>and asks the Commission to order the removal of the lien</w:t>
      </w:r>
      <w:r w:rsidR="00360B08">
        <w:t xml:space="preserve"> </w:t>
      </w:r>
      <w:r w:rsidR="00D61B9B" w:rsidRPr="0021115D">
        <w:t>on the Premises</w:t>
      </w:r>
      <w:r w:rsidR="0008255F">
        <w:t xml:space="preserve">, </w:t>
      </w:r>
      <w:r w:rsidR="00407D67" w:rsidRPr="0021115D">
        <w:t>b</w:t>
      </w:r>
      <w:r w:rsidR="00BA2364" w:rsidRPr="0021115D">
        <w:t>e stricken as impertinent matter</w:t>
      </w:r>
      <w:r w:rsidR="00496DA0">
        <w:t>.</w:t>
      </w:r>
      <w:r w:rsidR="00A705E1">
        <w:t xml:space="preserve">  Complainant did not file a Response to the Preliminary Objections.</w:t>
      </w:r>
    </w:p>
    <w:p w:rsidR="00ED45E3" w:rsidRPr="0021115D" w:rsidRDefault="00ED45E3" w:rsidP="0021115D">
      <w:pPr>
        <w:spacing w:line="360" w:lineRule="auto"/>
        <w:ind w:firstLine="1440"/>
      </w:pPr>
    </w:p>
    <w:p w:rsidR="0035242D" w:rsidRPr="0021115D" w:rsidRDefault="005921B0" w:rsidP="00360B08">
      <w:pPr>
        <w:spacing w:line="360" w:lineRule="auto"/>
        <w:ind w:firstLine="1440"/>
      </w:pPr>
      <w:r w:rsidRPr="0021115D">
        <w:t xml:space="preserve">By Motion Judge Assignment Notice dated </w:t>
      </w:r>
      <w:r w:rsidR="00360B08">
        <w:t>June</w:t>
      </w:r>
      <w:r w:rsidR="004F3704" w:rsidRPr="0021115D">
        <w:t xml:space="preserve"> </w:t>
      </w:r>
      <w:r w:rsidR="00164E31">
        <w:t>22</w:t>
      </w:r>
      <w:r w:rsidR="00360B08">
        <w:t>, 2011</w:t>
      </w:r>
      <w:r w:rsidR="004F3704" w:rsidRPr="0021115D">
        <w:t xml:space="preserve">, </w:t>
      </w:r>
      <w:r w:rsidR="00360B08">
        <w:t>R</w:t>
      </w:r>
      <w:r w:rsidRPr="0021115D">
        <w:t xml:space="preserve">espondent’s Preliminary Objections were assigned to </w:t>
      </w:r>
      <w:r w:rsidR="00181738" w:rsidRPr="0021115D">
        <w:t>me</w:t>
      </w:r>
      <w:r w:rsidRPr="0021115D">
        <w:t xml:space="preserve"> for a ruling.</w:t>
      </w:r>
      <w:r w:rsidR="00360B08">
        <w:t xml:space="preserve">  </w:t>
      </w:r>
      <w:r w:rsidR="00AF3BE3" w:rsidRPr="0021115D">
        <w:t xml:space="preserve">Respondent’s </w:t>
      </w:r>
      <w:r w:rsidR="00FF0F09" w:rsidRPr="0021115D">
        <w:t>Preliminary Objection</w:t>
      </w:r>
      <w:r w:rsidR="004665DD" w:rsidRPr="0021115D">
        <w:t>s</w:t>
      </w:r>
      <w:r w:rsidR="00D8539B" w:rsidRPr="0021115D">
        <w:t xml:space="preserve"> </w:t>
      </w:r>
      <w:r w:rsidR="00D941C1" w:rsidRPr="0021115D">
        <w:t>are procedurally ready to be ruled upon</w:t>
      </w:r>
      <w:r w:rsidR="00846C86" w:rsidRPr="0021115D">
        <w:t>.</w:t>
      </w:r>
    </w:p>
    <w:p w:rsidR="00A603B2" w:rsidRPr="0021115D" w:rsidRDefault="00A603B2" w:rsidP="0021115D">
      <w:pPr>
        <w:spacing w:line="360" w:lineRule="auto"/>
        <w:ind w:firstLine="1440"/>
      </w:pPr>
    </w:p>
    <w:p w:rsidR="00F614FB" w:rsidRPr="0021115D" w:rsidRDefault="00883E8B" w:rsidP="00D038E3">
      <w:pPr>
        <w:spacing w:line="360" w:lineRule="auto"/>
        <w:jc w:val="center"/>
        <w:outlineLvl w:val="0"/>
        <w:rPr>
          <w:u w:val="single"/>
        </w:rPr>
      </w:pPr>
      <w:r w:rsidRPr="0021115D">
        <w:rPr>
          <w:u w:val="single"/>
        </w:rPr>
        <w:t>FINDINGS OF FACT</w:t>
      </w:r>
    </w:p>
    <w:p w:rsidR="003908B2" w:rsidRPr="0021115D" w:rsidRDefault="003908B2" w:rsidP="0021115D">
      <w:pPr>
        <w:spacing w:line="360" w:lineRule="auto"/>
        <w:ind w:firstLine="1440"/>
      </w:pPr>
    </w:p>
    <w:p w:rsidR="000E4B9F" w:rsidRPr="0021115D" w:rsidRDefault="000E4B9F" w:rsidP="0021115D">
      <w:pPr>
        <w:spacing w:line="360" w:lineRule="auto"/>
        <w:ind w:firstLine="1440"/>
      </w:pPr>
      <w:r w:rsidRPr="0021115D">
        <w:t>1.</w:t>
      </w:r>
      <w:r w:rsidRPr="0021115D">
        <w:tab/>
        <w:t xml:space="preserve">Complainant </w:t>
      </w:r>
      <w:r w:rsidR="00437D33">
        <w:t xml:space="preserve">owns </w:t>
      </w:r>
      <w:r w:rsidRPr="0021115D">
        <w:t>the Premises.</w:t>
      </w:r>
    </w:p>
    <w:p w:rsidR="00BD1C31" w:rsidRPr="0021115D" w:rsidRDefault="00BD1C31" w:rsidP="0021115D">
      <w:pPr>
        <w:spacing w:line="360" w:lineRule="auto"/>
        <w:ind w:firstLine="1440"/>
      </w:pPr>
    </w:p>
    <w:p w:rsidR="006F3887" w:rsidRDefault="000E4B9F" w:rsidP="0021115D">
      <w:pPr>
        <w:spacing w:line="360" w:lineRule="auto"/>
        <w:ind w:firstLine="1440"/>
      </w:pPr>
      <w:r w:rsidRPr="0021115D">
        <w:t>2</w:t>
      </w:r>
      <w:r w:rsidR="00AE3DA5" w:rsidRPr="0021115D">
        <w:t>.</w:t>
      </w:r>
      <w:r w:rsidR="00AE3DA5" w:rsidRPr="0021115D">
        <w:tab/>
      </w:r>
      <w:r w:rsidR="00537FA3" w:rsidRPr="0021115D">
        <w:t>The customer of record at the Premises</w:t>
      </w:r>
      <w:r w:rsidR="00437D33">
        <w:t xml:space="preserve"> wa</w:t>
      </w:r>
      <w:r w:rsidR="006F3887">
        <w:t xml:space="preserve">s </w:t>
      </w:r>
      <w:r w:rsidR="00437D33">
        <w:t>Donald Selby, Jr</w:t>
      </w:r>
      <w:r w:rsidR="006F3887">
        <w:t>.</w:t>
      </w:r>
      <w:r w:rsidR="004E4BA0">
        <w:t xml:space="preserve"> from September 2010 through February 2011.</w:t>
      </w:r>
    </w:p>
    <w:p w:rsidR="00437D33" w:rsidRDefault="00437D33" w:rsidP="0021115D">
      <w:pPr>
        <w:spacing w:line="360" w:lineRule="auto"/>
        <w:ind w:firstLine="1440"/>
      </w:pPr>
    </w:p>
    <w:p w:rsidR="00437D33" w:rsidRDefault="00437D33" w:rsidP="0021115D">
      <w:pPr>
        <w:spacing w:line="360" w:lineRule="auto"/>
        <w:ind w:firstLine="1440"/>
      </w:pPr>
      <w:r>
        <w:t>3.</w:t>
      </w:r>
      <w:r>
        <w:tab/>
        <w:t>Complainant did not rent the property to Donald Selby, Jr.</w:t>
      </w:r>
      <w:r w:rsidR="004E4BA0">
        <w:t xml:space="preserve"> and he was not the tenant of record.</w:t>
      </w:r>
    </w:p>
    <w:p w:rsidR="00D038E3" w:rsidRDefault="00D038E3" w:rsidP="0021115D">
      <w:pPr>
        <w:spacing w:line="360" w:lineRule="auto"/>
        <w:ind w:firstLine="1440"/>
      </w:pPr>
    </w:p>
    <w:p w:rsidR="00AF133B" w:rsidRPr="0021115D" w:rsidRDefault="009F03F5" w:rsidP="0021115D">
      <w:pPr>
        <w:spacing w:line="360" w:lineRule="auto"/>
        <w:ind w:firstLine="1440"/>
      </w:pPr>
      <w:r>
        <w:t>4</w:t>
      </w:r>
      <w:r w:rsidR="00AF133B" w:rsidRPr="0021115D">
        <w:t>.</w:t>
      </w:r>
      <w:r w:rsidR="00AF133B" w:rsidRPr="0021115D">
        <w:tab/>
      </w:r>
      <w:r w:rsidR="00437D33">
        <w:t>On April 11, 2011, t</w:t>
      </w:r>
      <w:r w:rsidR="00C86DA7" w:rsidRPr="0021115D">
        <w:t>he City</w:t>
      </w:r>
      <w:r w:rsidR="00437D33">
        <w:t xml:space="preserve"> </w:t>
      </w:r>
      <w:r w:rsidR="00437D33" w:rsidRPr="0021115D">
        <w:t>placed a lien upon the Premises in the amount of $</w:t>
      </w:r>
      <w:r w:rsidR="00437D33">
        <w:t>567.85</w:t>
      </w:r>
      <w:r w:rsidR="00437D33" w:rsidRPr="0021115D">
        <w:t xml:space="preserve"> for unpaid natural gas service</w:t>
      </w:r>
      <w:r w:rsidR="00742DA9" w:rsidRPr="0021115D">
        <w:t>,</w:t>
      </w:r>
      <w:r w:rsidR="00C86DA7" w:rsidRPr="0021115D">
        <w:t xml:space="preserve"> </w:t>
      </w:r>
      <w:r w:rsidR="00742DA9" w:rsidRPr="0021115D">
        <w:t>pursuant to the provisions of 53 P.S. § 7101 et seq. (the Municipal Claim and Tax Lien La</w:t>
      </w:r>
      <w:r w:rsidR="00437D33">
        <w:t>w)</w:t>
      </w:r>
      <w:r w:rsidR="00633D26" w:rsidRPr="0021115D">
        <w:t>.</w:t>
      </w:r>
    </w:p>
    <w:p w:rsidR="0084451E" w:rsidRPr="0021115D" w:rsidRDefault="0084451E" w:rsidP="00976C3C">
      <w:pPr>
        <w:spacing w:line="360" w:lineRule="auto"/>
        <w:ind w:firstLine="1440"/>
      </w:pPr>
    </w:p>
    <w:p w:rsidR="00833F83" w:rsidRPr="0021115D" w:rsidRDefault="00833F83" w:rsidP="00976C3C">
      <w:pPr>
        <w:spacing w:line="360" w:lineRule="auto"/>
        <w:ind w:left="2880" w:firstLine="720"/>
        <w:outlineLvl w:val="0"/>
        <w:rPr>
          <w:u w:val="single"/>
        </w:rPr>
      </w:pPr>
      <w:r w:rsidRPr="0021115D">
        <w:rPr>
          <w:u w:val="single"/>
        </w:rPr>
        <w:t>DISCUSSION</w:t>
      </w:r>
    </w:p>
    <w:p w:rsidR="00833F83" w:rsidRPr="0021115D" w:rsidRDefault="00833F83" w:rsidP="00976C3C">
      <w:pPr>
        <w:spacing w:line="360" w:lineRule="auto"/>
        <w:ind w:firstLine="1440"/>
      </w:pPr>
    </w:p>
    <w:p w:rsidR="00976C3C" w:rsidRPr="00976C3C" w:rsidRDefault="006C576F" w:rsidP="00976C3C">
      <w:pPr>
        <w:pStyle w:val="FootnoteText"/>
        <w:spacing w:line="360" w:lineRule="auto"/>
        <w:ind w:firstLine="1440"/>
      </w:pPr>
      <w:r>
        <w:t xml:space="preserve">In this proceeding, Complainant requests </w:t>
      </w:r>
      <w:r w:rsidR="005B2E94" w:rsidRPr="0021115D">
        <w:t xml:space="preserve">the Commission order the City to remove a municipal lien </w:t>
      </w:r>
      <w:r>
        <w:t xml:space="preserve">which </w:t>
      </w:r>
      <w:r w:rsidR="00AC44E0">
        <w:t>the City</w:t>
      </w:r>
      <w:r w:rsidR="005B2E94" w:rsidRPr="0021115D">
        <w:t xml:space="preserve"> placed on </w:t>
      </w:r>
      <w:r w:rsidR="00AC44E0">
        <w:t>her</w:t>
      </w:r>
      <w:r w:rsidR="005B2E94" w:rsidRPr="0021115D">
        <w:t xml:space="preserve"> property for unpaid gas service rendered by the </w:t>
      </w:r>
      <w:r>
        <w:t xml:space="preserve">utility to an individual who was not </w:t>
      </w:r>
      <w:r w:rsidR="00AC44E0">
        <w:t>Complainant and who was not her</w:t>
      </w:r>
      <w:r>
        <w:t xml:space="preserve"> tenant</w:t>
      </w:r>
      <w:r w:rsidR="005B2E94" w:rsidRPr="0021115D">
        <w:t xml:space="preserve">.  </w:t>
      </w:r>
      <w:r w:rsidR="00976C3C">
        <w:t xml:space="preserve">A lien has been defined as </w:t>
      </w:r>
      <w:r w:rsidR="00976C3C" w:rsidRPr="00976C3C">
        <w:t>“a charge on property, either real or personal, for the payment or discharge of a particular debt or duty in priority to the general debts or duties of the owner.  It encumbers property to secure payment or performance of a debt, duty or other obligation.  Liens fall into three categories:</w:t>
      </w:r>
      <w:r w:rsidR="00C110FB">
        <w:t xml:space="preserve"> </w:t>
      </w:r>
      <w:r w:rsidR="00976C3C" w:rsidRPr="00976C3C">
        <w:t xml:space="preserve"> common law liens, equitable liens and statutory liens.”</w:t>
      </w:r>
      <w:r w:rsidR="00976C3C">
        <w:rPr>
          <w:rStyle w:val="FootnoteReference"/>
        </w:rPr>
        <w:footnoteReference w:id="1"/>
      </w:r>
      <w:r w:rsidR="00976C3C" w:rsidRPr="00976C3C">
        <w:t xml:space="preserve">  </w:t>
      </w:r>
    </w:p>
    <w:p w:rsidR="0025627D" w:rsidRPr="0021115D" w:rsidRDefault="00AC44E0" w:rsidP="0021115D">
      <w:pPr>
        <w:spacing w:line="360" w:lineRule="auto"/>
        <w:ind w:firstLine="1440"/>
      </w:pPr>
      <w:r>
        <w:lastRenderedPageBreak/>
        <w:t xml:space="preserve">On June 7, 2011, </w:t>
      </w:r>
      <w:r w:rsidR="003B68C8" w:rsidRPr="0021115D">
        <w:t xml:space="preserve">Respondent filed </w:t>
      </w:r>
      <w:r w:rsidR="006C576F">
        <w:t>a</w:t>
      </w:r>
      <w:r w:rsidR="003B68C8" w:rsidRPr="0021115D">
        <w:t xml:space="preserve"> Preliminary Objection</w:t>
      </w:r>
      <w:r w:rsidR="00496DA0">
        <w:t xml:space="preserve"> to the c</w:t>
      </w:r>
      <w:r w:rsidR="003B68C8" w:rsidRPr="0021115D">
        <w:t>omplaint</w:t>
      </w:r>
      <w:r w:rsidR="00496DA0">
        <w:t xml:space="preserve"> </w:t>
      </w:r>
      <w:r w:rsidR="003B68C8" w:rsidRPr="0021115D">
        <w:t>challenging the Commission’s jurisdiction</w:t>
      </w:r>
      <w:r w:rsidR="00496DA0">
        <w:t xml:space="preserve"> and </w:t>
      </w:r>
      <w:r w:rsidR="003B68C8" w:rsidRPr="0021115D">
        <w:t xml:space="preserve">requesting that </w:t>
      </w:r>
      <w:r>
        <w:t xml:space="preserve">the </w:t>
      </w:r>
      <w:r w:rsidR="0025627D" w:rsidRPr="0021115D">
        <w:t xml:space="preserve">impertinent matter in the </w:t>
      </w:r>
      <w:r w:rsidR="00496DA0">
        <w:t>c</w:t>
      </w:r>
      <w:r w:rsidR="0025627D" w:rsidRPr="0021115D">
        <w:t>omplaint be stricken.</w:t>
      </w:r>
      <w:r>
        <w:t xml:space="preserve">  </w:t>
      </w:r>
    </w:p>
    <w:p w:rsidR="00F225EA" w:rsidRPr="0021115D" w:rsidRDefault="00F225EA" w:rsidP="0021115D">
      <w:pPr>
        <w:spacing w:line="360" w:lineRule="auto"/>
        <w:ind w:firstLine="1440"/>
      </w:pPr>
    </w:p>
    <w:p w:rsidR="00AC44E0" w:rsidRPr="0021115D" w:rsidRDefault="00F614FB" w:rsidP="00AC44E0">
      <w:pPr>
        <w:spacing w:line="360" w:lineRule="auto"/>
        <w:ind w:firstLine="1440"/>
      </w:pPr>
      <w:r w:rsidRPr="0021115D">
        <w:t>Commission preliminary objection practice is comparable to Pennsylvania civil practice respecting the filing o</w:t>
      </w:r>
      <w:r w:rsidR="00AC44E0">
        <w:t>f preliminary objections.</w:t>
      </w:r>
      <w:r w:rsidR="00AC44E0">
        <w:rPr>
          <w:rStyle w:val="FootnoteReference"/>
        </w:rPr>
        <w:footnoteReference w:id="2"/>
      </w:r>
      <w:r w:rsidR="00AC44E0">
        <w:t xml:space="preserve">  </w:t>
      </w:r>
    </w:p>
    <w:p w:rsidR="00F614FB" w:rsidRPr="0021115D" w:rsidRDefault="00F614FB" w:rsidP="001B43B1">
      <w:pPr>
        <w:spacing w:line="360" w:lineRule="auto"/>
      </w:pPr>
    </w:p>
    <w:p w:rsidR="00F614FB" w:rsidRPr="0021115D" w:rsidRDefault="00F614FB" w:rsidP="0021115D">
      <w:pPr>
        <w:ind w:firstLine="1440"/>
      </w:pPr>
      <w:r w:rsidRPr="0021115D">
        <w:t>The Commission’s regulations provide, in relevant part:</w:t>
      </w:r>
    </w:p>
    <w:p w:rsidR="00756D87" w:rsidRPr="0021115D" w:rsidRDefault="00756D87" w:rsidP="0021115D">
      <w:pPr>
        <w:spacing w:line="360" w:lineRule="auto"/>
        <w:ind w:firstLine="1440"/>
      </w:pPr>
    </w:p>
    <w:p w:rsidR="00F614FB" w:rsidRDefault="00F614FB" w:rsidP="0021115D">
      <w:pPr>
        <w:ind w:left="1440" w:right="1440"/>
      </w:pPr>
      <w:r w:rsidRPr="0021115D">
        <w:t>(a)</w:t>
      </w:r>
      <w:r w:rsidRPr="0021115D">
        <w:tab/>
      </w:r>
      <w:r w:rsidRPr="0021115D">
        <w:rPr>
          <w:i/>
        </w:rPr>
        <w:t>Grounds.</w:t>
      </w:r>
      <w:r w:rsidRPr="0021115D">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6E1398" w:rsidRPr="0021115D" w:rsidRDefault="006E1398" w:rsidP="0021115D">
      <w:pPr>
        <w:ind w:left="1440" w:right="1440"/>
      </w:pPr>
    </w:p>
    <w:p w:rsidR="00F614FB" w:rsidRDefault="0095524B" w:rsidP="0021115D">
      <w:pPr>
        <w:ind w:left="1440" w:right="1440"/>
      </w:pPr>
      <w:r w:rsidRPr="0021115D">
        <w:t>(1)</w:t>
      </w:r>
      <w:r w:rsidRPr="0021115D">
        <w:tab/>
        <w:t>Lack of Commission jurisdiction or improper service of the pleading initiating the proceeding.</w:t>
      </w:r>
    </w:p>
    <w:p w:rsidR="006E1398" w:rsidRPr="0021115D" w:rsidRDefault="006E1398" w:rsidP="0021115D">
      <w:pPr>
        <w:ind w:left="1440" w:right="1440"/>
      </w:pPr>
    </w:p>
    <w:p w:rsidR="00AD5AAE" w:rsidRPr="0021115D" w:rsidRDefault="00AD5AAE" w:rsidP="0021115D">
      <w:pPr>
        <w:ind w:left="1440" w:right="1440"/>
      </w:pPr>
      <w:r w:rsidRPr="0021115D">
        <w:t>(</w:t>
      </w:r>
      <w:r w:rsidR="008C43C1" w:rsidRPr="0021115D">
        <w:t>2</w:t>
      </w:r>
      <w:r w:rsidRPr="0021115D">
        <w:t>)</w:t>
      </w:r>
      <w:r w:rsidRPr="0021115D">
        <w:tab/>
      </w:r>
      <w:r w:rsidR="008A3861" w:rsidRPr="0021115D">
        <w:t>Failure of a pleading to conform to this chapter or the inclusion of scandalous or impertinent matter.</w:t>
      </w:r>
    </w:p>
    <w:p w:rsidR="00F614FB" w:rsidRPr="0021115D" w:rsidRDefault="00F614FB" w:rsidP="0021115D">
      <w:pPr>
        <w:ind w:left="1440" w:right="1440"/>
      </w:pPr>
      <w:r w:rsidRPr="0021115D">
        <w:t>52 Pa.Code §5.101(a)</w:t>
      </w:r>
      <w:r w:rsidR="0095524B" w:rsidRPr="0021115D">
        <w:t xml:space="preserve">(1), </w:t>
      </w:r>
      <w:r w:rsidRPr="0021115D">
        <w:t>(</w:t>
      </w:r>
      <w:r w:rsidR="008A3861" w:rsidRPr="0021115D">
        <w:t>2</w:t>
      </w:r>
      <w:r w:rsidRPr="0021115D">
        <w:t>)</w:t>
      </w:r>
    </w:p>
    <w:p w:rsidR="00F614FB" w:rsidRPr="0021115D" w:rsidRDefault="00F614FB" w:rsidP="0021115D">
      <w:pPr>
        <w:tabs>
          <w:tab w:val="left" w:pos="1584"/>
        </w:tabs>
        <w:spacing w:line="360" w:lineRule="auto"/>
        <w:ind w:firstLine="1440"/>
      </w:pPr>
    </w:p>
    <w:p w:rsidR="00DD5A4E" w:rsidRPr="00496DA0" w:rsidRDefault="009261C0" w:rsidP="0021115D">
      <w:pPr>
        <w:spacing w:line="360" w:lineRule="auto"/>
        <w:ind w:firstLine="1440"/>
      </w:pPr>
      <w:r>
        <w:t>R</w:t>
      </w:r>
      <w:r w:rsidR="0067677D" w:rsidRPr="0021115D">
        <w:t xml:space="preserve">espondent </w:t>
      </w:r>
      <w:r>
        <w:t xml:space="preserve">utility </w:t>
      </w:r>
      <w:r w:rsidR="002A5FAC" w:rsidRPr="0021115D">
        <w:t xml:space="preserve">questions the Commission’s subject matter jurisdiction and requests </w:t>
      </w:r>
      <w:r>
        <w:t>the c</w:t>
      </w:r>
      <w:r w:rsidR="002A5FAC" w:rsidRPr="0021115D">
        <w:t xml:space="preserve">omplaint </w:t>
      </w:r>
      <w:r>
        <w:t>be dismissed for lack of jurisdiction and strike off the requested relief as impertinent matter</w:t>
      </w:r>
      <w:r w:rsidR="002A5FAC" w:rsidRPr="00496DA0">
        <w:t>.</w:t>
      </w:r>
      <w:r w:rsidR="00496DA0" w:rsidRPr="00496DA0">
        <w:t xml:space="preserve">  </w:t>
      </w:r>
      <w:r w:rsidR="00496DA0">
        <w:t>Impertinent matter concerns those s</w:t>
      </w:r>
      <w:r w:rsidR="00496DA0" w:rsidRPr="00496DA0">
        <w:t xml:space="preserve">tatements in a pleading that are legally irrelevant to the cause of action and </w:t>
      </w:r>
      <w:r w:rsidR="00976C3C">
        <w:t>these statements or matters are subject to being stricken.</w:t>
      </w:r>
      <w:r w:rsidR="00976C3C">
        <w:rPr>
          <w:rStyle w:val="FootnoteReference"/>
        </w:rPr>
        <w:footnoteReference w:id="3"/>
      </w:r>
    </w:p>
    <w:p w:rsidR="0095524B" w:rsidRPr="0021115D" w:rsidRDefault="0095524B" w:rsidP="0021115D">
      <w:pPr>
        <w:spacing w:line="360" w:lineRule="auto"/>
        <w:ind w:firstLine="1440"/>
      </w:pPr>
    </w:p>
    <w:p w:rsidR="005A369F" w:rsidRDefault="0095524B" w:rsidP="005A369F">
      <w:pPr>
        <w:tabs>
          <w:tab w:val="left" w:pos="9360"/>
        </w:tabs>
        <w:spacing w:line="360" w:lineRule="auto"/>
        <w:ind w:firstLine="1440"/>
      </w:pPr>
      <w:r w:rsidRPr="0021115D">
        <w:t xml:space="preserve">Jurisdiction relates to the competency </w:t>
      </w:r>
      <w:r w:rsidR="009261C0">
        <w:t xml:space="preserve">and authority </w:t>
      </w:r>
      <w:r w:rsidRPr="0021115D">
        <w:t xml:space="preserve">of </w:t>
      </w:r>
      <w:r w:rsidR="009261C0">
        <w:t>a</w:t>
      </w:r>
      <w:r w:rsidRPr="0021115D">
        <w:t xml:space="preserve"> particular </w:t>
      </w:r>
      <w:r w:rsidR="007A7F84">
        <w:t>c</w:t>
      </w:r>
      <w:r w:rsidRPr="0021115D">
        <w:t xml:space="preserve">ourt or administrative body to </w:t>
      </w:r>
      <w:r w:rsidR="009261C0">
        <w:t xml:space="preserve">decide a controversy concerning the </w:t>
      </w:r>
      <w:r w:rsidRPr="0021115D">
        <w:t xml:space="preserve">general class </w:t>
      </w:r>
      <w:r w:rsidR="009261C0">
        <w:t xml:space="preserve">or subject matter </w:t>
      </w:r>
      <w:r w:rsidRPr="0021115D">
        <w:t xml:space="preserve">to which the </w:t>
      </w:r>
      <w:r w:rsidR="009261C0">
        <w:t xml:space="preserve">instant </w:t>
      </w:r>
      <w:r w:rsidRPr="0021115D">
        <w:t>case belongs.</w:t>
      </w:r>
      <w:r w:rsidR="000141ED">
        <w:rPr>
          <w:rStyle w:val="FootnoteReference"/>
        </w:rPr>
        <w:footnoteReference w:id="4"/>
      </w:r>
      <w:r w:rsidR="000141ED">
        <w:t xml:space="preserve">  </w:t>
      </w:r>
      <w:r w:rsidR="007A7F84" w:rsidRPr="0021115D">
        <w:t xml:space="preserve">Subject matter jurisdiction is a prerequisite to the exercise of </w:t>
      </w:r>
      <w:r w:rsidR="007A7F84" w:rsidRPr="0021115D">
        <w:lastRenderedPageBreak/>
        <w:t>the power to decide a controversy.</w:t>
      </w:r>
      <w:r w:rsidR="00C44DDF">
        <w:rPr>
          <w:rStyle w:val="FootnoteReference"/>
        </w:rPr>
        <w:footnoteReference w:id="5"/>
      </w:r>
      <w:r w:rsidR="007A7F84" w:rsidRPr="0021115D">
        <w:t xml:space="preserve">  Jurisdiction may not be conferred by the parties where none exists. </w:t>
      </w:r>
      <w:r w:rsidR="00C44DDF">
        <w:rPr>
          <w:rStyle w:val="FootnoteReference"/>
        </w:rPr>
        <w:footnoteReference w:id="6"/>
      </w:r>
      <w:r w:rsidR="00DC35CE">
        <w:t xml:space="preserve">  </w:t>
      </w:r>
      <w:r w:rsidR="007A7F84" w:rsidRPr="0021115D">
        <w:t>Neither silence nor agreement of the parties will confer jurisdiction where it otherwise would not exist</w:t>
      </w:r>
      <w:proofErr w:type="gramStart"/>
      <w:r w:rsidR="007A7F84" w:rsidRPr="0021115D">
        <w:t>,</w:t>
      </w:r>
      <w:proofErr w:type="gramEnd"/>
      <w:r w:rsidR="00C44DDF">
        <w:rPr>
          <w:rStyle w:val="FootnoteReference"/>
        </w:rPr>
        <w:footnoteReference w:id="7"/>
      </w:r>
      <w:r w:rsidR="007A7F84" w:rsidRPr="0021115D">
        <w:t>nor can jurisdiction be</w:t>
      </w:r>
      <w:r w:rsidR="00C44DDF">
        <w:t xml:space="preserve"> obtained by waiver or estoppel</w:t>
      </w:r>
      <w:r w:rsidR="007A7F84" w:rsidRPr="0021115D">
        <w:t>.</w:t>
      </w:r>
      <w:r w:rsidR="00C44DDF">
        <w:rPr>
          <w:rStyle w:val="FootnoteReference"/>
        </w:rPr>
        <w:footnoteReference w:id="8"/>
      </w:r>
      <w:r w:rsidR="007A7F84">
        <w:t xml:space="preserve">  </w:t>
      </w:r>
    </w:p>
    <w:p w:rsidR="005A369F" w:rsidRDefault="005A369F" w:rsidP="005A369F">
      <w:pPr>
        <w:tabs>
          <w:tab w:val="left" w:pos="9360"/>
        </w:tabs>
        <w:spacing w:line="360" w:lineRule="auto"/>
        <w:ind w:firstLine="1440"/>
      </w:pPr>
    </w:p>
    <w:p w:rsidR="00360A4D" w:rsidRPr="0021115D" w:rsidRDefault="007A7F84" w:rsidP="005A369F">
      <w:pPr>
        <w:tabs>
          <w:tab w:val="left" w:pos="9360"/>
        </w:tabs>
        <w:spacing w:line="360" w:lineRule="auto"/>
        <w:ind w:firstLine="1440"/>
      </w:pPr>
      <w:r>
        <w:t xml:space="preserve">The Public Utility Commission </w:t>
      </w:r>
      <w:r w:rsidR="00291EA8" w:rsidRPr="0021115D">
        <w:t xml:space="preserve">must act within, and cannot exceed, </w:t>
      </w:r>
      <w:r>
        <w:t>this jurisdiction.</w:t>
      </w:r>
      <w:r>
        <w:rPr>
          <w:rStyle w:val="FootnoteReference"/>
        </w:rPr>
        <w:footnoteReference w:id="9"/>
      </w:r>
      <w:r w:rsidR="005A369F">
        <w:t xml:space="preserve">  </w:t>
      </w:r>
      <w:r w:rsidR="00CE64F6" w:rsidRPr="0021115D">
        <w:t xml:space="preserve">Keeping the foregoing principles regarding jurisdiction in mind, the issue is whether the Commission has jurisdiction </w:t>
      </w:r>
      <w:r w:rsidR="00360A4D" w:rsidRPr="0021115D">
        <w:t>with respe</w:t>
      </w:r>
      <w:r w:rsidR="004864A5" w:rsidRPr="0021115D">
        <w:t>ct to the City’s municipal lien</w:t>
      </w:r>
      <w:r w:rsidR="00362096">
        <w:t xml:space="preserve"> on Complainant’s Premises</w:t>
      </w:r>
      <w:r w:rsidR="00360A4D" w:rsidRPr="0021115D">
        <w:t>.</w:t>
      </w:r>
    </w:p>
    <w:p w:rsidR="00360A4D" w:rsidRPr="0021115D" w:rsidRDefault="00360A4D" w:rsidP="0021115D">
      <w:pPr>
        <w:spacing w:line="360" w:lineRule="auto"/>
        <w:ind w:firstLine="1440"/>
      </w:pPr>
    </w:p>
    <w:p w:rsidR="00360A4D" w:rsidRDefault="00AC5B3F" w:rsidP="0021115D">
      <w:pPr>
        <w:spacing w:line="360" w:lineRule="auto"/>
        <w:ind w:firstLine="1440"/>
      </w:pPr>
      <w:r w:rsidRPr="0021115D">
        <w:t>Acting under the authority and power granted in the Municipal Claim and Tax Lien Law,</w:t>
      </w:r>
      <w:r w:rsidR="00855E2C" w:rsidRPr="0021115D">
        <w:t xml:space="preserve"> 53 P.S. § 7101 et seq.,</w:t>
      </w:r>
      <w:r w:rsidRPr="0021115D">
        <w:t xml:space="preserve"> </w:t>
      </w:r>
      <w:r w:rsidR="00855E2C" w:rsidRPr="0021115D">
        <w:t xml:space="preserve">the City files </w:t>
      </w:r>
      <w:r w:rsidR="0041060A" w:rsidRPr="0021115D">
        <w:t xml:space="preserve">a lien to enforce </w:t>
      </w:r>
      <w:r w:rsidR="00855E2C" w:rsidRPr="0021115D">
        <w:t>municipal claims against property for unpaid natural gas service rendered by respondent</w:t>
      </w:r>
      <w:r w:rsidR="00360A4D" w:rsidRPr="0021115D">
        <w:t xml:space="preserve"> at </w:t>
      </w:r>
      <w:r w:rsidR="008F3BE3" w:rsidRPr="0021115D">
        <w:t>a specific</w:t>
      </w:r>
      <w:r w:rsidR="00360A4D" w:rsidRPr="0021115D">
        <w:t xml:space="preserve"> property</w:t>
      </w:r>
      <w:r w:rsidR="003E5BC8" w:rsidRPr="0021115D">
        <w:t>.</w:t>
      </w:r>
      <w:r w:rsidR="005A369F">
        <w:t xml:space="preserve">  </w:t>
      </w:r>
      <w:r w:rsidR="000141ED">
        <w:t>Being a municipality, o</w:t>
      </w:r>
      <w:r w:rsidR="00360A4D" w:rsidRPr="0021115D">
        <w:t xml:space="preserve">nly </w:t>
      </w:r>
      <w:r w:rsidR="003E5BC8" w:rsidRPr="0021115D">
        <w:t xml:space="preserve">the City can file </w:t>
      </w:r>
      <w:r w:rsidR="00D35B4A" w:rsidRPr="0021115D">
        <w:t>a municipal</w:t>
      </w:r>
      <w:r w:rsidR="0041060A" w:rsidRPr="0021115D">
        <w:t xml:space="preserve"> lien</w:t>
      </w:r>
      <w:r w:rsidR="003E5BC8" w:rsidRPr="0021115D">
        <w:t xml:space="preserve">.  Respondent is </w:t>
      </w:r>
      <w:r w:rsidR="00362096" w:rsidRPr="00362096">
        <w:rPr>
          <w:u w:val="single"/>
        </w:rPr>
        <w:t>not</w:t>
      </w:r>
      <w:r w:rsidR="00362096">
        <w:t xml:space="preserve"> a municipality but </w:t>
      </w:r>
      <w:r w:rsidR="003E5BC8" w:rsidRPr="0021115D">
        <w:t>a municipal utility wholly owned by the City.  Respondent consists only of the real and personal assets used to manufacture and deliver natural gas to entities within the City’s borders</w:t>
      </w:r>
      <w:r w:rsidR="00C612E1" w:rsidRPr="0021115D">
        <w:t>.</w:t>
      </w:r>
      <w:r w:rsidR="000141ED">
        <w:rPr>
          <w:rStyle w:val="FootnoteReference"/>
        </w:rPr>
        <w:footnoteReference w:id="10"/>
      </w:r>
      <w:r w:rsidR="00C612E1" w:rsidRPr="0021115D">
        <w:t xml:space="preserve">  </w:t>
      </w:r>
    </w:p>
    <w:p w:rsidR="005A369F" w:rsidRPr="0021115D" w:rsidRDefault="005A369F" w:rsidP="0021115D">
      <w:pPr>
        <w:spacing w:line="360" w:lineRule="auto"/>
        <w:ind w:firstLine="1440"/>
      </w:pPr>
    </w:p>
    <w:p w:rsidR="008C00AF" w:rsidRPr="0021115D" w:rsidRDefault="008C00AF" w:rsidP="0021115D">
      <w:pPr>
        <w:spacing w:line="360" w:lineRule="auto"/>
        <w:ind w:firstLine="1440"/>
      </w:pPr>
      <w:r w:rsidRPr="0021115D">
        <w:t>Respondent does not</w:t>
      </w:r>
      <w:r w:rsidR="00DE08C4" w:rsidRPr="0021115D">
        <w:t xml:space="preserve"> meet the legal definition of an entity authorized to file a lien to enforce a municipal claim as set forth in </w:t>
      </w:r>
      <w:r w:rsidR="0041060A" w:rsidRPr="0021115D">
        <w:t>the Municipal Claim and Tax Lien Law.  See, 53 P.S. § 7101.</w:t>
      </w:r>
      <w:r w:rsidR="00056345" w:rsidRPr="0021115D">
        <w:t xml:space="preserve">  </w:t>
      </w:r>
      <w:r w:rsidR="00362096">
        <w:t>Consequently, when R</w:t>
      </w:r>
      <w:r w:rsidR="0041060A" w:rsidRPr="0021115D">
        <w:t xml:space="preserve">espondent provides natural gas service to </w:t>
      </w:r>
      <w:r w:rsidR="00362096">
        <w:t>a service address or premises</w:t>
      </w:r>
      <w:r w:rsidR="0041060A" w:rsidRPr="0021115D">
        <w:t xml:space="preserve"> within the borders of the City and </w:t>
      </w:r>
      <w:r w:rsidR="00372D88" w:rsidRPr="0021115D">
        <w:t xml:space="preserve">is not paid, it is the </w:t>
      </w:r>
      <w:r w:rsidR="00372D88" w:rsidRPr="007A7F84">
        <w:rPr>
          <w:u w:val="single"/>
        </w:rPr>
        <w:t>City</w:t>
      </w:r>
      <w:r w:rsidR="00372D88" w:rsidRPr="0021115D">
        <w:t xml:space="preserve"> </w:t>
      </w:r>
      <w:r w:rsidR="007A7F84">
        <w:t>which holds</w:t>
      </w:r>
      <w:r w:rsidR="00372D88" w:rsidRPr="0021115D">
        <w:t xml:space="preserve"> a municipal claim </w:t>
      </w:r>
      <w:r w:rsidR="00362096">
        <w:t>which</w:t>
      </w:r>
      <w:r w:rsidR="007A7F84">
        <w:t xml:space="preserve"> the law permits</w:t>
      </w:r>
      <w:r w:rsidR="00372D88" w:rsidRPr="0021115D">
        <w:t xml:space="preserve"> it </w:t>
      </w:r>
      <w:r w:rsidR="007A7F84">
        <w:t>to</w:t>
      </w:r>
      <w:r w:rsidR="00372D88" w:rsidRPr="0021115D">
        <w:t xml:space="preserve"> enforce by </w:t>
      </w:r>
      <w:r w:rsidR="007A7F84">
        <w:t xml:space="preserve">filing </w:t>
      </w:r>
      <w:r w:rsidR="00372D88" w:rsidRPr="0021115D">
        <w:t xml:space="preserve">a lien on the property that was </w:t>
      </w:r>
      <w:r w:rsidR="00AF13DF" w:rsidRPr="0021115D">
        <w:t xml:space="preserve">provided natural gas </w:t>
      </w:r>
      <w:r w:rsidR="00372D88" w:rsidRPr="0021115D">
        <w:t>serv</w:t>
      </w:r>
      <w:r w:rsidR="00AF13DF" w:rsidRPr="0021115D">
        <w:t>ice</w:t>
      </w:r>
      <w:r w:rsidR="00372D88" w:rsidRPr="0021115D">
        <w:t>.</w:t>
      </w:r>
    </w:p>
    <w:p w:rsidR="007C7A4D" w:rsidRPr="0021115D" w:rsidRDefault="00851226" w:rsidP="00964A7F">
      <w:pPr>
        <w:spacing w:line="360" w:lineRule="auto"/>
        <w:ind w:firstLine="1440"/>
      </w:pPr>
      <w:r w:rsidRPr="0021115D">
        <w:lastRenderedPageBreak/>
        <w:t>The procedure which the City must follow to establish a lien on a specific property, such as the Premises, is set forth in the Municipal Claim and Tax Lien Law.  See, 53</w:t>
      </w:r>
      <w:r w:rsidR="00A762EE">
        <w:t> </w:t>
      </w:r>
      <w:r w:rsidRPr="0021115D">
        <w:t>P.S. §</w:t>
      </w:r>
      <w:r w:rsidR="008A18C5" w:rsidRPr="0021115D">
        <w:t>§</w:t>
      </w:r>
      <w:r w:rsidRPr="0021115D">
        <w:t xml:space="preserve"> 7106(b), (c), </w:t>
      </w:r>
      <w:r w:rsidR="008A18C5" w:rsidRPr="0021115D">
        <w:t>7143.</w:t>
      </w:r>
      <w:r w:rsidR="008C00AF" w:rsidRPr="0021115D">
        <w:t xml:space="preserve">  The lien is docketed with the Prothonotary (a clerk of the court) and maintained in an </w:t>
      </w:r>
      <w:r w:rsidR="00DF1C12">
        <w:t>“</w:t>
      </w:r>
      <w:r w:rsidR="008C00AF" w:rsidRPr="0021115D">
        <w:t>in rem</w:t>
      </w:r>
      <w:r w:rsidR="00DF1C12">
        <w:t>”</w:t>
      </w:r>
      <w:r w:rsidR="008C00AF" w:rsidRPr="0021115D">
        <w:t xml:space="preserve"> index (an index maintained by property identification rather than by party name).  See, 53 P.S. § 7106(b).  Enforcement of the lien is a judicial procedure controlled by the Court of Common Pleas, with due process safeguards provided to protect the righ</w:t>
      </w:r>
      <w:r w:rsidR="00DF1C12">
        <w:t>ts of interested parties.</w:t>
      </w:r>
      <w:r w:rsidR="00DF1C12">
        <w:rPr>
          <w:rStyle w:val="FootnoteReference"/>
        </w:rPr>
        <w:footnoteReference w:id="11"/>
      </w:r>
      <w:r w:rsidR="00DF1C12">
        <w:t xml:space="preserve">  </w:t>
      </w:r>
      <w:r w:rsidR="008C00AF" w:rsidRPr="0021115D">
        <w:t>Ultimate recovery of the amount of the municipal claims resulting in the lien is effectuated by a court</w:t>
      </w:r>
      <w:r w:rsidR="00DF1C12">
        <w:t>-</w:t>
      </w:r>
      <w:r w:rsidR="008C00AF" w:rsidRPr="0021115D">
        <w:t>ordered sheriff’s sale.  53 P.S. § 7283.</w:t>
      </w:r>
    </w:p>
    <w:p w:rsidR="00B34142" w:rsidRPr="0021115D" w:rsidRDefault="00B34142" w:rsidP="00964A7F">
      <w:pPr>
        <w:spacing w:line="360" w:lineRule="auto"/>
        <w:ind w:firstLine="1440"/>
      </w:pPr>
    </w:p>
    <w:p w:rsidR="006E1398" w:rsidRDefault="00087760" w:rsidP="0021115D">
      <w:pPr>
        <w:spacing w:line="360" w:lineRule="auto"/>
        <w:ind w:firstLine="1440"/>
      </w:pPr>
      <w:r w:rsidRPr="0021115D">
        <w:t xml:space="preserve">The </w:t>
      </w:r>
      <w:r w:rsidR="00DB2A86" w:rsidRPr="0021115D">
        <w:t xml:space="preserve">proceeding to obtain and enforce the </w:t>
      </w:r>
      <w:r w:rsidR="009C585D" w:rsidRPr="0021115D">
        <w:t xml:space="preserve">City’s municipal claim </w:t>
      </w:r>
      <w:r w:rsidRPr="0021115D">
        <w:t xml:space="preserve">lien is </w:t>
      </w:r>
      <w:r w:rsidR="007B74DC" w:rsidRPr="0021115D">
        <w:t xml:space="preserve">an </w:t>
      </w:r>
      <w:r w:rsidR="005A369F">
        <w:t>“</w:t>
      </w:r>
      <w:r w:rsidR="007B74DC" w:rsidRPr="0021115D">
        <w:t>in rem</w:t>
      </w:r>
      <w:r w:rsidR="005A369F">
        <w:t>”</w:t>
      </w:r>
      <w:r w:rsidR="007B74DC" w:rsidRPr="0021115D">
        <w:t xml:space="preserve"> proceeding.</w:t>
      </w:r>
      <w:r w:rsidR="003961CB" w:rsidRPr="0021115D">
        <w:rPr>
          <w:rStyle w:val="FootnoteReference"/>
        </w:rPr>
        <w:footnoteReference w:id="12"/>
      </w:r>
      <w:r w:rsidR="00C863BA" w:rsidRPr="0021115D">
        <w:t xml:space="preserve">  “Accordingly, the lien is either valid or invalid as to the property in question rather than as to the respective property interests involved.”</w:t>
      </w:r>
      <w:r w:rsidR="00DF1C12">
        <w:rPr>
          <w:rStyle w:val="FootnoteReference"/>
        </w:rPr>
        <w:footnoteReference w:id="13"/>
      </w:r>
      <w:r w:rsidR="00C863BA" w:rsidRPr="0021115D">
        <w:t xml:space="preserve">  </w:t>
      </w:r>
      <w:r w:rsidR="00612838" w:rsidRPr="0021115D">
        <w:t>What this means</w:t>
      </w:r>
      <w:r w:rsidR="00153F31" w:rsidRPr="0021115D">
        <w:t xml:space="preserve"> is that the </w:t>
      </w:r>
      <w:r w:rsidR="00153F31" w:rsidRPr="00DF1C12">
        <w:rPr>
          <w:u w:val="single"/>
        </w:rPr>
        <w:t>Premises</w:t>
      </w:r>
      <w:r w:rsidR="005A369F">
        <w:t xml:space="preserve"> is responsible to satisfy the claim secured by the municipal lien.  C</w:t>
      </w:r>
      <w:r w:rsidR="00153F31" w:rsidRPr="0021115D">
        <w:t>omplainant</w:t>
      </w:r>
      <w:r w:rsidR="007E117E" w:rsidRPr="0021115D">
        <w:t xml:space="preserve"> </w:t>
      </w:r>
      <w:r w:rsidR="005A369F" w:rsidRPr="00DF1C12">
        <w:rPr>
          <w:u w:val="single"/>
        </w:rPr>
        <w:t>herself</w:t>
      </w:r>
      <w:r w:rsidR="005A369F">
        <w:t xml:space="preserve"> is not</w:t>
      </w:r>
      <w:r w:rsidR="00153F31" w:rsidRPr="0021115D">
        <w:t xml:space="preserve"> responsible for satisfying the</w:t>
      </w:r>
      <w:r w:rsidR="00A85C25" w:rsidRPr="0021115D">
        <w:t xml:space="preserve"> clai</w:t>
      </w:r>
      <w:r w:rsidR="004864A5" w:rsidRPr="0021115D">
        <w:t>m</w:t>
      </w:r>
      <w:r w:rsidR="00A85C25" w:rsidRPr="0021115D">
        <w:t xml:space="preserve">.  </w:t>
      </w:r>
      <w:r w:rsidR="00D23B34" w:rsidRPr="0021115D">
        <w:t xml:space="preserve">No personal responsibility is asserted against </w:t>
      </w:r>
      <w:r w:rsidR="005A369F">
        <w:t>C</w:t>
      </w:r>
      <w:r w:rsidR="00A85C25" w:rsidRPr="0021115D">
        <w:t>omplainant</w:t>
      </w:r>
      <w:r w:rsidR="00D23B34" w:rsidRPr="0021115D">
        <w:t xml:space="preserve"> by the filing of the lien on the Premises</w:t>
      </w:r>
      <w:r w:rsidR="00A85C25" w:rsidRPr="0021115D">
        <w:t>.</w:t>
      </w:r>
      <w:r w:rsidR="00DF1C12">
        <w:rPr>
          <w:rStyle w:val="FootnoteReference"/>
        </w:rPr>
        <w:footnoteReference w:id="14"/>
      </w:r>
    </w:p>
    <w:p w:rsidR="00CC2130" w:rsidRPr="0021115D" w:rsidRDefault="00CC2130" w:rsidP="0021115D">
      <w:pPr>
        <w:spacing w:line="360" w:lineRule="auto"/>
        <w:ind w:firstLine="1440"/>
      </w:pPr>
    </w:p>
    <w:p w:rsidR="007B74DC" w:rsidRPr="0021115D" w:rsidRDefault="009C585D" w:rsidP="0021115D">
      <w:pPr>
        <w:tabs>
          <w:tab w:val="left" w:pos="7020"/>
        </w:tabs>
        <w:spacing w:line="360" w:lineRule="auto"/>
        <w:ind w:firstLine="1440"/>
      </w:pPr>
      <w:r w:rsidRPr="0021115D">
        <w:t xml:space="preserve">The difference between </w:t>
      </w:r>
      <w:r w:rsidR="00514CEB" w:rsidRPr="0021115D">
        <w:t xml:space="preserve">an </w:t>
      </w:r>
      <w:r w:rsidR="005A369F">
        <w:t>“</w:t>
      </w:r>
      <w:r w:rsidR="00514CEB" w:rsidRPr="0021115D">
        <w:t>in personam</w:t>
      </w:r>
      <w:r w:rsidR="005A369F">
        <w:t>”</w:t>
      </w:r>
      <w:r w:rsidR="00514CEB" w:rsidRPr="0021115D">
        <w:t xml:space="preserve"> judgment and </w:t>
      </w:r>
      <w:r w:rsidRPr="0021115D">
        <w:t xml:space="preserve">an </w:t>
      </w:r>
      <w:r w:rsidR="005A369F">
        <w:t>“</w:t>
      </w:r>
      <w:r w:rsidRPr="0021115D">
        <w:t>in rem</w:t>
      </w:r>
      <w:r w:rsidR="005A369F">
        <w:t>”</w:t>
      </w:r>
      <w:r w:rsidRPr="0021115D">
        <w:t xml:space="preserve"> municipal lien is best </w:t>
      </w:r>
      <w:r w:rsidR="00FE164C" w:rsidRPr="0021115D">
        <w:t>explained by an example.  If A obtains a personal judgment against B in the amount of $100,000 and enters the judgment in County X, where B owns three pieces of real property</w:t>
      </w:r>
      <w:r w:rsidR="00BD0BA7" w:rsidRPr="0021115D">
        <w:t xml:space="preserve"> worth $25,000 each, A can have all three properties sold by the Sheriff of County X to satisfy the judgment.  However, if City A enters a municipal lien </w:t>
      </w:r>
      <w:r w:rsidR="00514CEB" w:rsidRPr="0021115D">
        <w:t xml:space="preserve">in the amount of $30,000 </w:t>
      </w:r>
      <w:r w:rsidR="00BD0BA7" w:rsidRPr="0021115D">
        <w:t>against Property</w:t>
      </w:r>
      <w:r w:rsidR="00533965">
        <w:t> </w:t>
      </w:r>
      <w:r w:rsidR="00BD0BA7" w:rsidRPr="0021115D">
        <w:t xml:space="preserve">1 of three separate </w:t>
      </w:r>
      <w:r w:rsidR="00514CEB" w:rsidRPr="0021115D">
        <w:t xml:space="preserve">pieces of real property worth $25,000 each that B owns in County X, </w:t>
      </w:r>
      <w:r w:rsidR="00514CEB" w:rsidRPr="0021115D">
        <w:lastRenderedPageBreak/>
        <w:t>only Property 1 can be sold to satisfy the lien.  The debt can only be recovered from the specific property upon which the in rem municipal lien has been placed.</w:t>
      </w:r>
      <w:r w:rsidR="00437DB6" w:rsidRPr="0021115D">
        <w:t xml:space="preserve">  If the specific property was being rented by a landlord to a tenant, neither is personally liable for payment of the municipal claim amount.  </w:t>
      </w:r>
      <w:r w:rsidR="00437DB6" w:rsidRPr="0021115D">
        <w:rPr>
          <w:i/>
        </w:rPr>
        <w:t>Philadelphia v. Northwood Textile Mills, Inc.</w:t>
      </w:r>
      <w:r w:rsidR="00437DB6" w:rsidRPr="0021115D">
        <w:t>, 395 Pa. 112, 149 A.2d 60 (1959).</w:t>
      </w:r>
      <w:r w:rsidR="00D6044C" w:rsidRPr="0021115D">
        <w:t xml:space="preserve">  Only the </w:t>
      </w:r>
      <w:r w:rsidR="00D6044C" w:rsidRPr="0021115D">
        <w:rPr>
          <w:i/>
        </w:rPr>
        <w:t>thing</w:t>
      </w:r>
      <w:r w:rsidR="00D6044C" w:rsidRPr="0021115D">
        <w:t xml:space="preserve">, </w:t>
      </w:r>
      <w:r w:rsidR="00DB6089">
        <w:t xml:space="preserve">i.e., the “in rem”, known as </w:t>
      </w:r>
      <w:r w:rsidR="00D6044C" w:rsidRPr="0021115D">
        <w:t xml:space="preserve">the specific </w:t>
      </w:r>
      <w:r w:rsidR="00DB6089">
        <w:t>property is</w:t>
      </w:r>
      <w:r w:rsidR="00D6044C" w:rsidRPr="0021115D">
        <w:t xml:space="preserve"> subject to the municipal lien</w:t>
      </w:r>
      <w:r w:rsidR="00DB6089">
        <w:t xml:space="preserve"> and </w:t>
      </w:r>
      <w:r w:rsidR="00D6044C" w:rsidRPr="0021115D">
        <w:t>is liable for the amount owed.</w:t>
      </w:r>
    </w:p>
    <w:p w:rsidR="00DA7715" w:rsidRPr="0021115D" w:rsidRDefault="00DA7715" w:rsidP="0021115D">
      <w:pPr>
        <w:spacing w:line="360" w:lineRule="auto"/>
        <w:ind w:firstLine="1440"/>
      </w:pPr>
    </w:p>
    <w:p w:rsidR="00221E89" w:rsidRPr="0021115D" w:rsidRDefault="00221E89" w:rsidP="0021115D">
      <w:pPr>
        <w:spacing w:line="360" w:lineRule="auto"/>
        <w:ind w:firstLine="1440"/>
      </w:pPr>
      <w:r w:rsidRPr="0021115D">
        <w:t>In the instant case, the entire proceeding</w:t>
      </w:r>
      <w:r w:rsidR="00DB6089">
        <w:t>,</w:t>
      </w:r>
      <w:r w:rsidRPr="0021115D">
        <w:t xml:space="preserve"> </w:t>
      </w:r>
      <w:r w:rsidR="00DB6089">
        <w:t xml:space="preserve">concerning the filing of the lien, the correctness of the lien and the defense of the lien, </w:t>
      </w:r>
      <w:r w:rsidRPr="0021115D">
        <w:t>is within the jurisdiction of the Court of Common Pleas of Philadelphia County</w:t>
      </w:r>
      <w:r w:rsidRPr="0021115D">
        <w:rPr>
          <w:rStyle w:val="FootnoteReference"/>
        </w:rPr>
        <w:footnoteReference w:id="15"/>
      </w:r>
      <w:r w:rsidRPr="0021115D">
        <w:t>, not the Commission.  Municipal lien proceedings are exclusively matters of judicial</w:t>
      </w:r>
      <w:r w:rsidR="00DB6089">
        <w:t xml:space="preserve"> jurisdiction</w:t>
      </w:r>
      <w:r w:rsidRPr="0021115D">
        <w:t>, not administrative jurisdiction.</w:t>
      </w:r>
    </w:p>
    <w:p w:rsidR="00D6044C" w:rsidRPr="0021115D" w:rsidRDefault="00D6044C" w:rsidP="0021115D">
      <w:pPr>
        <w:spacing w:line="360" w:lineRule="auto"/>
        <w:ind w:firstLine="1440"/>
      </w:pPr>
    </w:p>
    <w:p w:rsidR="00F34739" w:rsidRPr="0021115D" w:rsidRDefault="00D75D31" w:rsidP="0021115D">
      <w:pPr>
        <w:spacing w:line="360" w:lineRule="auto"/>
        <w:ind w:firstLine="1440"/>
      </w:pPr>
      <w:r w:rsidRPr="0021115D">
        <w:t xml:space="preserve">Additionally, </w:t>
      </w:r>
      <w:r w:rsidR="00DB6089" w:rsidRPr="0021115D">
        <w:t>there is no public utility involved</w:t>
      </w:r>
      <w:r w:rsidR="00DB6089">
        <w:t xml:space="preserve"> </w:t>
      </w:r>
      <w:r w:rsidR="00561691">
        <w:t xml:space="preserve">in the imposition of the lien </w:t>
      </w:r>
      <w:r w:rsidR="00DB6089">
        <w:t xml:space="preserve">because the lien belongs to </w:t>
      </w:r>
      <w:r w:rsidRPr="0021115D">
        <w:t>the City</w:t>
      </w:r>
      <w:r w:rsidR="00DB6089">
        <w:t xml:space="preserve"> of Philadelphia</w:t>
      </w:r>
      <w:r w:rsidRPr="0021115D">
        <w:t xml:space="preserve">, not </w:t>
      </w:r>
      <w:r w:rsidR="00DB6089">
        <w:t>to PGW</w:t>
      </w:r>
      <w:r w:rsidRPr="0021115D">
        <w:t xml:space="preserve">.  In obtaining a municipal lien upon the Premises, the City </w:t>
      </w:r>
      <w:r w:rsidR="00DB6089">
        <w:t>acts</w:t>
      </w:r>
      <w:r w:rsidRPr="0021115D">
        <w:t xml:space="preserve"> in its capacity as a municipality only.</w:t>
      </w:r>
      <w:r w:rsidR="00E43928" w:rsidRPr="0021115D">
        <w:t xml:space="preserve">  The Commission </w:t>
      </w:r>
      <w:r w:rsidR="00DB6089">
        <w:t>has</w:t>
      </w:r>
      <w:r w:rsidR="00E43928" w:rsidRPr="0021115D">
        <w:t xml:space="preserve"> jurisdiction over public utilities </w:t>
      </w:r>
      <w:r w:rsidR="00A32276">
        <w:t xml:space="preserve">as specified </w:t>
      </w:r>
      <w:r w:rsidR="00E43928" w:rsidRPr="0021115D">
        <w:t>by the Public Utility Code, 66 Pa.C.S.A. § 101 et</w:t>
      </w:r>
      <w:r w:rsidR="0048313B">
        <w:t> </w:t>
      </w:r>
      <w:r w:rsidR="00E43928" w:rsidRPr="0021115D">
        <w:t xml:space="preserve">seq., </w:t>
      </w:r>
      <w:r w:rsidR="00A32276">
        <w:t xml:space="preserve">but the Commission does </w:t>
      </w:r>
      <w:r w:rsidR="00A32276" w:rsidRPr="00A32276">
        <w:rPr>
          <w:u w:val="single"/>
        </w:rPr>
        <w:t>not</w:t>
      </w:r>
      <w:r w:rsidR="00A32276">
        <w:t xml:space="preserve"> have jurisdiction</w:t>
      </w:r>
      <w:r w:rsidR="00E43928" w:rsidRPr="0021115D">
        <w:t xml:space="preserve"> over </w:t>
      </w:r>
      <w:proofErr w:type="gramStart"/>
      <w:r w:rsidR="00A32276">
        <w:t>a municipality</w:t>
      </w:r>
      <w:proofErr w:type="gramEnd"/>
      <w:r w:rsidR="00A32276">
        <w:t xml:space="preserve"> </w:t>
      </w:r>
      <w:r w:rsidR="00E43928" w:rsidRPr="0021115D">
        <w:t xml:space="preserve">acting in </w:t>
      </w:r>
      <w:r w:rsidR="00A32276">
        <w:t>its</w:t>
      </w:r>
      <w:r w:rsidR="00E43928" w:rsidRPr="0021115D">
        <w:t xml:space="preserve"> municipal capacity.</w:t>
      </w:r>
      <w:r w:rsidR="00296F9C" w:rsidRPr="0021115D">
        <w:rPr>
          <w:rStyle w:val="FootnoteReference"/>
        </w:rPr>
        <w:footnoteReference w:id="16"/>
      </w:r>
      <w:r w:rsidR="00561691">
        <w:t xml:space="preserve">  These</w:t>
      </w:r>
      <w:r w:rsidR="00F34739" w:rsidRPr="0021115D">
        <w:t xml:space="preserve"> established principles of jurisdiction are buttressed by two separate provisions of </w:t>
      </w:r>
      <w:r w:rsidR="00313DBF" w:rsidRPr="0021115D">
        <w:t>the Public Utility Code, 66 Pa.C.S.A. § 101 et seq. (Code)</w:t>
      </w:r>
      <w:r w:rsidR="00F34739" w:rsidRPr="0021115D">
        <w:t>.</w:t>
      </w:r>
    </w:p>
    <w:p w:rsidR="00F34739" w:rsidRPr="0021115D" w:rsidRDefault="00F34739" w:rsidP="0021115D">
      <w:pPr>
        <w:spacing w:line="360" w:lineRule="auto"/>
        <w:ind w:firstLine="1440"/>
      </w:pPr>
    </w:p>
    <w:p w:rsidR="00B908D0" w:rsidRDefault="0026155A" w:rsidP="0021115D">
      <w:pPr>
        <w:spacing w:line="360" w:lineRule="auto"/>
        <w:ind w:firstLine="1440"/>
      </w:pPr>
      <w:r w:rsidRPr="0021115D">
        <w:t>66 Pa.C.S.A. § 1414(a) provides:</w:t>
      </w:r>
    </w:p>
    <w:p w:rsidR="006E1398" w:rsidRPr="0021115D" w:rsidRDefault="006E1398" w:rsidP="006E1398">
      <w:pPr>
        <w:ind w:firstLine="1440"/>
      </w:pPr>
    </w:p>
    <w:p w:rsidR="0026155A" w:rsidRPr="0021115D" w:rsidRDefault="006E1398" w:rsidP="006E1398">
      <w:pPr>
        <w:widowControl w:val="0"/>
        <w:adjustRightInd w:val="0"/>
        <w:ind w:left="1440" w:right="1440"/>
        <w:rPr>
          <w:color w:val="000000"/>
        </w:rPr>
      </w:pPr>
      <w:r>
        <w:rPr>
          <w:b/>
          <w:bCs/>
          <w:color w:val="000000"/>
        </w:rPr>
        <w:t>(a)</w:t>
      </w:r>
      <w:r>
        <w:rPr>
          <w:b/>
          <w:bCs/>
          <w:color w:val="000000"/>
        </w:rPr>
        <w:tab/>
      </w:r>
      <w:r w:rsidR="0026155A" w:rsidRPr="0021115D">
        <w:rPr>
          <w:b/>
          <w:bCs/>
          <w:color w:val="000000"/>
        </w:rPr>
        <w:t>General rule.--</w:t>
      </w:r>
      <w:r w:rsidR="0026155A" w:rsidRPr="0021115D">
        <w:rPr>
          <w:color w:val="000000"/>
        </w:rPr>
        <w:t xml:space="preserve">A city natural gas distribution operation furnishing gas service to a property is entitled to impose or assess a municipal claim against the property and file as liens of record claims for unpaid natural gas distribution service and other related costs, including natural gas supply, in the court of common pleas of the county in which the property is situated or, if the claim for the unpaid natural gas distribution service does not exceed the </w:t>
      </w:r>
      <w:r w:rsidR="0026155A" w:rsidRPr="0021115D">
        <w:rPr>
          <w:color w:val="000000"/>
        </w:rPr>
        <w:lastRenderedPageBreak/>
        <w:t xml:space="preserve">maximum amount over which the Municipal Court of Philadelphia has jurisdiction, in the Municipal Court of Philadelphia, pursuant to sections 3 and 9 of the act of May 16, 1923 (P.L. 207, No. 153), </w:t>
      </w:r>
      <w:bookmarkStart w:id="0" w:name="Document1zz[FN1]"/>
      <w:bookmarkEnd w:id="0"/>
      <w:r w:rsidR="0026155A" w:rsidRPr="0021115D">
        <w:rPr>
          <w:color w:val="000000"/>
        </w:rPr>
        <w:t>referred to as the Municipal Claim and Tax Lien Law, and chapter</w:t>
      </w:r>
      <w:r w:rsidR="00D83196">
        <w:rPr>
          <w:color w:val="000000"/>
        </w:rPr>
        <w:t> </w:t>
      </w:r>
      <w:r w:rsidR="0026155A" w:rsidRPr="0021115D">
        <w:rPr>
          <w:color w:val="000000"/>
        </w:rPr>
        <w:t xml:space="preserve">22 </w:t>
      </w:r>
      <w:bookmarkStart w:id="1" w:name="Document1zz[FN2]"/>
      <w:bookmarkEnd w:id="1"/>
      <w:r w:rsidR="0026155A" w:rsidRPr="0021115D">
        <w:rPr>
          <w:color w:val="000000"/>
        </w:rPr>
        <w:t>(relating to natural gas competition).</w:t>
      </w:r>
    </w:p>
    <w:p w:rsidR="0026155A" w:rsidRPr="0021115D" w:rsidRDefault="0026155A" w:rsidP="0021115D">
      <w:pPr>
        <w:widowControl w:val="0"/>
        <w:adjustRightInd w:val="0"/>
        <w:ind w:left="1440" w:right="1440"/>
        <w:jc w:val="both"/>
        <w:rPr>
          <w:color w:val="000000"/>
        </w:rPr>
      </w:pPr>
      <w:r w:rsidRPr="0021115D">
        <w:rPr>
          <w:bCs/>
          <w:color w:val="000000"/>
        </w:rPr>
        <w:t>66 Pa.</w:t>
      </w:r>
      <w:r w:rsidRPr="0021115D">
        <w:rPr>
          <w:color w:val="000000"/>
        </w:rPr>
        <w:t>C.S.A.</w:t>
      </w:r>
      <w:r w:rsidR="0007731E" w:rsidRPr="0021115D">
        <w:rPr>
          <w:color w:val="000000"/>
        </w:rPr>
        <w:t xml:space="preserve"> § 1414(a) (footnotes omitted)</w:t>
      </w:r>
    </w:p>
    <w:p w:rsidR="0026155A" w:rsidRPr="0021115D" w:rsidRDefault="0026155A" w:rsidP="0021115D">
      <w:pPr>
        <w:spacing w:line="360" w:lineRule="auto"/>
        <w:ind w:firstLine="1440"/>
      </w:pPr>
    </w:p>
    <w:p w:rsidR="003575C1" w:rsidRPr="0021115D" w:rsidRDefault="0007731E" w:rsidP="0021115D">
      <w:pPr>
        <w:spacing w:line="360" w:lineRule="auto"/>
        <w:ind w:firstLine="1440"/>
        <w:rPr>
          <w:color w:val="000000"/>
        </w:rPr>
      </w:pPr>
      <w:r w:rsidRPr="0021115D">
        <w:t xml:space="preserve">Code section 1414(a) reiterates the General Assembly’s determination that the previously existing right of the City to </w:t>
      </w:r>
      <w:r w:rsidR="00D76ECE" w:rsidRPr="0021115D">
        <w:t xml:space="preserve">enforce payment for natural gas service rendered by the respondent through the municipal claim and lien procedure of the </w:t>
      </w:r>
      <w:r w:rsidR="00D76ECE" w:rsidRPr="0021115D">
        <w:rPr>
          <w:color w:val="000000"/>
        </w:rPr>
        <w:t>Municipal Claim and Tax Lien Law remains unabated.</w:t>
      </w:r>
    </w:p>
    <w:p w:rsidR="003575C1" w:rsidRPr="0021115D" w:rsidRDefault="003575C1" w:rsidP="0021115D">
      <w:pPr>
        <w:spacing w:line="360" w:lineRule="auto"/>
        <w:ind w:firstLine="1440"/>
        <w:rPr>
          <w:color w:val="000000"/>
        </w:rPr>
      </w:pPr>
    </w:p>
    <w:p w:rsidR="00341155" w:rsidRDefault="00D76ECE" w:rsidP="00D038E3">
      <w:pPr>
        <w:spacing w:line="360" w:lineRule="auto"/>
        <w:ind w:firstLine="1440"/>
        <w:outlineLvl w:val="0"/>
        <w:rPr>
          <w:color w:val="000000"/>
        </w:rPr>
      </w:pPr>
      <w:r w:rsidRPr="0021115D">
        <w:rPr>
          <w:color w:val="000000"/>
        </w:rPr>
        <w:t xml:space="preserve">The reference to “chapter 22” (of the Code) in </w:t>
      </w:r>
      <w:r w:rsidR="00016BDA" w:rsidRPr="0021115D">
        <w:rPr>
          <w:color w:val="000000"/>
        </w:rPr>
        <w:t xml:space="preserve">section 1414(a) is especially </w:t>
      </w:r>
    </w:p>
    <w:p w:rsidR="003575C1" w:rsidRDefault="00016BDA" w:rsidP="00341155">
      <w:pPr>
        <w:spacing w:line="360" w:lineRule="auto"/>
        <w:rPr>
          <w:color w:val="000000"/>
        </w:rPr>
      </w:pPr>
      <w:r w:rsidRPr="0021115D">
        <w:rPr>
          <w:color w:val="000000"/>
        </w:rPr>
        <w:t>revealing as to the legislature’s intent.</w:t>
      </w:r>
    </w:p>
    <w:p w:rsidR="006E1398" w:rsidRPr="0021115D" w:rsidRDefault="006E1398" w:rsidP="00341155">
      <w:pPr>
        <w:spacing w:line="360" w:lineRule="auto"/>
        <w:rPr>
          <w:color w:val="000000"/>
        </w:rPr>
      </w:pPr>
    </w:p>
    <w:p w:rsidR="00B908D0" w:rsidRDefault="00016BDA" w:rsidP="006E1398">
      <w:pPr>
        <w:ind w:firstLine="1440"/>
        <w:rPr>
          <w:color w:val="000000"/>
        </w:rPr>
      </w:pPr>
      <w:r w:rsidRPr="0021115D">
        <w:rPr>
          <w:color w:val="000000"/>
        </w:rPr>
        <w:t>66 Pa.C.S.A. § 2212(n) states:</w:t>
      </w:r>
    </w:p>
    <w:p w:rsidR="006E1398" w:rsidRPr="0021115D" w:rsidRDefault="006E1398" w:rsidP="006E1398">
      <w:pPr>
        <w:ind w:firstLine="1440"/>
        <w:rPr>
          <w:color w:val="000000"/>
        </w:rPr>
      </w:pPr>
    </w:p>
    <w:p w:rsidR="006661CF" w:rsidRPr="0021115D" w:rsidRDefault="006E1398" w:rsidP="0021115D">
      <w:pPr>
        <w:widowControl w:val="0"/>
        <w:adjustRightInd w:val="0"/>
        <w:ind w:left="1440" w:right="1440"/>
        <w:jc w:val="both"/>
        <w:rPr>
          <w:color w:val="000000"/>
        </w:rPr>
      </w:pPr>
      <w:r>
        <w:rPr>
          <w:b/>
          <w:bCs/>
          <w:color w:val="000000"/>
        </w:rPr>
        <w:t>(n)</w:t>
      </w:r>
      <w:r>
        <w:rPr>
          <w:b/>
          <w:bCs/>
          <w:color w:val="000000"/>
        </w:rPr>
        <w:tab/>
      </w:r>
      <w:r w:rsidR="006661CF" w:rsidRPr="0021115D">
        <w:rPr>
          <w:b/>
          <w:bCs/>
          <w:color w:val="000000"/>
        </w:rPr>
        <w:t>Collections.--</w:t>
      </w:r>
      <w:r w:rsidR="006661CF" w:rsidRPr="0021115D">
        <w:rPr>
          <w:color w:val="000000"/>
        </w:rPr>
        <w:t>Nothing contained in this title shall abrogate the power of a city natural gas distribution operation to collect delinquent receivables through the imposition of liens pursuant to section 3 of the act of May 16, 1923 (P.L. 207, No. 153),</w:t>
      </w:r>
      <w:bookmarkStart w:id="2" w:name="Document1zz[FN6]"/>
      <w:bookmarkEnd w:id="2"/>
      <w:r w:rsidR="006661CF" w:rsidRPr="0021115D">
        <w:rPr>
          <w:color w:val="000000"/>
        </w:rPr>
        <w:t xml:space="preserve"> referred to as the Municipal Claim and Tax Lien Law, or otherwise.</w:t>
      </w:r>
    </w:p>
    <w:p w:rsidR="006661CF" w:rsidRPr="0021115D" w:rsidRDefault="00B258BE" w:rsidP="0021115D">
      <w:pPr>
        <w:widowControl w:val="0"/>
        <w:adjustRightInd w:val="0"/>
        <w:ind w:left="1440" w:right="1440"/>
        <w:jc w:val="both"/>
        <w:rPr>
          <w:color w:val="000000"/>
        </w:rPr>
      </w:pPr>
      <w:r w:rsidRPr="0021115D">
        <w:rPr>
          <w:color w:val="000000"/>
        </w:rPr>
        <w:t>66 Pa.C.S.A. § 2212(n) (footnote omitted)</w:t>
      </w:r>
    </w:p>
    <w:p w:rsidR="00016BDA" w:rsidRPr="0021115D" w:rsidRDefault="00016BDA" w:rsidP="0021115D">
      <w:pPr>
        <w:spacing w:line="360" w:lineRule="auto"/>
        <w:ind w:firstLine="1440"/>
      </w:pPr>
    </w:p>
    <w:p w:rsidR="003575C1" w:rsidRPr="0021115D" w:rsidRDefault="00C478DE" w:rsidP="0021115D">
      <w:pPr>
        <w:spacing w:line="360" w:lineRule="auto"/>
        <w:ind w:firstLine="1440"/>
        <w:rPr>
          <w:color w:val="000000"/>
        </w:rPr>
      </w:pPr>
      <w:r w:rsidRPr="0021115D">
        <w:t>Code section 2212(n) specifically states that “[n]othing</w:t>
      </w:r>
      <w:r w:rsidRPr="0021115D">
        <w:rPr>
          <w:color w:val="000000"/>
        </w:rPr>
        <w:t xml:space="preserve"> contained in this </w:t>
      </w:r>
      <w:r w:rsidRPr="0021115D">
        <w:rPr>
          <w:color w:val="000000"/>
          <w:u w:val="single"/>
        </w:rPr>
        <w:t>title</w:t>
      </w:r>
      <w:r w:rsidR="00FD4B8E" w:rsidRPr="0021115D">
        <w:rPr>
          <w:color w:val="000000"/>
        </w:rPr>
        <w:t xml:space="preserve">”, that is; Title 66, the </w:t>
      </w:r>
      <w:r w:rsidR="000B32F4" w:rsidRPr="0021115D">
        <w:rPr>
          <w:color w:val="000000"/>
        </w:rPr>
        <w:t xml:space="preserve">entire </w:t>
      </w:r>
      <w:r w:rsidR="00FD4B8E" w:rsidRPr="0021115D">
        <w:rPr>
          <w:color w:val="000000"/>
        </w:rPr>
        <w:t>Code, shall abrogate the right of the City to collect unpaid bills for natural gas service through the mechanisms provided by the Municipal Claim and Tax Lien Law</w:t>
      </w:r>
      <w:r w:rsidR="000B32F4" w:rsidRPr="0021115D">
        <w:rPr>
          <w:color w:val="000000"/>
        </w:rPr>
        <w:t>.  As explained above, those mechanisms are not within the jurisdiction of the Commission.</w:t>
      </w:r>
    </w:p>
    <w:p w:rsidR="001C3E6C" w:rsidRPr="0021115D" w:rsidRDefault="001C3E6C" w:rsidP="0021115D">
      <w:pPr>
        <w:spacing w:line="360" w:lineRule="auto"/>
        <w:ind w:firstLine="1440"/>
        <w:rPr>
          <w:color w:val="000000"/>
        </w:rPr>
      </w:pPr>
    </w:p>
    <w:p w:rsidR="00B908D0" w:rsidRPr="0021115D" w:rsidRDefault="000A4EF8" w:rsidP="0021115D">
      <w:pPr>
        <w:spacing w:line="360" w:lineRule="auto"/>
        <w:ind w:firstLine="1440"/>
        <w:rPr>
          <w:color w:val="000000"/>
        </w:rPr>
      </w:pPr>
      <w:r w:rsidRPr="0021115D">
        <w:t xml:space="preserve">Complainant’s relief, if any, must be obtained under the procedures established by </w:t>
      </w:r>
      <w:r w:rsidRPr="0021115D">
        <w:rPr>
          <w:color w:val="000000"/>
        </w:rPr>
        <w:t xml:space="preserve">the Municipal Claim and Tax Lien Law.  Respondent’s Preliminary Objection </w:t>
      </w:r>
      <w:r w:rsidR="0009167D" w:rsidRPr="0021115D">
        <w:rPr>
          <w:color w:val="000000"/>
        </w:rPr>
        <w:t xml:space="preserve">under 52 Pa.Code § 5.101(a)(1) </w:t>
      </w:r>
      <w:r w:rsidRPr="0021115D">
        <w:rPr>
          <w:color w:val="000000"/>
        </w:rPr>
        <w:t xml:space="preserve">challenging the Commission’s subject matter jurisdiction </w:t>
      </w:r>
      <w:r w:rsidR="00B73BC4" w:rsidRPr="0021115D">
        <w:rPr>
          <w:color w:val="000000"/>
        </w:rPr>
        <w:t>is sustained.</w:t>
      </w:r>
    </w:p>
    <w:p w:rsidR="00B73BC4" w:rsidRPr="0021115D" w:rsidRDefault="00B73BC4" w:rsidP="0021115D">
      <w:pPr>
        <w:spacing w:line="360" w:lineRule="auto"/>
        <w:ind w:firstLine="1440"/>
        <w:rPr>
          <w:color w:val="000000"/>
        </w:rPr>
      </w:pPr>
    </w:p>
    <w:p w:rsidR="00B73BC4" w:rsidRPr="0021115D" w:rsidRDefault="00E972EF" w:rsidP="0021115D">
      <w:pPr>
        <w:spacing w:line="360" w:lineRule="auto"/>
        <w:ind w:firstLine="1440"/>
      </w:pPr>
      <w:r w:rsidRPr="0021115D">
        <w:rPr>
          <w:color w:val="000000"/>
        </w:rPr>
        <w:t xml:space="preserve">Having determined the Commission lacks subject matter jurisdiction over the </w:t>
      </w:r>
      <w:r w:rsidR="00CA11A4">
        <w:rPr>
          <w:color w:val="000000"/>
        </w:rPr>
        <w:t>c</w:t>
      </w:r>
      <w:r w:rsidRPr="0021115D">
        <w:rPr>
          <w:color w:val="000000"/>
        </w:rPr>
        <w:t>omplaint,</w:t>
      </w:r>
      <w:r w:rsidR="00A41309">
        <w:rPr>
          <w:color w:val="000000"/>
        </w:rPr>
        <w:t xml:space="preserve"> there is no reason to discuss R</w:t>
      </w:r>
      <w:r w:rsidRPr="0021115D">
        <w:rPr>
          <w:color w:val="000000"/>
        </w:rPr>
        <w:t xml:space="preserve">espondent’s </w:t>
      </w:r>
      <w:r w:rsidR="00A41309">
        <w:rPr>
          <w:color w:val="000000"/>
        </w:rPr>
        <w:t>request</w:t>
      </w:r>
      <w:r w:rsidR="00A41309">
        <w:t xml:space="preserve"> that the portion of the c</w:t>
      </w:r>
      <w:r w:rsidRPr="0021115D">
        <w:t xml:space="preserve">omplaint </w:t>
      </w:r>
      <w:r w:rsidRPr="0021115D">
        <w:lastRenderedPageBreak/>
        <w:t xml:space="preserve">seeking relief </w:t>
      </w:r>
      <w:r w:rsidR="0009167D" w:rsidRPr="0021115D">
        <w:t>in the form of a Commission order</w:t>
      </w:r>
      <w:r w:rsidR="00A41309">
        <w:t>,</w:t>
      </w:r>
      <w:r w:rsidR="0009167D" w:rsidRPr="0021115D">
        <w:t xml:space="preserve"> that the lien on the Premises be removed</w:t>
      </w:r>
      <w:r w:rsidR="00A41309">
        <w:t>,</w:t>
      </w:r>
      <w:r w:rsidR="0009167D" w:rsidRPr="0021115D">
        <w:t xml:space="preserve"> be stricken </w:t>
      </w:r>
      <w:r w:rsidRPr="0021115D">
        <w:t>as impertinent matter.</w:t>
      </w:r>
    </w:p>
    <w:p w:rsidR="008210D4" w:rsidRPr="0021115D" w:rsidRDefault="008210D4" w:rsidP="0021115D">
      <w:pPr>
        <w:spacing w:line="360" w:lineRule="auto"/>
        <w:ind w:firstLine="1440"/>
      </w:pPr>
    </w:p>
    <w:p w:rsidR="00EA184D" w:rsidRPr="0021115D" w:rsidRDefault="00284F6C" w:rsidP="006E1398">
      <w:pPr>
        <w:spacing w:line="360" w:lineRule="auto"/>
        <w:jc w:val="center"/>
        <w:outlineLvl w:val="0"/>
        <w:rPr>
          <w:u w:val="single"/>
        </w:rPr>
      </w:pPr>
      <w:r w:rsidRPr="0021115D">
        <w:rPr>
          <w:u w:val="single"/>
        </w:rPr>
        <w:t>CONCLUSIONS OF LAW</w:t>
      </w:r>
    </w:p>
    <w:p w:rsidR="00284F6C" w:rsidRPr="0021115D" w:rsidRDefault="00284F6C" w:rsidP="0021115D">
      <w:pPr>
        <w:spacing w:line="360" w:lineRule="auto"/>
        <w:ind w:firstLine="1440"/>
      </w:pPr>
    </w:p>
    <w:p w:rsidR="00284F6C" w:rsidRPr="0021115D" w:rsidRDefault="00A41309" w:rsidP="0021115D">
      <w:pPr>
        <w:spacing w:line="360" w:lineRule="auto"/>
        <w:ind w:firstLine="1440"/>
      </w:pPr>
      <w:r>
        <w:t>1.</w:t>
      </w:r>
      <w:r>
        <w:tab/>
        <w:t>C</w:t>
      </w:r>
      <w:r w:rsidR="00934EA9" w:rsidRPr="0021115D">
        <w:t>omplainan</w:t>
      </w:r>
      <w:r w:rsidR="005310F8" w:rsidRPr="0021115D">
        <w:t>t objects to the municipal lien</w:t>
      </w:r>
      <w:r w:rsidR="00934EA9" w:rsidRPr="0021115D">
        <w:t xml:space="preserve"> filed against the Premises.</w:t>
      </w:r>
    </w:p>
    <w:p w:rsidR="00934EA9" w:rsidRPr="0021115D" w:rsidRDefault="00934EA9" w:rsidP="0021115D">
      <w:pPr>
        <w:spacing w:line="360" w:lineRule="auto"/>
        <w:ind w:firstLine="1440"/>
      </w:pPr>
    </w:p>
    <w:p w:rsidR="00934EA9" w:rsidRPr="0021115D" w:rsidRDefault="00934EA9" w:rsidP="0021115D">
      <w:pPr>
        <w:spacing w:line="360" w:lineRule="auto"/>
        <w:ind w:firstLine="1440"/>
      </w:pPr>
      <w:r w:rsidRPr="0021115D">
        <w:t>2.</w:t>
      </w:r>
      <w:r w:rsidRPr="0021115D">
        <w:tab/>
        <w:t>Commission preliminary objection practice is comparable to Pennsylvania civil practice respecting the filing of preliminary objections.</w:t>
      </w:r>
    </w:p>
    <w:p w:rsidR="00934EA9" w:rsidRPr="0021115D" w:rsidRDefault="00934EA9" w:rsidP="0021115D">
      <w:pPr>
        <w:spacing w:line="360" w:lineRule="auto"/>
        <w:ind w:firstLine="1440"/>
      </w:pPr>
    </w:p>
    <w:p w:rsidR="00934EA9" w:rsidRPr="0021115D" w:rsidRDefault="00934EA9" w:rsidP="0021115D">
      <w:pPr>
        <w:spacing w:line="360" w:lineRule="auto"/>
        <w:ind w:firstLine="1440"/>
      </w:pPr>
      <w:r w:rsidRPr="0021115D">
        <w:t>3.</w:t>
      </w:r>
      <w:r w:rsidRPr="0021115D">
        <w:tab/>
        <w:t xml:space="preserve">The Commission’s regulations provide </w:t>
      </w:r>
      <w:r w:rsidR="00131729" w:rsidRPr="0021115D">
        <w:t>for a</w:t>
      </w:r>
      <w:r w:rsidRPr="0021115D">
        <w:t xml:space="preserve"> Preliminary Objection that th</w:t>
      </w:r>
      <w:r w:rsidR="005C56B2" w:rsidRPr="0021115D">
        <w:t>e Commission lacks jurisdiction.</w:t>
      </w:r>
    </w:p>
    <w:p w:rsidR="005C56B2" w:rsidRPr="0021115D" w:rsidRDefault="005C56B2" w:rsidP="0021115D">
      <w:pPr>
        <w:spacing w:line="360" w:lineRule="auto"/>
        <w:ind w:firstLine="1440"/>
      </w:pPr>
    </w:p>
    <w:p w:rsidR="005C56B2" w:rsidRPr="0021115D" w:rsidRDefault="005C56B2" w:rsidP="0021115D">
      <w:pPr>
        <w:spacing w:line="360" w:lineRule="auto"/>
        <w:ind w:firstLine="1440"/>
      </w:pPr>
      <w:r w:rsidRPr="0021115D">
        <w:t>4.</w:t>
      </w:r>
      <w:r w:rsidRPr="0021115D">
        <w:tab/>
        <w:t>Jurisdiction relates solely to the competency of the particular court or administrative body to determine controversies of the general class to which the case then presented for its consideration belongs.</w:t>
      </w:r>
    </w:p>
    <w:p w:rsidR="005C56B2" w:rsidRPr="0021115D" w:rsidRDefault="005C56B2" w:rsidP="0021115D">
      <w:pPr>
        <w:spacing w:line="360" w:lineRule="auto"/>
        <w:ind w:firstLine="1440"/>
      </w:pPr>
    </w:p>
    <w:p w:rsidR="005C56B2" w:rsidRPr="0021115D" w:rsidRDefault="005C56B2" w:rsidP="0021115D">
      <w:pPr>
        <w:spacing w:line="360" w:lineRule="auto"/>
        <w:ind w:firstLine="1440"/>
      </w:pPr>
      <w:r w:rsidRPr="0021115D">
        <w:t>5.</w:t>
      </w:r>
      <w:r w:rsidRPr="0021115D">
        <w:tab/>
        <w:t>The Commission must act within, and cannot exceed, its jurisdiction.</w:t>
      </w:r>
    </w:p>
    <w:p w:rsidR="005C56B2" w:rsidRPr="0021115D" w:rsidRDefault="005C56B2" w:rsidP="0021115D">
      <w:pPr>
        <w:spacing w:line="360" w:lineRule="auto"/>
        <w:ind w:firstLine="1440"/>
      </w:pPr>
    </w:p>
    <w:p w:rsidR="005C56B2" w:rsidRPr="0021115D" w:rsidRDefault="005C56B2" w:rsidP="0021115D">
      <w:pPr>
        <w:spacing w:line="360" w:lineRule="auto"/>
        <w:ind w:firstLine="1440"/>
      </w:pPr>
      <w:r w:rsidRPr="0021115D">
        <w:t>6.</w:t>
      </w:r>
      <w:r w:rsidRPr="0021115D">
        <w:tab/>
        <w:t>Subject matter jurisdiction is a prerequisite to the exercise of the power to decide a controversy.</w:t>
      </w:r>
    </w:p>
    <w:p w:rsidR="005C56B2" w:rsidRPr="0021115D" w:rsidRDefault="005C56B2" w:rsidP="0021115D">
      <w:pPr>
        <w:spacing w:line="360" w:lineRule="auto"/>
        <w:ind w:firstLine="1440"/>
      </w:pPr>
    </w:p>
    <w:p w:rsidR="005C56B2" w:rsidRPr="0021115D" w:rsidRDefault="005C56B2" w:rsidP="0021115D">
      <w:pPr>
        <w:spacing w:line="360" w:lineRule="auto"/>
        <w:ind w:firstLine="1440"/>
      </w:pPr>
      <w:r w:rsidRPr="0021115D">
        <w:t>7.</w:t>
      </w:r>
      <w:r w:rsidRPr="0021115D">
        <w:tab/>
        <w:t>Jurisdiction may not be conferred by the parties where none exists.</w:t>
      </w:r>
    </w:p>
    <w:p w:rsidR="005C56B2" w:rsidRPr="0021115D" w:rsidRDefault="005C56B2" w:rsidP="0021115D">
      <w:pPr>
        <w:spacing w:line="360" w:lineRule="auto"/>
        <w:ind w:firstLine="1440"/>
      </w:pPr>
    </w:p>
    <w:p w:rsidR="005C56B2" w:rsidRPr="0021115D" w:rsidRDefault="005C56B2" w:rsidP="0021115D">
      <w:pPr>
        <w:spacing w:line="360" w:lineRule="auto"/>
        <w:ind w:firstLine="1440"/>
      </w:pPr>
      <w:r w:rsidRPr="0021115D">
        <w:t>8.</w:t>
      </w:r>
      <w:r w:rsidRPr="0021115D">
        <w:tab/>
      </w:r>
      <w:r w:rsidR="00AF57A6" w:rsidRPr="0021115D">
        <w:t>Neither silence nor agreement of the parties will confer jurisdiction where it otherwise would not exist.</w:t>
      </w:r>
    </w:p>
    <w:p w:rsidR="00AF57A6" w:rsidRPr="0021115D" w:rsidRDefault="00AF57A6" w:rsidP="0021115D">
      <w:pPr>
        <w:spacing w:line="360" w:lineRule="auto"/>
        <w:ind w:firstLine="1440"/>
      </w:pPr>
    </w:p>
    <w:p w:rsidR="00AF57A6" w:rsidRPr="0021115D" w:rsidRDefault="00AF57A6" w:rsidP="0021115D">
      <w:pPr>
        <w:spacing w:line="360" w:lineRule="auto"/>
        <w:ind w:firstLine="1440"/>
      </w:pPr>
      <w:r w:rsidRPr="0021115D">
        <w:t>9.</w:t>
      </w:r>
      <w:r w:rsidRPr="0021115D">
        <w:tab/>
        <w:t>Jurisdiction cannot be obtained by waiver or estoppel.</w:t>
      </w:r>
    </w:p>
    <w:p w:rsidR="00AF57A6" w:rsidRPr="0021115D" w:rsidRDefault="00AF57A6" w:rsidP="0021115D">
      <w:pPr>
        <w:spacing w:line="360" w:lineRule="auto"/>
        <w:ind w:firstLine="1440"/>
      </w:pPr>
    </w:p>
    <w:p w:rsidR="00AF57A6" w:rsidRPr="0021115D" w:rsidRDefault="00AF57A6" w:rsidP="0021115D">
      <w:pPr>
        <w:spacing w:line="360" w:lineRule="auto"/>
        <w:ind w:firstLine="1440"/>
      </w:pPr>
      <w:r w:rsidRPr="0021115D">
        <w:lastRenderedPageBreak/>
        <w:t>10.</w:t>
      </w:r>
      <w:r w:rsidRPr="0021115D">
        <w:tab/>
        <w:t>Acting under the authority and power granted in the Municipal Claim and Tax Lien Law, 53 P.S. § 7101 et seq., the City files a lien to enforce municipal claims against property for unpaid natural gas service rendered by respondent.</w:t>
      </w:r>
    </w:p>
    <w:p w:rsidR="00AF57A6" w:rsidRPr="0021115D" w:rsidRDefault="00AF57A6" w:rsidP="0021115D">
      <w:pPr>
        <w:spacing w:line="360" w:lineRule="auto"/>
        <w:ind w:firstLine="1440"/>
      </w:pPr>
    </w:p>
    <w:p w:rsidR="00AF57A6" w:rsidRPr="0021115D" w:rsidRDefault="00AF57A6" w:rsidP="0021115D">
      <w:pPr>
        <w:spacing w:line="360" w:lineRule="auto"/>
        <w:ind w:firstLine="1440"/>
      </w:pPr>
      <w:r w:rsidRPr="0021115D">
        <w:t>11.</w:t>
      </w:r>
      <w:r w:rsidRPr="0021115D">
        <w:tab/>
        <w:t>A lien is a charge on property, either real or personal, for the payment or discharge of a particular debt or duty in priority to the general debts or duties of the owner.  It encumbers property to secure payment or performance of a debt, duty or other obligation.</w:t>
      </w:r>
    </w:p>
    <w:p w:rsidR="00D3636E" w:rsidRPr="0021115D" w:rsidRDefault="00D3636E" w:rsidP="0021115D">
      <w:pPr>
        <w:spacing w:line="360" w:lineRule="auto"/>
        <w:ind w:firstLine="1440"/>
      </w:pPr>
    </w:p>
    <w:p w:rsidR="00D3636E" w:rsidRPr="0021115D" w:rsidRDefault="00D3636E" w:rsidP="0021115D">
      <w:pPr>
        <w:spacing w:line="360" w:lineRule="auto"/>
        <w:ind w:firstLine="1440"/>
      </w:pPr>
      <w:r w:rsidRPr="0021115D">
        <w:t>12.</w:t>
      </w:r>
      <w:r w:rsidRPr="0021115D">
        <w:tab/>
        <w:t xml:space="preserve">It is only the City, as a municipality, that can file a </w:t>
      </w:r>
      <w:r w:rsidR="00F834B9" w:rsidRPr="0021115D">
        <w:t xml:space="preserve">municipal </w:t>
      </w:r>
      <w:r w:rsidRPr="0021115D">
        <w:t>lien to enforce municipal claims against property for unpaid natural gas service rendered by respondent.</w:t>
      </w:r>
    </w:p>
    <w:p w:rsidR="00D3636E" w:rsidRPr="0021115D" w:rsidRDefault="00D3636E" w:rsidP="0021115D">
      <w:pPr>
        <w:spacing w:line="360" w:lineRule="auto"/>
        <w:ind w:firstLine="1440"/>
      </w:pPr>
    </w:p>
    <w:p w:rsidR="00D3636E" w:rsidRPr="0021115D" w:rsidRDefault="00D3636E" w:rsidP="0021115D">
      <w:pPr>
        <w:spacing w:line="360" w:lineRule="auto"/>
        <w:ind w:firstLine="1440"/>
      </w:pPr>
      <w:r w:rsidRPr="0021115D">
        <w:t>13.</w:t>
      </w:r>
      <w:r w:rsidRPr="0021115D">
        <w:tab/>
        <w:t>Respondent is a municipal utility that is wholly owned by the City.  Respondent consists only of the real and personal assets that are used to manufacture and deliver natural gas to entities within the City’s borders.</w:t>
      </w:r>
    </w:p>
    <w:p w:rsidR="00D3636E" w:rsidRPr="0021115D" w:rsidRDefault="00D3636E" w:rsidP="0021115D">
      <w:pPr>
        <w:spacing w:line="360" w:lineRule="auto"/>
        <w:ind w:firstLine="1440"/>
      </w:pPr>
    </w:p>
    <w:p w:rsidR="00D3636E" w:rsidRPr="0021115D" w:rsidRDefault="00D3636E" w:rsidP="0021115D">
      <w:pPr>
        <w:spacing w:line="360" w:lineRule="auto"/>
        <w:ind w:firstLine="1440"/>
      </w:pPr>
      <w:r w:rsidRPr="0021115D">
        <w:t>14.</w:t>
      </w:r>
      <w:r w:rsidRPr="0021115D">
        <w:tab/>
        <w:t>The procedure which the City must follow to establish a lien on a specific property, such as the Premises, is set forth in the Municipal Claim and Tax Lien Law.</w:t>
      </w:r>
    </w:p>
    <w:p w:rsidR="003D537C" w:rsidRPr="0021115D" w:rsidRDefault="003D537C" w:rsidP="0021115D">
      <w:pPr>
        <w:spacing w:line="360" w:lineRule="auto"/>
        <w:ind w:firstLine="1440"/>
      </w:pPr>
    </w:p>
    <w:p w:rsidR="003D537C" w:rsidRPr="0021115D" w:rsidRDefault="003D537C" w:rsidP="0021115D">
      <w:pPr>
        <w:spacing w:line="360" w:lineRule="auto"/>
        <w:ind w:firstLine="1440"/>
      </w:pPr>
      <w:r w:rsidRPr="0021115D">
        <w:t>15.</w:t>
      </w:r>
      <w:r w:rsidRPr="0021115D">
        <w:tab/>
        <w:t>The lien obtained for the enforcement of the City’s municipal claim is an in rem proceeding.</w:t>
      </w:r>
    </w:p>
    <w:p w:rsidR="003D537C" w:rsidRPr="0021115D" w:rsidRDefault="003D537C" w:rsidP="0021115D">
      <w:pPr>
        <w:spacing w:line="360" w:lineRule="auto"/>
        <w:ind w:firstLine="1440"/>
      </w:pPr>
    </w:p>
    <w:p w:rsidR="003D537C" w:rsidRPr="0021115D" w:rsidRDefault="003D537C" w:rsidP="0021115D">
      <w:pPr>
        <w:spacing w:line="360" w:lineRule="auto"/>
        <w:ind w:firstLine="1440"/>
      </w:pPr>
      <w:r w:rsidRPr="0021115D">
        <w:t>16.</w:t>
      </w:r>
      <w:r w:rsidRPr="0021115D">
        <w:tab/>
        <w:t>“In rem” is a technical term used to designate proceedings or actions instituted against the thing, in contradistinction to personal actions, which are said to be in personam.</w:t>
      </w:r>
    </w:p>
    <w:p w:rsidR="003D537C" w:rsidRPr="0021115D" w:rsidRDefault="003D537C" w:rsidP="0021115D">
      <w:pPr>
        <w:spacing w:line="360" w:lineRule="auto"/>
        <w:ind w:firstLine="1440"/>
      </w:pPr>
    </w:p>
    <w:p w:rsidR="003D537C" w:rsidRPr="0021115D" w:rsidRDefault="003D537C" w:rsidP="0021115D">
      <w:pPr>
        <w:spacing w:line="360" w:lineRule="auto"/>
        <w:ind w:firstLine="1440"/>
      </w:pPr>
      <w:r w:rsidRPr="0021115D">
        <w:t>17.</w:t>
      </w:r>
      <w:r w:rsidRPr="0021115D">
        <w:tab/>
      </w:r>
      <w:r w:rsidR="00AA2580" w:rsidRPr="0021115D">
        <w:t>The City’s lien is either valid or invalid as to the property in question rather than as to the respective property interests involved.</w:t>
      </w:r>
    </w:p>
    <w:p w:rsidR="00AA2580" w:rsidRPr="0021115D" w:rsidRDefault="00AA2580" w:rsidP="0021115D">
      <w:pPr>
        <w:spacing w:line="360" w:lineRule="auto"/>
        <w:ind w:firstLine="1440"/>
      </w:pPr>
    </w:p>
    <w:p w:rsidR="00F834B9" w:rsidRPr="0021115D" w:rsidRDefault="00F834B9" w:rsidP="0021115D">
      <w:pPr>
        <w:spacing w:line="360" w:lineRule="auto"/>
        <w:ind w:firstLine="1440"/>
      </w:pPr>
      <w:r w:rsidRPr="0021115D">
        <w:t>18.</w:t>
      </w:r>
      <w:r w:rsidRPr="0021115D">
        <w:tab/>
        <w:t xml:space="preserve">No personal responsibility is asserted against </w:t>
      </w:r>
      <w:r w:rsidR="00A41309">
        <w:t>C</w:t>
      </w:r>
      <w:r w:rsidRPr="0021115D">
        <w:t>omplainant by the</w:t>
      </w:r>
      <w:r w:rsidR="00B95FF1" w:rsidRPr="0021115D">
        <w:t xml:space="preserve"> City’s</w:t>
      </w:r>
      <w:r w:rsidRPr="0021115D">
        <w:t xml:space="preserve"> </w:t>
      </w:r>
      <w:r w:rsidR="00B95FF1" w:rsidRPr="0021115D">
        <w:t xml:space="preserve">filing </w:t>
      </w:r>
      <w:r w:rsidRPr="0021115D">
        <w:t xml:space="preserve">of </w:t>
      </w:r>
      <w:r w:rsidR="00B95FF1" w:rsidRPr="0021115D">
        <w:t>a</w:t>
      </w:r>
      <w:r w:rsidRPr="0021115D">
        <w:t xml:space="preserve"> lien on the Premises.</w:t>
      </w:r>
    </w:p>
    <w:p w:rsidR="00F834B9" w:rsidRPr="0021115D" w:rsidRDefault="00F834B9" w:rsidP="0021115D">
      <w:pPr>
        <w:spacing w:line="360" w:lineRule="auto"/>
        <w:ind w:firstLine="1440"/>
      </w:pPr>
    </w:p>
    <w:p w:rsidR="00AA2580" w:rsidRPr="0021115D" w:rsidRDefault="00AA2580" w:rsidP="0021115D">
      <w:pPr>
        <w:spacing w:line="360" w:lineRule="auto"/>
        <w:ind w:firstLine="1440"/>
      </w:pPr>
      <w:r w:rsidRPr="0021115D">
        <w:lastRenderedPageBreak/>
        <w:t>1</w:t>
      </w:r>
      <w:r w:rsidR="00F834B9" w:rsidRPr="0021115D">
        <w:t>9</w:t>
      </w:r>
      <w:r w:rsidRPr="0021115D">
        <w:t>.</w:t>
      </w:r>
      <w:r w:rsidRPr="0021115D">
        <w:tab/>
        <w:t>Enforcement of the City’s lien is a judicial procedure controlled by the Court of Common Pleas, with due process safeguards provided to protect the rights of interested parties.</w:t>
      </w:r>
    </w:p>
    <w:p w:rsidR="00AA2580" w:rsidRPr="0021115D" w:rsidRDefault="00AA2580" w:rsidP="0021115D">
      <w:pPr>
        <w:spacing w:line="360" w:lineRule="auto"/>
        <w:ind w:firstLine="1440"/>
      </w:pPr>
    </w:p>
    <w:p w:rsidR="00AA2580" w:rsidRPr="0021115D" w:rsidRDefault="00F834B9" w:rsidP="0021115D">
      <w:pPr>
        <w:spacing w:line="360" w:lineRule="auto"/>
        <w:ind w:firstLine="1440"/>
      </w:pPr>
      <w:r w:rsidRPr="0021115D">
        <w:t>20</w:t>
      </w:r>
      <w:r w:rsidR="00AA2580" w:rsidRPr="0021115D">
        <w:t>.</w:t>
      </w:r>
      <w:r w:rsidR="00AA2580" w:rsidRPr="0021115D">
        <w:tab/>
        <w:t>Ultimate recovery of the amount of the municipal claims resulting in the City’s lien is effectuated by a court</w:t>
      </w:r>
      <w:r w:rsidR="00A41309">
        <w:t>-</w:t>
      </w:r>
      <w:r w:rsidR="00AA2580" w:rsidRPr="0021115D">
        <w:t>ordered sheriff’s sale.</w:t>
      </w:r>
    </w:p>
    <w:p w:rsidR="00AA2580" w:rsidRPr="0021115D" w:rsidRDefault="00AA2580" w:rsidP="0021115D">
      <w:pPr>
        <w:spacing w:line="360" w:lineRule="auto"/>
        <w:ind w:firstLine="1440"/>
      </w:pPr>
    </w:p>
    <w:p w:rsidR="00AA2580" w:rsidRPr="0021115D" w:rsidRDefault="00AA2580" w:rsidP="0021115D">
      <w:pPr>
        <w:spacing w:line="360" w:lineRule="auto"/>
        <w:ind w:firstLine="1440"/>
      </w:pPr>
      <w:r w:rsidRPr="0021115D">
        <w:t>2</w:t>
      </w:r>
      <w:r w:rsidR="00F834B9" w:rsidRPr="0021115D">
        <w:t>1</w:t>
      </w:r>
      <w:r w:rsidRPr="0021115D">
        <w:t>.</w:t>
      </w:r>
      <w:r w:rsidRPr="0021115D">
        <w:tab/>
      </w:r>
      <w:r w:rsidR="00B92911" w:rsidRPr="0021115D">
        <w:t>Lien proceedings are exclusively matters of judicial, not administrative, jurisdiction.</w:t>
      </w:r>
    </w:p>
    <w:p w:rsidR="00B92911" w:rsidRPr="0021115D" w:rsidRDefault="00B92911" w:rsidP="0021115D">
      <w:pPr>
        <w:spacing w:line="360" w:lineRule="auto"/>
        <w:ind w:firstLine="1440"/>
      </w:pPr>
    </w:p>
    <w:p w:rsidR="00A37A66" w:rsidRPr="0021115D" w:rsidRDefault="00B92911" w:rsidP="0021115D">
      <w:pPr>
        <w:spacing w:line="360" w:lineRule="auto"/>
        <w:ind w:firstLine="1440"/>
        <w:rPr>
          <w:color w:val="000000"/>
        </w:rPr>
      </w:pPr>
      <w:r w:rsidRPr="0021115D">
        <w:t>2</w:t>
      </w:r>
      <w:r w:rsidR="00F834B9" w:rsidRPr="0021115D">
        <w:t>2</w:t>
      </w:r>
      <w:r w:rsidRPr="0021115D">
        <w:t>.</w:t>
      </w:r>
      <w:r w:rsidRPr="0021115D">
        <w:tab/>
      </w:r>
      <w:r w:rsidR="00A37A66" w:rsidRPr="0021115D">
        <w:t xml:space="preserve">Code section 1414(a) reiterates the General Assembly’s determination that the previously existing right of the City to enforce payment for natural gas service rendered by the respondent through the municipal claim and lien procedure of the </w:t>
      </w:r>
      <w:r w:rsidR="00A37A66" w:rsidRPr="0021115D">
        <w:rPr>
          <w:color w:val="000000"/>
        </w:rPr>
        <w:t>Municipal Claim and Tax Lien Law remains unabated.</w:t>
      </w:r>
    </w:p>
    <w:p w:rsidR="00A37A66" w:rsidRPr="0021115D" w:rsidRDefault="00A37A66" w:rsidP="0021115D">
      <w:pPr>
        <w:spacing w:line="360" w:lineRule="auto"/>
        <w:ind w:firstLine="1440"/>
        <w:rPr>
          <w:color w:val="000000"/>
        </w:rPr>
      </w:pPr>
    </w:p>
    <w:p w:rsidR="00A37A66" w:rsidRPr="0021115D" w:rsidRDefault="00A37A66" w:rsidP="0021115D">
      <w:pPr>
        <w:spacing w:line="360" w:lineRule="auto"/>
        <w:ind w:firstLine="1440"/>
        <w:rPr>
          <w:color w:val="000000"/>
        </w:rPr>
      </w:pPr>
      <w:r w:rsidRPr="0021115D">
        <w:rPr>
          <w:color w:val="000000"/>
        </w:rPr>
        <w:t>2</w:t>
      </w:r>
      <w:r w:rsidR="00397C03">
        <w:rPr>
          <w:color w:val="000000"/>
        </w:rPr>
        <w:t>3</w:t>
      </w:r>
      <w:r w:rsidRPr="0021115D">
        <w:rPr>
          <w:color w:val="000000"/>
        </w:rPr>
        <w:t>.</w:t>
      </w:r>
      <w:r w:rsidRPr="0021115D">
        <w:rPr>
          <w:color w:val="000000"/>
        </w:rPr>
        <w:tab/>
      </w:r>
      <w:r w:rsidRPr="0021115D">
        <w:t>Code section 2212(n) specifically states that “[n]othing</w:t>
      </w:r>
      <w:r w:rsidRPr="0021115D">
        <w:rPr>
          <w:color w:val="000000"/>
        </w:rPr>
        <w:t xml:space="preserve"> contained in this </w:t>
      </w:r>
      <w:r w:rsidRPr="0021115D">
        <w:rPr>
          <w:color w:val="000000"/>
          <w:u w:val="single"/>
        </w:rPr>
        <w:t>title</w:t>
      </w:r>
      <w:r w:rsidRPr="0021115D">
        <w:rPr>
          <w:color w:val="000000"/>
        </w:rPr>
        <w:t>”, that is; Title 66, the entire Code, shall abrogate the right of the City to collect unpaid bills for natural gas service through the mechanisms provided by the Municipal Claim and Tax Lien Law.</w:t>
      </w:r>
    </w:p>
    <w:p w:rsidR="000F094B" w:rsidRPr="0021115D" w:rsidRDefault="000F094B" w:rsidP="0021115D">
      <w:pPr>
        <w:spacing w:line="360" w:lineRule="auto"/>
        <w:ind w:firstLine="1440"/>
        <w:rPr>
          <w:color w:val="000000"/>
        </w:rPr>
      </w:pPr>
    </w:p>
    <w:p w:rsidR="000F094B" w:rsidRPr="0021115D" w:rsidRDefault="000F094B" w:rsidP="0021115D">
      <w:pPr>
        <w:spacing w:line="360" w:lineRule="auto"/>
        <w:ind w:firstLine="1440"/>
        <w:rPr>
          <w:color w:val="000000"/>
        </w:rPr>
      </w:pPr>
      <w:r w:rsidRPr="0021115D">
        <w:rPr>
          <w:color w:val="000000"/>
        </w:rPr>
        <w:t>2</w:t>
      </w:r>
      <w:r w:rsidR="00397C03">
        <w:rPr>
          <w:color w:val="000000"/>
        </w:rPr>
        <w:t>4</w:t>
      </w:r>
      <w:r w:rsidRPr="0021115D">
        <w:rPr>
          <w:color w:val="000000"/>
        </w:rPr>
        <w:t>.</w:t>
      </w:r>
      <w:r w:rsidRPr="0021115D">
        <w:rPr>
          <w:color w:val="000000"/>
        </w:rPr>
        <w:tab/>
      </w:r>
      <w:r w:rsidRPr="0021115D">
        <w:t xml:space="preserve">Complainant’s relief, if any, must be obtained under the procedures established by </w:t>
      </w:r>
      <w:r w:rsidRPr="0021115D">
        <w:rPr>
          <w:color w:val="000000"/>
        </w:rPr>
        <w:t>the Municipal Claim and Tax Lien Law.</w:t>
      </w:r>
    </w:p>
    <w:p w:rsidR="00FE4895" w:rsidRPr="0021115D" w:rsidRDefault="00FE4895" w:rsidP="0021115D">
      <w:pPr>
        <w:spacing w:line="360" w:lineRule="auto"/>
        <w:ind w:firstLine="1440"/>
        <w:rPr>
          <w:color w:val="000000"/>
        </w:rPr>
      </w:pPr>
    </w:p>
    <w:p w:rsidR="00FE4895" w:rsidRPr="0021115D" w:rsidRDefault="00FE4895" w:rsidP="0021115D">
      <w:pPr>
        <w:spacing w:line="360" w:lineRule="auto"/>
        <w:ind w:firstLine="1440"/>
      </w:pPr>
      <w:r w:rsidRPr="0021115D">
        <w:rPr>
          <w:color w:val="000000"/>
        </w:rPr>
        <w:t>2</w:t>
      </w:r>
      <w:r w:rsidR="00397C03">
        <w:rPr>
          <w:color w:val="000000"/>
        </w:rPr>
        <w:t>5</w:t>
      </w:r>
      <w:r w:rsidRPr="0021115D">
        <w:rPr>
          <w:color w:val="000000"/>
        </w:rPr>
        <w:t>.</w:t>
      </w:r>
      <w:r w:rsidRPr="0021115D">
        <w:rPr>
          <w:color w:val="000000"/>
        </w:rPr>
        <w:tab/>
        <w:t>Respondent’s Preliminary Objection challenging the Commission’s subject matter jurisdiction under 52 Pa.Code § 5.101(a)(1) is legally correct.</w:t>
      </w:r>
    </w:p>
    <w:p w:rsidR="006E1398" w:rsidRDefault="006E1398" w:rsidP="00D038E3">
      <w:pPr>
        <w:tabs>
          <w:tab w:val="left" w:pos="3600"/>
        </w:tabs>
        <w:spacing w:line="360" w:lineRule="auto"/>
        <w:ind w:firstLine="3600"/>
        <w:outlineLvl w:val="0"/>
        <w:rPr>
          <w:bCs/>
          <w:u w:val="single"/>
        </w:rPr>
      </w:pPr>
    </w:p>
    <w:p w:rsidR="00322E37" w:rsidRDefault="00322E37" w:rsidP="00D038E3">
      <w:pPr>
        <w:tabs>
          <w:tab w:val="left" w:pos="3600"/>
        </w:tabs>
        <w:spacing w:line="360" w:lineRule="auto"/>
        <w:ind w:firstLine="3600"/>
        <w:outlineLvl w:val="0"/>
        <w:rPr>
          <w:bCs/>
          <w:u w:val="single"/>
        </w:rPr>
      </w:pPr>
    </w:p>
    <w:p w:rsidR="00322E37" w:rsidRDefault="00322E37" w:rsidP="00D038E3">
      <w:pPr>
        <w:tabs>
          <w:tab w:val="left" w:pos="3600"/>
        </w:tabs>
        <w:spacing w:line="360" w:lineRule="auto"/>
        <w:ind w:firstLine="3600"/>
        <w:outlineLvl w:val="0"/>
        <w:rPr>
          <w:bCs/>
          <w:u w:val="single"/>
        </w:rPr>
      </w:pPr>
    </w:p>
    <w:p w:rsidR="00322E37" w:rsidRDefault="00322E37" w:rsidP="00D038E3">
      <w:pPr>
        <w:tabs>
          <w:tab w:val="left" w:pos="3600"/>
        </w:tabs>
        <w:spacing w:line="360" w:lineRule="auto"/>
        <w:ind w:firstLine="3600"/>
        <w:outlineLvl w:val="0"/>
        <w:rPr>
          <w:bCs/>
          <w:u w:val="single"/>
        </w:rPr>
      </w:pPr>
    </w:p>
    <w:p w:rsidR="00322E37" w:rsidRDefault="00322E37" w:rsidP="00D038E3">
      <w:pPr>
        <w:tabs>
          <w:tab w:val="left" w:pos="3600"/>
        </w:tabs>
        <w:spacing w:line="360" w:lineRule="auto"/>
        <w:ind w:firstLine="3600"/>
        <w:outlineLvl w:val="0"/>
        <w:rPr>
          <w:bCs/>
          <w:u w:val="single"/>
        </w:rPr>
      </w:pPr>
    </w:p>
    <w:p w:rsidR="00322E37" w:rsidRDefault="00322E37" w:rsidP="00D038E3">
      <w:pPr>
        <w:tabs>
          <w:tab w:val="left" w:pos="3600"/>
        </w:tabs>
        <w:spacing w:line="360" w:lineRule="auto"/>
        <w:ind w:firstLine="3600"/>
        <w:outlineLvl w:val="0"/>
        <w:rPr>
          <w:bCs/>
          <w:u w:val="single"/>
        </w:rPr>
      </w:pPr>
    </w:p>
    <w:p w:rsidR="00A603B2" w:rsidRPr="0021115D" w:rsidRDefault="00FE4895" w:rsidP="00D038E3">
      <w:pPr>
        <w:tabs>
          <w:tab w:val="left" w:pos="3600"/>
        </w:tabs>
        <w:spacing w:line="360" w:lineRule="auto"/>
        <w:ind w:firstLine="3600"/>
        <w:outlineLvl w:val="0"/>
        <w:rPr>
          <w:bCs/>
        </w:rPr>
      </w:pPr>
      <w:r w:rsidRPr="0021115D">
        <w:rPr>
          <w:bCs/>
          <w:u w:val="single"/>
        </w:rPr>
        <w:lastRenderedPageBreak/>
        <w:t>ORDER</w:t>
      </w:r>
    </w:p>
    <w:p w:rsidR="00A603B2" w:rsidRPr="0021115D" w:rsidRDefault="00A603B2" w:rsidP="0021115D">
      <w:pPr>
        <w:spacing w:line="360" w:lineRule="auto"/>
        <w:ind w:firstLine="1440"/>
      </w:pPr>
    </w:p>
    <w:p w:rsidR="00A603B2" w:rsidRPr="0021115D" w:rsidRDefault="00A603B2" w:rsidP="0021115D">
      <w:pPr>
        <w:spacing w:line="360" w:lineRule="auto"/>
        <w:ind w:firstLine="1440"/>
      </w:pPr>
    </w:p>
    <w:p w:rsidR="00FE4895" w:rsidRPr="0021115D" w:rsidRDefault="00FE4895" w:rsidP="0021115D">
      <w:pPr>
        <w:spacing w:line="360" w:lineRule="auto"/>
        <w:ind w:firstLine="1440"/>
      </w:pPr>
      <w:r w:rsidRPr="0021115D">
        <w:t>THEREFORE,</w:t>
      </w:r>
    </w:p>
    <w:p w:rsidR="00FE4895" w:rsidRPr="0021115D" w:rsidRDefault="00FE4895" w:rsidP="0021115D">
      <w:pPr>
        <w:spacing w:line="360" w:lineRule="auto"/>
        <w:ind w:firstLine="1440"/>
      </w:pPr>
    </w:p>
    <w:p w:rsidR="00FE4895" w:rsidRPr="0021115D" w:rsidRDefault="00FE4895" w:rsidP="00D038E3">
      <w:pPr>
        <w:spacing w:line="360" w:lineRule="auto"/>
        <w:ind w:firstLine="1440"/>
        <w:outlineLvl w:val="0"/>
      </w:pPr>
      <w:r w:rsidRPr="0021115D">
        <w:t>IT IS ORDERED:</w:t>
      </w:r>
    </w:p>
    <w:p w:rsidR="00FE4895" w:rsidRPr="0021115D" w:rsidRDefault="00FE4895" w:rsidP="0021115D">
      <w:pPr>
        <w:spacing w:line="360" w:lineRule="auto"/>
        <w:ind w:firstLine="1440"/>
      </w:pPr>
    </w:p>
    <w:p w:rsidR="00A603B2" w:rsidRPr="0021115D" w:rsidRDefault="00A603B2" w:rsidP="0021115D">
      <w:pPr>
        <w:spacing w:line="360" w:lineRule="auto"/>
        <w:ind w:firstLine="1440"/>
      </w:pPr>
      <w:r w:rsidRPr="0021115D">
        <w:t>1.</w:t>
      </w:r>
      <w:r w:rsidRPr="0021115D">
        <w:tab/>
        <w:t xml:space="preserve">That the </w:t>
      </w:r>
      <w:r w:rsidR="00E609C4" w:rsidRPr="0021115D">
        <w:t>Preliminary Objection</w:t>
      </w:r>
      <w:r w:rsidR="00DE22D8" w:rsidRPr="0021115D">
        <w:t xml:space="preserve"> filed on </w:t>
      </w:r>
      <w:r w:rsidR="00397C03">
        <w:t>June 7, 2011</w:t>
      </w:r>
      <w:r w:rsidR="00DE22D8" w:rsidRPr="0021115D">
        <w:t>, by</w:t>
      </w:r>
      <w:r w:rsidRPr="0021115D">
        <w:t xml:space="preserve"> </w:t>
      </w:r>
      <w:r w:rsidR="008B4695" w:rsidRPr="0021115D">
        <w:t>the Philadelphia Gas Works</w:t>
      </w:r>
      <w:r w:rsidR="006D1869" w:rsidRPr="0021115D">
        <w:t xml:space="preserve"> </w:t>
      </w:r>
      <w:r w:rsidR="00656B62" w:rsidRPr="0021115D">
        <w:t>in the above-captioned case</w:t>
      </w:r>
      <w:r w:rsidR="00DE22D8" w:rsidRPr="0021115D">
        <w:t xml:space="preserve"> </w:t>
      </w:r>
      <w:r w:rsidR="000E2D78" w:rsidRPr="0021115D">
        <w:t>challenging the jurisdiction of the Pennsylvania Public Utility Commission is sustained.</w:t>
      </w:r>
    </w:p>
    <w:p w:rsidR="00656B62" w:rsidRPr="0021115D" w:rsidRDefault="00656B62" w:rsidP="0021115D">
      <w:pPr>
        <w:spacing w:line="360" w:lineRule="auto"/>
        <w:ind w:firstLine="1440"/>
      </w:pPr>
    </w:p>
    <w:p w:rsidR="00656B62" w:rsidRPr="0021115D" w:rsidRDefault="00656B62" w:rsidP="0021115D">
      <w:pPr>
        <w:spacing w:line="360" w:lineRule="auto"/>
        <w:ind w:firstLine="1440"/>
      </w:pPr>
      <w:r w:rsidRPr="0021115D">
        <w:t>2.</w:t>
      </w:r>
      <w:r w:rsidRPr="0021115D">
        <w:tab/>
        <w:t xml:space="preserve">That the </w:t>
      </w:r>
      <w:r w:rsidR="000E2D78" w:rsidRPr="0021115D">
        <w:t xml:space="preserve">Complaint filed </w:t>
      </w:r>
      <w:r w:rsidR="00397C03">
        <w:t>May 9, 2011</w:t>
      </w:r>
      <w:r w:rsidR="000E2D78" w:rsidRPr="0021115D">
        <w:t xml:space="preserve">, by </w:t>
      </w:r>
      <w:r w:rsidR="00397C03">
        <w:t>Kadeeia McIver</w:t>
      </w:r>
      <w:r w:rsidR="000E2D78" w:rsidRPr="0021115D">
        <w:t xml:space="preserve"> </w:t>
      </w:r>
      <w:r w:rsidR="00112924" w:rsidRPr="0021115D">
        <w:t>against the Philadelphia Gas Works, Docket N</w:t>
      </w:r>
      <w:r w:rsidR="00573496">
        <w:t>o.</w:t>
      </w:r>
      <w:r w:rsidR="00112924" w:rsidRPr="0021115D">
        <w:t xml:space="preserve"> </w:t>
      </w:r>
      <w:r w:rsidR="007A6CE9" w:rsidRPr="0021115D">
        <w:t>C-20</w:t>
      </w:r>
      <w:r w:rsidR="00397C03">
        <w:t>11</w:t>
      </w:r>
      <w:r w:rsidR="007A6CE9" w:rsidRPr="0021115D">
        <w:t>-</w:t>
      </w:r>
      <w:proofErr w:type="gramStart"/>
      <w:r w:rsidR="007A6CE9" w:rsidRPr="0021115D">
        <w:t>2</w:t>
      </w:r>
      <w:r w:rsidR="00397C03">
        <w:t>241810</w:t>
      </w:r>
      <w:r w:rsidR="00112924" w:rsidRPr="0021115D">
        <w:t>,</w:t>
      </w:r>
      <w:proofErr w:type="gramEnd"/>
      <w:r w:rsidR="00112924" w:rsidRPr="0021115D">
        <w:t xml:space="preserve"> </w:t>
      </w:r>
      <w:r w:rsidR="00FE12F5" w:rsidRPr="0021115D">
        <w:t xml:space="preserve">is </w:t>
      </w:r>
      <w:r w:rsidR="00C10942" w:rsidRPr="0021115D">
        <w:t>dismissed.</w:t>
      </w:r>
    </w:p>
    <w:p w:rsidR="00DE22D8" w:rsidRPr="0021115D" w:rsidRDefault="00DE22D8" w:rsidP="0021115D">
      <w:pPr>
        <w:spacing w:line="360" w:lineRule="auto"/>
        <w:ind w:firstLine="1440"/>
      </w:pPr>
    </w:p>
    <w:p w:rsidR="00702EA0" w:rsidRPr="0021115D" w:rsidRDefault="005D7E04" w:rsidP="0021115D">
      <w:pPr>
        <w:spacing w:line="360" w:lineRule="auto"/>
        <w:ind w:firstLine="1440"/>
      </w:pPr>
      <w:r w:rsidRPr="0021115D">
        <w:t>3</w:t>
      </w:r>
      <w:r w:rsidR="00702EA0" w:rsidRPr="0021115D">
        <w:t>.</w:t>
      </w:r>
      <w:r w:rsidR="00702EA0" w:rsidRPr="0021115D">
        <w:tab/>
      </w:r>
      <w:r w:rsidR="00C10942" w:rsidRPr="0021115D">
        <w:rPr>
          <w:spacing w:val="-3"/>
        </w:rPr>
        <w:t>That the record at Docket N</w:t>
      </w:r>
      <w:r w:rsidR="00AF7DB1">
        <w:rPr>
          <w:spacing w:val="-3"/>
        </w:rPr>
        <w:t>o.</w:t>
      </w:r>
      <w:r w:rsidR="00C10942" w:rsidRPr="0021115D">
        <w:rPr>
          <w:spacing w:val="-3"/>
        </w:rPr>
        <w:t xml:space="preserve"> </w:t>
      </w:r>
      <w:r w:rsidR="00397C03" w:rsidRPr="0021115D">
        <w:t>C-20</w:t>
      </w:r>
      <w:r w:rsidR="00397C03">
        <w:t>11</w:t>
      </w:r>
      <w:r w:rsidR="00397C03" w:rsidRPr="0021115D">
        <w:t>-2</w:t>
      </w:r>
      <w:r w:rsidR="00397C03">
        <w:t xml:space="preserve">241810 </w:t>
      </w:r>
      <w:proofErr w:type="gramStart"/>
      <w:r w:rsidR="00C10942" w:rsidRPr="0021115D">
        <w:rPr>
          <w:spacing w:val="-3"/>
        </w:rPr>
        <w:t>be</w:t>
      </w:r>
      <w:proofErr w:type="gramEnd"/>
      <w:r w:rsidR="00C10942" w:rsidRPr="0021115D">
        <w:rPr>
          <w:spacing w:val="-3"/>
        </w:rPr>
        <w:t xml:space="preserve"> marked closed.</w:t>
      </w:r>
    </w:p>
    <w:p w:rsidR="00A603B2" w:rsidRPr="0021115D" w:rsidRDefault="00A603B2" w:rsidP="0021115D">
      <w:pPr>
        <w:spacing w:line="360" w:lineRule="auto"/>
        <w:ind w:firstLine="1440"/>
      </w:pPr>
    </w:p>
    <w:p w:rsidR="00A603B2" w:rsidRPr="0021115D" w:rsidRDefault="00A603B2" w:rsidP="0021115D">
      <w:pPr>
        <w:spacing w:line="360" w:lineRule="auto"/>
        <w:ind w:firstLine="1440"/>
      </w:pPr>
    </w:p>
    <w:p w:rsidR="00756D87" w:rsidRPr="0021115D" w:rsidRDefault="006E1398" w:rsidP="0021115D">
      <w:pPr>
        <w:rPr>
          <w:u w:val="single"/>
        </w:rPr>
      </w:pPr>
      <w:r>
        <w:t>Date:</w:t>
      </w:r>
      <w:r>
        <w:tab/>
      </w:r>
      <w:r w:rsidR="00397C03">
        <w:rPr>
          <w:u w:val="single"/>
        </w:rPr>
        <w:t>June 24, 2011</w:t>
      </w:r>
      <w:r w:rsidR="00397C03" w:rsidRPr="0033670C">
        <w:tab/>
      </w:r>
      <w:r w:rsidR="00A603B2" w:rsidRPr="0021115D">
        <w:tab/>
      </w:r>
      <w:r>
        <w:tab/>
      </w:r>
      <w:r>
        <w:tab/>
      </w:r>
      <w:r w:rsidR="00756D87" w:rsidRPr="0021115D">
        <w:tab/>
      </w:r>
      <w:r w:rsidR="0033670C">
        <w:tab/>
      </w:r>
      <w:r w:rsidR="007D5EDD" w:rsidRPr="0021115D">
        <w:rPr>
          <w:u w:val="single"/>
        </w:rPr>
        <w:tab/>
      </w:r>
      <w:r w:rsidR="007D5EDD" w:rsidRPr="0021115D">
        <w:rPr>
          <w:u w:val="single"/>
        </w:rPr>
        <w:tab/>
      </w:r>
      <w:r w:rsidR="007D5EDD" w:rsidRPr="0021115D">
        <w:rPr>
          <w:u w:val="single"/>
        </w:rPr>
        <w:tab/>
      </w:r>
      <w:r w:rsidR="007D5EDD" w:rsidRPr="0021115D">
        <w:rPr>
          <w:u w:val="single"/>
        </w:rPr>
        <w:tab/>
      </w:r>
      <w:r w:rsidR="00CF0AF9" w:rsidRPr="0021115D">
        <w:rPr>
          <w:u w:val="single"/>
        </w:rPr>
        <w:tab/>
      </w:r>
    </w:p>
    <w:p w:rsidR="00A603B2" w:rsidRPr="0021115D" w:rsidRDefault="002F7F69" w:rsidP="0021115D">
      <w:r w:rsidRPr="0021115D">
        <w:tab/>
      </w:r>
      <w:r w:rsidR="007D5EDD" w:rsidRPr="0021115D">
        <w:tab/>
      </w:r>
      <w:r w:rsidR="00A603B2" w:rsidRPr="0021115D">
        <w:tab/>
      </w:r>
      <w:r w:rsidR="007D5EDD" w:rsidRPr="0021115D">
        <w:tab/>
      </w:r>
      <w:r w:rsidR="006E1398">
        <w:tab/>
      </w:r>
      <w:r w:rsidR="006E1398">
        <w:tab/>
      </w:r>
      <w:r w:rsidR="007D5EDD" w:rsidRPr="0021115D">
        <w:tab/>
      </w:r>
      <w:r w:rsidR="0033670C">
        <w:tab/>
      </w:r>
      <w:r w:rsidR="00397C03">
        <w:t>Katrina L. Dunderdale</w:t>
      </w:r>
    </w:p>
    <w:p w:rsidR="006B60B5" w:rsidRDefault="00A603B2" w:rsidP="0021115D">
      <w:pPr>
        <w:sectPr w:rsidR="006B60B5" w:rsidSect="00FB5F1A">
          <w:footerReference w:type="even" r:id="rId7"/>
          <w:footerReference w:type="default" r:id="rId8"/>
          <w:type w:val="continuous"/>
          <w:pgSz w:w="12240" w:h="15840" w:code="1"/>
          <w:pgMar w:top="1440" w:right="1440" w:bottom="1440" w:left="1440" w:header="720" w:footer="720" w:gutter="0"/>
          <w:cols w:space="720"/>
          <w:titlePg/>
          <w:docGrid w:linePitch="326"/>
        </w:sectPr>
      </w:pPr>
      <w:r w:rsidRPr="0021115D">
        <w:tab/>
      </w:r>
      <w:r w:rsidRPr="0021115D">
        <w:tab/>
      </w:r>
      <w:r w:rsidRPr="0021115D">
        <w:tab/>
      </w:r>
      <w:r w:rsidRPr="0021115D">
        <w:tab/>
      </w:r>
      <w:r w:rsidR="006E1398">
        <w:tab/>
      </w:r>
      <w:r w:rsidR="006E1398">
        <w:tab/>
      </w:r>
      <w:r w:rsidR="00756D87" w:rsidRPr="0021115D">
        <w:tab/>
      </w:r>
      <w:r w:rsidR="0033670C">
        <w:tab/>
      </w:r>
      <w:r w:rsidRPr="0021115D">
        <w:t>Administrative Law Judge</w:t>
      </w:r>
    </w:p>
    <w:p w:rsidR="006B60B5" w:rsidRDefault="006B60B5" w:rsidP="006B60B5">
      <w:pPr>
        <w:rPr>
          <w:rFonts w:ascii="Microsoft Sans Serif"/>
          <w:b/>
          <w:u w:val="single"/>
        </w:rPr>
      </w:pPr>
      <w:r>
        <w:rPr>
          <w:rFonts w:ascii="Microsoft Sans Serif"/>
          <w:b/>
          <w:u w:val="single"/>
        </w:rPr>
        <w:lastRenderedPageBreak/>
        <w:t>C-2011-2241810 - KADEEIA MCIVER v. PHILADELPHIA GAS WORKS</w:t>
      </w:r>
      <w:r>
        <w:rPr>
          <w:rFonts w:ascii="Microsoft Sans Serif"/>
          <w:b/>
          <w:u w:val="single"/>
        </w:rPr>
        <w:cr/>
      </w:r>
      <w:r>
        <w:rPr>
          <w:rFonts w:ascii="Microsoft Sans Serif"/>
          <w:b/>
          <w:u w:val="single"/>
        </w:rPr>
        <w:cr/>
      </w:r>
    </w:p>
    <w:p w:rsidR="006B60B5" w:rsidRDefault="006B60B5" w:rsidP="006B60B5">
      <w:pPr>
        <w:rPr>
          <w:rFonts w:ascii="Microsoft Sans Serif"/>
        </w:rPr>
      </w:pPr>
      <w:r>
        <w:rPr>
          <w:rFonts w:ascii="Microsoft Sans Serif"/>
        </w:rPr>
        <w:t>KADEEIA MCIVER</w:t>
      </w:r>
      <w:r>
        <w:rPr>
          <w:rFonts w:ascii="Microsoft Sans Serif"/>
        </w:rPr>
        <w:cr/>
        <w:t>1042 WAGNER AVENUE</w:t>
      </w:r>
      <w:r>
        <w:rPr>
          <w:rFonts w:ascii="Microsoft Sans Serif"/>
        </w:rPr>
        <w:cr/>
        <w:t>PHILADELPHIA PA  19141</w:t>
      </w:r>
      <w:r>
        <w:rPr>
          <w:rFonts w:ascii="Microsoft Sans Serif"/>
        </w:rPr>
        <w:cr/>
      </w:r>
      <w:r>
        <w:rPr>
          <w:rFonts w:ascii="Microsoft Sans Serif"/>
          <w:b/>
        </w:rPr>
        <w:t>267.285.</w:t>
      </w:r>
      <w:r w:rsidRPr="00052E27">
        <w:rPr>
          <w:rFonts w:ascii="Microsoft Sans Serif"/>
          <w:b/>
        </w:rPr>
        <w:t>3698</w:t>
      </w:r>
      <w:r>
        <w:rPr>
          <w:rFonts w:ascii="Microsoft Sans Serif"/>
        </w:rPr>
        <w:cr/>
      </w:r>
    </w:p>
    <w:p w:rsidR="00B36849" w:rsidRDefault="006B60B5" w:rsidP="006B60B5">
      <w:pPr>
        <w:sectPr w:rsidR="00B36849" w:rsidSect="006B60B5">
          <w:pgSz w:w="12240" w:h="15840" w:code="1"/>
          <w:pgMar w:top="1440" w:right="1440" w:bottom="1440" w:left="1440" w:header="720" w:footer="720" w:gutter="0"/>
          <w:cols w:space="720"/>
          <w:titlePg/>
          <w:docGrid w:linePitch="326"/>
        </w:sectPr>
      </w:pPr>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r>
      <w:r>
        <w:rPr>
          <w:rFonts w:ascii="Microsoft Sans Serif"/>
          <w:b/>
        </w:rPr>
        <w:t>215.684.</w:t>
      </w:r>
      <w:r w:rsidRPr="00052E27">
        <w:rPr>
          <w:rFonts w:ascii="Microsoft Sans Serif"/>
          <w:b/>
        </w:rPr>
        <w:t>6982</w:t>
      </w:r>
      <w:r>
        <w:rPr>
          <w:rFonts w:ascii="Microsoft Sans Serif"/>
        </w:rPr>
        <w:cr/>
      </w:r>
    </w:p>
    <w:p w:rsidR="00397C03" w:rsidRPr="00B4425E" w:rsidRDefault="00397C03" w:rsidP="00397C03">
      <w:pPr>
        <w:jc w:val="center"/>
        <w:rPr>
          <w:u w:val="single"/>
        </w:rPr>
      </w:pPr>
      <w:r w:rsidRPr="00B4425E">
        <w:rPr>
          <w:u w:val="single"/>
        </w:rPr>
        <w:lastRenderedPageBreak/>
        <w:t>Calendar Sheet</w:t>
      </w:r>
    </w:p>
    <w:p w:rsidR="00397C03" w:rsidRDefault="00397C03" w:rsidP="007F652E">
      <w:pPr>
        <w:spacing w:line="360" w:lineRule="auto"/>
      </w:pPr>
    </w:p>
    <w:p w:rsidR="00397C03" w:rsidRDefault="00397C03" w:rsidP="007F652E">
      <w:pPr>
        <w:spacing w:line="360" w:lineRule="auto"/>
      </w:pPr>
      <w:r>
        <w:t>(a)</w:t>
      </w:r>
      <w:r>
        <w:tab/>
        <w:t xml:space="preserve">Kadeeia McIver v Philadelphia Gas Works at Docket No. C-2011-2241810 </w:t>
      </w:r>
    </w:p>
    <w:p w:rsidR="00397C03" w:rsidRDefault="00397C03" w:rsidP="007F652E">
      <w:pPr>
        <w:spacing w:line="360" w:lineRule="auto"/>
      </w:pPr>
    </w:p>
    <w:p w:rsidR="00397C03" w:rsidRPr="0021115D" w:rsidRDefault="00397C03" w:rsidP="007F652E">
      <w:pPr>
        <w:spacing w:line="360" w:lineRule="auto"/>
      </w:pPr>
      <w:r>
        <w:t>(b)</w:t>
      </w:r>
      <w:r>
        <w:tab/>
      </w:r>
      <w:r w:rsidRPr="0021115D">
        <w:t xml:space="preserve">On </w:t>
      </w:r>
      <w:r w:rsidR="007F652E">
        <w:t>5/9/11</w:t>
      </w:r>
      <w:r w:rsidRPr="0021115D">
        <w:t xml:space="preserve">, </w:t>
      </w:r>
      <w:r>
        <w:t>Kadeeia McIver</w:t>
      </w:r>
      <w:r w:rsidRPr="0021115D">
        <w:t xml:space="preserve"> </w:t>
      </w:r>
      <w:r>
        <w:t xml:space="preserve">filed a </w:t>
      </w:r>
      <w:r w:rsidRPr="0021115D">
        <w:t xml:space="preserve">Complaint against the </w:t>
      </w:r>
      <w:r w:rsidR="007F652E">
        <w:t>PGW and</w:t>
      </w:r>
      <w:r w:rsidRPr="0021115D">
        <w:t xml:space="preserve"> alleged </w:t>
      </w:r>
      <w:r>
        <w:t>she</w:t>
      </w:r>
      <w:r w:rsidRPr="0021115D">
        <w:t xml:space="preserve"> owned </w:t>
      </w:r>
      <w:r>
        <w:t>real</w:t>
      </w:r>
      <w:r w:rsidRPr="0021115D">
        <w:t xml:space="preserve"> property located at </w:t>
      </w:r>
      <w:r>
        <w:t>1086 Wagner Avenue</w:t>
      </w:r>
      <w:r w:rsidRPr="0021115D">
        <w:t>, Philadelphia, PA upon which a lien had been placed for unpaid natural gas service bills incurred by a tenant of the Premises.  Complainant requested the lien be removed.</w:t>
      </w:r>
      <w:r w:rsidR="007F652E">
        <w:t xml:space="preserve"> </w:t>
      </w:r>
      <w:r w:rsidR="00F86197">
        <w:t xml:space="preserve"> </w:t>
      </w:r>
      <w:r w:rsidRPr="0021115D">
        <w:t xml:space="preserve">On </w:t>
      </w:r>
      <w:r w:rsidR="007F652E">
        <w:t>6/7/11</w:t>
      </w:r>
      <w:r w:rsidRPr="0021115D">
        <w:t xml:space="preserve">, </w:t>
      </w:r>
      <w:r>
        <w:t>R</w:t>
      </w:r>
      <w:r w:rsidRPr="0021115D">
        <w:t xml:space="preserve">espondent served its Answer stating </w:t>
      </w:r>
      <w:r>
        <w:t xml:space="preserve">the City of Philadelphia filed </w:t>
      </w:r>
      <w:r w:rsidRPr="0021115D">
        <w:t>a lien against the Premises, in the amount of $</w:t>
      </w:r>
      <w:r>
        <w:t>567.85</w:t>
      </w:r>
      <w:r w:rsidRPr="0021115D">
        <w:t xml:space="preserve">, to collect the unpaid balance owed by </w:t>
      </w:r>
      <w:r>
        <w:t>Donald Selby, Jr.</w:t>
      </w:r>
      <w:r w:rsidRPr="0021115D">
        <w:t>, the customer of record at the Premises.</w:t>
      </w:r>
    </w:p>
    <w:p w:rsidR="00397C03" w:rsidRDefault="00397C03" w:rsidP="007F652E">
      <w:pPr>
        <w:spacing w:line="360" w:lineRule="auto"/>
        <w:ind w:left="720" w:hanging="720"/>
      </w:pPr>
    </w:p>
    <w:p w:rsidR="00397C03" w:rsidRPr="00695117" w:rsidRDefault="007F652E" w:rsidP="007F652E">
      <w:pPr>
        <w:spacing w:line="360" w:lineRule="auto"/>
      </w:pPr>
      <w:r>
        <w:t>(c)</w:t>
      </w:r>
      <w:r>
        <w:tab/>
      </w:r>
      <w:r w:rsidR="00397C03">
        <w:t>ALJ Dunderdale issued a</w:t>
      </w:r>
      <w:r>
        <w:t>n Initial</w:t>
      </w:r>
      <w:r w:rsidR="00397C03">
        <w:t xml:space="preserve"> Decision </w:t>
      </w:r>
      <w:r>
        <w:t>dismissing</w:t>
      </w:r>
      <w:r w:rsidR="00397C03">
        <w:t xml:space="preserve"> the </w:t>
      </w:r>
      <w:r>
        <w:t>complaint for lack of subject matter jurisdiction</w:t>
      </w:r>
      <w:r w:rsidR="00397C03">
        <w:t xml:space="preserve">.  </w:t>
      </w:r>
    </w:p>
    <w:p w:rsidR="00397C03" w:rsidRDefault="00397C03" w:rsidP="007F652E">
      <w:pPr>
        <w:spacing w:line="360" w:lineRule="auto"/>
      </w:pPr>
    </w:p>
    <w:p w:rsidR="006E1398" w:rsidRPr="0021115D" w:rsidRDefault="006E1398" w:rsidP="007F652E">
      <w:pPr>
        <w:spacing w:line="360" w:lineRule="auto"/>
      </w:pPr>
    </w:p>
    <w:sectPr w:rsidR="006E1398" w:rsidRPr="0021115D" w:rsidSect="00B36849">
      <w:pgSz w:w="12240" w:h="15840" w:code="1"/>
      <w:pgMar w:top="1440" w:right="1440" w:bottom="1440"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D90" w:rsidRDefault="00264D90">
      <w:r>
        <w:separator/>
      </w:r>
    </w:p>
  </w:endnote>
  <w:endnote w:type="continuationSeparator" w:id="0">
    <w:p w:rsidR="00264D90" w:rsidRDefault="00264D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D51" w:rsidRDefault="008B1177" w:rsidP="00EC4144">
    <w:pPr>
      <w:pStyle w:val="Footer"/>
      <w:framePr w:wrap="around" w:vAnchor="text" w:hAnchor="margin" w:xAlign="center" w:y="1"/>
      <w:rPr>
        <w:rStyle w:val="PageNumber"/>
      </w:rPr>
    </w:pPr>
    <w:r>
      <w:rPr>
        <w:rStyle w:val="PageNumber"/>
      </w:rPr>
      <w:fldChar w:fldCharType="begin"/>
    </w:r>
    <w:r w:rsidR="00962D51">
      <w:rPr>
        <w:rStyle w:val="PageNumber"/>
      </w:rPr>
      <w:instrText xml:space="preserve">PAGE  </w:instrText>
    </w:r>
    <w:r>
      <w:rPr>
        <w:rStyle w:val="PageNumber"/>
      </w:rPr>
      <w:fldChar w:fldCharType="end"/>
    </w:r>
  </w:p>
  <w:p w:rsidR="00962D51" w:rsidRDefault="00962D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D51" w:rsidRPr="007B3CBE" w:rsidRDefault="008B1177" w:rsidP="00EC4144">
    <w:pPr>
      <w:pStyle w:val="Footer"/>
      <w:framePr w:wrap="around" w:vAnchor="text" w:hAnchor="margin" w:xAlign="center" w:y="1"/>
      <w:rPr>
        <w:rStyle w:val="PageNumber"/>
      </w:rPr>
    </w:pPr>
    <w:r w:rsidRPr="007B3CBE">
      <w:rPr>
        <w:rStyle w:val="PageNumber"/>
      </w:rPr>
      <w:fldChar w:fldCharType="begin"/>
    </w:r>
    <w:r w:rsidR="00962D51" w:rsidRPr="007B3CBE">
      <w:rPr>
        <w:rStyle w:val="PageNumber"/>
      </w:rPr>
      <w:instrText xml:space="preserve">PAGE  </w:instrText>
    </w:r>
    <w:r w:rsidRPr="007B3CBE">
      <w:rPr>
        <w:rStyle w:val="PageNumber"/>
      </w:rPr>
      <w:fldChar w:fldCharType="separate"/>
    </w:r>
    <w:r w:rsidR="00A705E1">
      <w:rPr>
        <w:rStyle w:val="PageNumber"/>
        <w:noProof/>
      </w:rPr>
      <w:t>2</w:t>
    </w:r>
    <w:r w:rsidRPr="007B3CBE">
      <w:rPr>
        <w:rStyle w:val="PageNumber"/>
      </w:rPr>
      <w:fldChar w:fldCharType="end"/>
    </w:r>
  </w:p>
  <w:p w:rsidR="00962D51" w:rsidRDefault="00962D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D90" w:rsidRDefault="00264D90">
      <w:r>
        <w:separator/>
      </w:r>
    </w:p>
  </w:footnote>
  <w:footnote w:type="continuationSeparator" w:id="0">
    <w:p w:rsidR="00264D90" w:rsidRDefault="00264D90">
      <w:r>
        <w:continuationSeparator/>
      </w:r>
    </w:p>
  </w:footnote>
  <w:footnote w:id="1">
    <w:p w:rsidR="00976C3C" w:rsidRPr="00976C3C" w:rsidRDefault="00976C3C" w:rsidP="00976C3C">
      <w:pPr>
        <w:pStyle w:val="FootnoteText"/>
        <w:ind w:firstLine="720"/>
        <w:rPr>
          <w:sz w:val="20"/>
          <w:szCs w:val="20"/>
        </w:rPr>
      </w:pPr>
      <w:r w:rsidRPr="00976C3C">
        <w:rPr>
          <w:rStyle w:val="FootnoteReference"/>
          <w:sz w:val="20"/>
          <w:szCs w:val="20"/>
        </w:rPr>
        <w:footnoteRef/>
      </w:r>
      <w:r w:rsidRPr="00976C3C">
        <w:rPr>
          <w:sz w:val="20"/>
          <w:szCs w:val="20"/>
        </w:rPr>
        <w:t xml:space="preserve"> </w:t>
      </w:r>
      <w:r w:rsidRPr="00976C3C">
        <w:rPr>
          <w:sz w:val="20"/>
          <w:szCs w:val="20"/>
        </w:rPr>
        <w:tab/>
      </w:r>
      <w:proofErr w:type="gramStart"/>
      <w:r w:rsidRPr="00976C3C">
        <w:rPr>
          <w:sz w:val="20"/>
          <w:szCs w:val="20"/>
          <w:u w:val="single"/>
        </w:rPr>
        <w:t>London Towne Homeowners Ass’n v. Karr</w:t>
      </w:r>
      <w:r w:rsidRPr="00976C3C">
        <w:rPr>
          <w:sz w:val="20"/>
          <w:szCs w:val="20"/>
        </w:rPr>
        <w:t>, 866 A.2d 447, 451 (Pa.Commw. 2004).</w:t>
      </w:r>
      <w:proofErr w:type="gramEnd"/>
    </w:p>
  </w:footnote>
  <w:footnote w:id="2">
    <w:p w:rsidR="00AC44E0" w:rsidRDefault="00AC44E0" w:rsidP="007437F8">
      <w:pPr>
        <w:ind w:firstLine="720"/>
      </w:pPr>
      <w:r w:rsidRPr="008B4027">
        <w:rPr>
          <w:rStyle w:val="FootnoteReference"/>
          <w:sz w:val="20"/>
          <w:szCs w:val="20"/>
        </w:rPr>
        <w:footnoteRef/>
      </w:r>
      <w:r>
        <w:t xml:space="preserve"> </w:t>
      </w:r>
      <w:r>
        <w:tab/>
      </w:r>
      <w:r w:rsidRPr="00AC44E0">
        <w:rPr>
          <w:sz w:val="20"/>
          <w:szCs w:val="20"/>
          <w:u w:val="single"/>
        </w:rPr>
        <w:t>Equitable Small Transportation Intervenors v. Equitable Gas Company</w:t>
      </w:r>
      <w:r w:rsidRPr="00AC44E0">
        <w:rPr>
          <w:sz w:val="20"/>
          <w:szCs w:val="20"/>
        </w:rPr>
        <w:t xml:space="preserve">, 1994 Pa PUC LEXIS 69, Docket No. </w:t>
      </w:r>
      <w:proofErr w:type="gramStart"/>
      <w:r w:rsidRPr="00AC44E0">
        <w:rPr>
          <w:sz w:val="20"/>
          <w:szCs w:val="20"/>
        </w:rPr>
        <w:t>C-00935435</w:t>
      </w:r>
      <w:r>
        <w:rPr>
          <w:sz w:val="20"/>
          <w:szCs w:val="20"/>
        </w:rPr>
        <w:t>.</w:t>
      </w:r>
      <w:proofErr w:type="gramEnd"/>
      <w:r w:rsidRPr="00AC44E0">
        <w:rPr>
          <w:sz w:val="20"/>
          <w:szCs w:val="20"/>
        </w:rPr>
        <w:t xml:space="preserve"> </w:t>
      </w:r>
      <w:r w:rsidR="003E5D7A">
        <w:rPr>
          <w:sz w:val="20"/>
          <w:szCs w:val="20"/>
        </w:rPr>
        <w:t xml:space="preserve"> </w:t>
      </w:r>
      <w:r w:rsidRPr="00AC44E0">
        <w:rPr>
          <w:sz w:val="20"/>
          <w:szCs w:val="20"/>
        </w:rPr>
        <w:t>(July 18, 1994).</w:t>
      </w:r>
    </w:p>
  </w:footnote>
  <w:footnote w:id="3">
    <w:p w:rsidR="00976C3C" w:rsidRDefault="00976C3C" w:rsidP="00976C3C">
      <w:pPr>
        <w:pStyle w:val="FootnoteText"/>
        <w:ind w:firstLine="720"/>
      </w:pPr>
    </w:p>
    <w:p w:rsidR="00976C3C" w:rsidRPr="00976C3C" w:rsidRDefault="00976C3C" w:rsidP="00976C3C">
      <w:pPr>
        <w:pStyle w:val="FootnoteText"/>
        <w:ind w:firstLine="720"/>
        <w:rPr>
          <w:sz w:val="20"/>
          <w:szCs w:val="20"/>
        </w:rPr>
      </w:pPr>
      <w:r w:rsidRPr="007A73B5">
        <w:rPr>
          <w:rStyle w:val="FootnoteReference"/>
          <w:sz w:val="20"/>
          <w:szCs w:val="20"/>
        </w:rPr>
        <w:footnoteRef/>
      </w:r>
      <w:r w:rsidRPr="00976C3C">
        <w:rPr>
          <w:sz w:val="20"/>
          <w:szCs w:val="20"/>
        </w:rPr>
        <w:t xml:space="preserve"> </w:t>
      </w:r>
      <w:r w:rsidRPr="00976C3C">
        <w:rPr>
          <w:sz w:val="20"/>
          <w:szCs w:val="20"/>
        </w:rPr>
        <w:tab/>
        <w:t xml:space="preserve">See </w:t>
      </w:r>
      <w:r w:rsidRPr="00976C3C">
        <w:rPr>
          <w:sz w:val="20"/>
          <w:szCs w:val="20"/>
          <w:u w:val="single"/>
        </w:rPr>
        <w:t>Jefferies v. Hoffman</w:t>
      </w:r>
      <w:r w:rsidRPr="00976C3C">
        <w:rPr>
          <w:sz w:val="20"/>
          <w:szCs w:val="20"/>
        </w:rPr>
        <w:t xml:space="preserve">, 417 Pa. 1, </w:t>
      </w:r>
      <w:proofErr w:type="gramStart"/>
      <w:r w:rsidRPr="00976C3C">
        <w:rPr>
          <w:sz w:val="20"/>
          <w:szCs w:val="20"/>
        </w:rPr>
        <w:t>207 A.2d 774</w:t>
      </w:r>
      <w:proofErr w:type="gramEnd"/>
      <w:r w:rsidRPr="00976C3C">
        <w:rPr>
          <w:sz w:val="20"/>
          <w:szCs w:val="20"/>
        </w:rPr>
        <w:t xml:space="preserve"> (1965).</w:t>
      </w:r>
    </w:p>
  </w:footnote>
  <w:footnote w:id="4">
    <w:p w:rsidR="000141ED" w:rsidRDefault="000141ED">
      <w:pPr>
        <w:pStyle w:val="FootnoteText"/>
      </w:pPr>
    </w:p>
    <w:p w:rsidR="000141ED" w:rsidRPr="000141ED" w:rsidRDefault="000141ED" w:rsidP="000F0952">
      <w:pPr>
        <w:ind w:right="1440" w:firstLine="720"/>
        <w:rPr>
          <w:sz w:val="20"/>
          <w:szCs w:val="20"/>
        </w:rPr>
      </w:pPr>
      <w:r w:rsidRPr="000141ED">
        <w:rPr>
          <w:rStyle w:val="FootnoteReference"/>
          <w:sz w:val="20"/>
          <w:szCs w:val="20"/>
        </w:rPr>
        <w:footnoteRef/>
      </w:r>
      <w:r w:rsidRPr="000141ED">
        <w:rPr>
          <w:sz w:val="20"/>
          <w:szCs w:val="20"/>
        </w:rPr>
        <w:t xml:space="preserve"> </w:t>
      </w:r>
      <w:r w:rsidRPr="000141ED">
        <w:rPr>
          <w:sz w:val="20"/>
          <w:szCs w:val="20"/>
        </w:rPr>
        <w:tab/>
        <w:t xml:space="preserve">See </w:t>
      </w:r>
      <w:r w:rsidR="00362096">
        <w:rPr>
          <w:sz w:val="20"/>
          <w:szCs w:val="20"/>
          <w:u w:val="single"/>
        </w:rPr>
        <w:t>Riedel v. Human Relations Commissio</w:t>
      </w:r>
      <w:r w:rsidRPr="000141ED">
        <w:rPr>
          <w:sz w:val="20"/>
          <w:szCs w:val="20"/>
          <w:u w:val="single"/>
        </w:rPr>
        <w:t xml:space="preserve">n </w:t>
      </w:r>
      <w:r w:rsidR="00355AAC">
        <w:rPr>
          <w:sz w:val="20"/>
          <w:szCs w:val="20"/>
          <w:u w:val="single"/>
        </w:rPr>
        <w:t>o</w:t>
      </w:r>
      <w:r w:rsidRPr="000141ED">
        <w:rPr>
          <w:sz w:val="20"/>
          <w:szCs w:val="20"/>
          <w:u w:val="single"/>
        </w:rPr>
        <w:t xml:space="preserve">f the City </w:t>
      </w:r>
      <w:r w:rsidR="00355AAC">
        <w:rPr>
          <w:sz w:val="20"/>
          <w:szCs w:val="20"/>
          <w:u w:val="single"/>
        </w:rPr>
        <w:t>o</w:t>
      </w:r>
      <w:r w:rsidRPr="000141ED">
        <w:rPr>
          <w:sz w:val="20"/>
          <w:szCs w:val="20"/>
          <w:u w:val="single"/>
        </w:rPr>
        <w:t>f Reading</w:t>
      </w:r>
      <w:r w:rsidRPr="000141ED">
        <w:rPr>
          <w:sz w:val="20"/>
          <w:szCs w:val="20"/>
        </w:rPr>
        <w:t xml:space="preserve">, 559 Pa. 33; </w:t>
      </w:r>
      <w:proofErr w:type="gramStart"/>
      <w:r w:rsidRPr="000141ED">
        <w:rPr>
          <w:sz w:val="20"/>
          <w:szCs w:val="20"/>
        </w:rPr>
        <w:t xml:space="preserve">39 </w:t>
      </w:r>
      <w:r>
        <w:rPr>
          <w:sz w:val="20"/>
          <w:szCs w:val="20"/>
        </w:rPr>
        <w:t xml:space="preserve"> A</w:t>
      </w:r>
      <w:r w:rsidRPr="000141ED">
        <w:rPr>
          <w:sz w:val="20"/>
          <w:szCs w:val="20"/>
        </w:rPr>
        <w:t>.2d</w:t>
      </w:r>
      <w:proofErr w:type="gramEnd"/>
      <w:r w:rsidRPr="000141ED">
        <w:rPr>
          <w:sz w:val="20"/>
          <w:szCs w:val="20"/>
        </w:rPr>
        <w:t xml:space="preserve"> 121</w:t>
      </w:r>
      <w:r>
        <w:rPr>
          <w:sz w:val="20"/>
          <w:szCs w:val="20"/>
        </w:rPr>
        <w:t xml:space="preserve"> </w:t>
      </w:r>
      <w:r w:rsidRPr="000141ED">
        <w:rPr>
          <w:sz w:val="20"/>
          <w:szCs w:val="20"/>
        </w:rPr>
        <w:t xml:space="preserve"> (1999).</w:t>
      </w:r>
    </w:p>
    <w:p w:rsidR="000141ED" w:rsidRDefault="000141ED" w:rsidP="000141ED">
      <w:pPr>
        <w:pStyle w:val="FootnoteText"/>
        <w:ind w:firstLine="720"/>
      </w:pPr>
    </w:p>
  </w:footnote>
  <w:footnote w:id="5">
    <w:p w:rsidR="00C44DDF" w:rsidRDefault="00C44DDF" w:rsidP="00C44DDF">
      <w:pPr>
        <w:pStyle w:val="FootnoteText"/>
        <w:ind w:firstLine="720"/>
      </w:pPr>
      <w:r w:rsidRPr="004C6560">
        <w:rPr>
          <w:rStyle w:val="FootnoteReference"/>
          <w:sz w:val="20"/>
          <w:szCs w:val="20"/>
        </w:rPr>
        <w:footnoteRef/>
      </w:r>
      <w:r w:rsidRPr="005A4B63">
        <w:t xml:space="preserve"> </w:t>
      </w:r>
      <w:r>
        <w:tab/>
      </w:r>
      <w:r w:rsidRPr="00C44DDF">
        <w:rPr>
          <w:sz w:val="20"/>
          <w:szCs w:val="20"/>
          <w:u w:val="single"/>
        </w:rPr>
        <w:t>Hughes v. Pa. State Police</w:t>
      </w:r>
      <w:r w:rsidRPr="00C44DDF">
        <w:rPr>
          <w:sz w:val="20"/>
          <w:szCs w:val="20"/>
        </w:rPr>
        <w:t xml:space="preserve">, </w:t>
      </w:r>
      <w:proofErr w:type="gramStart"/>
      <w:r w:rsidRPr="00C44DDF">
        <w:rPr>
          <w:sz w:val="20"/>
          <w:szCs w:val="20"/>
        </w:rPr>
        <w:t>152 Pa.</w:t>
      </w:r>
      <w:r w:rsidR="00362096">
        <w:rPr>
          <w:sz w:val="20"/>
          <w:szCs w:val="20"/>
        </w:rPr>
        <w:t>Commw</w:t>
      </w:r>
      <w:proofErr w:type="gramEnd"/>
      <w:r w:rsidRPr="00C44DDF">
        <w:rPr>
          <w:sz w:val="20"/>
          <w:szCs w:val="20"/>
        </w:rPr>
        <w:t>. 409, 619 A.2d 390 (1992), app. denied, 536 Pa. 633, 637 A.2d 293 (1993).</w:t>
      </w:r>
      <w:r>
        <w:t xml:space="preserve">  </w:t>
      </w:r>
    </w:p>
    <w:p w:rsidR="00C44DDF" w:rsidRDefault="00C44DDF" w:rsidP="00C44DDF">
      <w:pPr>
        <w:pStyle w:val="FootnoteText"/>
      </w:pPr>
    </w:p>
  </w:footnote>
  <w:footnote w:id="6">
    <w:p w:rsidR="00C44DDF" w:rsidRDefault="00C44DDF" w:rsidP="00C44DDF">
      <w:pPr>
        <w:pStyle w:val="FootnoteText"/>
        <w:ind w:firstLine="720"/>
      </w:pPr>
      <w:r w:rsidRPr="004C6560">
        <w:rPr>
          <w:rStyle w:val="FootnoteReference"/>
          <w:sz w:val="20"/>
          <w:szCs w:val="20"/>
        </w:rPr>
        <w:footnoteRef/>
      </w:r>
      <w:r w:rsidRPr="005A4B63">
        <w:t xml:space="preserve"> </w:t>
      </w:r>
      <w:r>
        <w:tab/>
      </w:r>
      <w:proofErr w:type="gramStart"/>
      <w:r w:rsidRPr="00C44DDF">
        <w:rPr>
          <w:sz w:val="20"/>
          <w:szCs w:val="20"/>
          <w:u w:val="single"/>
        </w:rPr>
        <w:t>Roberts v. Martorano</w:t>
      </w:r>
      <w:r w:rsidRPr="00C44DDF">
        <w:rPr>
          <w:sz w:val="20"/>
          <w:szCs w:val="20"/>
        </w:rPr>
        <w:t>, 427 Pa. 581, 235 A.2d 602 (1967).</w:t>
      </w:r>
      <w:proofErr w:type="gramEnd"/>
      <w:r w:rsidRPr="0021115D">
        <w:t xml:space="preserve">  </w:t>
      </w:r>
    </w:p>
    <w:p w:rsidR="00C44DDF" w:rsidRDefault="00C44DDF" w:rsidP="00C44DDF">
      <w:pPr>
        <w:pStyle w:val="FootnoteText"/>
        <w:ind w:firstLine="720"/>
      </w:pPr>
    </w:p>
  </w:footnote>
  <w:footnote w:id="7">
    <w:p w:rsidR="00C44DDF" w:rsidRDefault="00C44DDF" w:rsidP="00C44DDF">
      <w:pPr>
        <w:pStyle w:val="FootnoteText"/>
        <w:ind w:firstLine="720"/>
      </w:pPr>
      <w:r w:rsidRPr="004C6560">
        <w:rPr>
          <w:rStyle w:val="FootnoteReference"/>
          <w:sz w:val="20"/>
          <w:szCs w:val="20"/>
        </w:rPr>
        <w:footnoteRef/>
      </w:r>
      <w:r w:rsidRPr="005A4B63">
        <w:t xml:space="preserve"> </w:t>
      </w:r>
      <w:r>
        <w:tab/>
      </w:r>
      <w:r w:rsidRPr="00C44DDF">
        <w:rPr>
          <w:sz w:val="20"/>
          <w:szCs w:val="20"/>
          <w:u w:val="single"/>
        </w:rPr>
        <w:t>Commonwealth v. VanBuskirk</w:t>
      </w:r>
      <w:r w:rsidRPr="00C44DDF">
        <w:rPr>
          <w:sz w:val="20"/>
          <w:szCs w:val="20"/>
        </w:rPr>
        <w:t xml:space="preserve">, </w:t>
      </w:r>
      <w:proofErr w:type="gramStart"/>
      <w:r w:rsidRPr="00C44DDF">
        <w:rPr>
          <w:sz w:val="20"/>
          <w:szCs w:val="20"/>
        </w:rPr>
        <w:t>303 Pa.Super</w:t>
      </w:r>
      <w:proofErr w:type="gramEnd"/>
      <w:r w:rsidRPr="00C44DDF">
        <w:rPr>
          <w:sz w:val="20"/>
          <w:szCs w:val="20"/>
        </w:rPr>
        <w:t>. 148, 449 A.2d 621 (1982)</w:t>
      </w:r>
      <w:r>
        <w:t>.</w:t>
      </w:r>
    </w:p>
    <w:p w:rsidR="00C44DDF" w:rsidRDefault="00C44DDF" w:rsidP="00C44DDF">
      <w:pPr>
        <w:pStyle w:val="FootnoteText"/>
        <w:ind w:firstLine="720"/>
      </w:pPr>
    </w:p>
  </w:footnote>
  <w:footnote w:id="8">
    <w:p w:rsidR="00C44DDF" w:rsidRDefault="00C44DDF" w:rsidP="00C44DDF">
      <w:pPr>
        <w:pStyle w:val="FootnoteText"/>
        <w:ind w:firstLine="720"/>
        <w:rPr>
          <w:sz w:val="20"/>
          <w:szCs w:val="20"/>
        </w:rPr>
      </w:pPr>
      <w:r w:rsidRPr="004C6560">
        <w:rPr>
          <w:rStyle w:val="FootnoteReference"/>
          <w:sz w:val="20"/>
          <w:szCs w:val="20"/>
        </w:rPr>
        <w:footnoteRef/>
      </w:r>
      <w:r w:rsidRPr="005A4B63">
        <w:t xml:space="preserve"> </w:t>
      </w:r>
      <w:r>
        <w:tab/>
      </w:r>
      <w:proofErr w:type="gramStart"/>
      <w:r w:rsidRPr="00C44DDF">
        <w:rPr>
          <w:sz w:val="20"/>
          <w:szCs w:val="20"/>
          <w:u w:val="single"/>
        </w:rPr>
        <w:t>Scott v. Bristol Twp. Police Dep’t</w:t>
      </w:r>
      <w:r w:rsidRPr="00C44DDF">
        <w:rPr>
          <w:sz w:val="20"/>
          <w:szCs w:val="20"/>
        </w:rPr>
        <w:t>, 669 A.2d 457 (Pa.</w:t>
      </w:r>
      <w:r w:rsidR="00362096">
        <w:rPr>
          <w:sz w:val="20"/>
          <w:szCs w:val="20"/>
        </w:rPr>
        <w:t>Commw</w:t>
      </w:r>
      <w:r w:rsidRPr="00C44DDF">
        <w:rPr>
          <w:sz w:val="20"/>
          <w:szCs w:val="20"/>
        </w:rPr>
        <w:t>. 1995)</w:t>
      </w:r>
      <w:r>
        <w:rPr>
          <w:sz w:val="20"/>
          <w:szCs w:val="20"/>
        </w:rPr>
        <w:t>.</w:t>
      </w:r>
      <w:proofErr w:type="gramEnd"/>
    </w:p>
    <w:p w:rsidR="00C44DDF" w:rsidRDefault="00C44DDF" w:rsidP="00C44DDF">
      <w:pPr>
        <w:pStyle w:val="FootnoteText"/>
        <w:ind w:firstLine="720"/>
      </w:pPr>
    </w:p>
  </w:footnote>
  <w:footnote w:id="9">
    <w:p w:rsidR="007A7F84" w:rsidRDefault="007A7F84" w:rsidP="007A7F84">
      <w:pPr>
        <w:pStyle w:val="FootnoteText"/>
        <w:ind w:firstLine="720"/>
      </w:pPr>
      <w:r w:rsidRPr="004C6560">
        <w:rPr>
          <w:rStyle w:val="FootnoteReference"/>
          <w:sz w:val="20"/>
          <w:szCs w:val="20"/>
        </w:rPr>
        <w:footnoteRef/>
      </w:r>
      <w:r w:rsidRPr="007A73B5">
        <w:rPr>
          <w:sz w:val="20"/>
          <w:szCs w:val="20"/>
        </w:rPr>
        <w:t xml:space="preserve"> </w:t>
      </w:r>
      <w:r>
        <w:tab/>
      </w:r>
      <w:r w:rsidRPr="007A7F84">
        <w:rPr>
          <w:sz w:val="20"/>
          <w:szCs w:val="20"/>
          <w:u w:val="single"/>
        </w:rPr>
        <w:t>City of Pittsburgh v. Pa. Public Utility Commission</w:t>
      </w:r>
      <w:r w:rsidRPr="007A7F84">
        <w:rPr>
          <w:sz w:val="20"/>
          <w:szCs w:val="20"/>
        </w:rPr>
        <w:t xml:space="preserve">, </w:t>
      </w:r>
      <w:proofErr w:type="gramStart"/>
      <w:r w:rsidRPr="007A7F84">
        <w:rPr>
          <w:sz w:val="20"/>
          <w:szCs w:val="20"/>
        </w:rPr>
        <w:t>157 Pa.Super</w:t>
      </w:r>
      <w:proofErr w:type="gramEnd"/>
      <w:r w:rsidRPr="007A7F84">
        <w:rPr>
          <w:sz w:val="20"/>
          <w:szCs w:val="20"/>
        </w:rPr>
        <w:t>. 595, 43 A.2d 348 (1945).</w:t>
      </w:r>
    </w:p>
  </w:footnote>
  <w:footnote w:id="10">
    <w:p w:rsidR="000141ED" w:rsidRDefault="000141ED" w:rsidP="000141ED">
      <w:pPr>
        <w:spacing w:line="360" w:lineRule="auto"/>
      </w:pPr>
    </w:p>
    <w:p w:rsidR="000141ED" w:rsidRPr="000141ED" w:rsidRDefault="000141ED" w:rsidP="000141ED">
      <w:pPr>
        <w:spacing w:line="360" w:lineRule="auto"/>
        <w:ind w:firstLine="720"/>
        <w:rPr>
          <w:sz w:val="20"/>
          <w:szCs w:val="20"/>
        </w:rPr>
      </w:pPr>
      <w:r w:rsidRPr="004C6560">
        <w:rPr>
          <w:rStyle w:val="FootnoteReference"/>
          <w:sz w:val="20"/>
          <w:szCs w:val="20"/>
        </w:rPr>
        <w:footnoteRef/>
      </w:r>
      <w:r w:rsidRPr="007A73B5">
        <w:rPr>
          <w:sz w:val="20"/>
          <w:szCs w:val="20"/>
        </w:rPr>
        <w:t xml:space="preserve"> </w:t>
      </w:r>
      <w:r>
        <w:tab/>
      </w:r>
      <w:proofErr w:type="gramStart"/>
      <w:r w:rsidRPr="000141ED">
        <w:rPr>
          <w:sz w:val="20"/>
          <w:szCs w:val="20"/>
          <w:u w:val="single"/>
        </w:rPr>
        <w:t>Public Ad</w:t>
      </w:r>
      <w:r w:rsidR="00362096">
        <w:rPr>
          <w:sz w:val="20"/>
          <w:szCs w:val="20"/>
          <w:u w:val="single"/>
        </w:rPr>
        <w:t>vocate v. Philadelphia Gas Commissio</w:t>
      </w:r>
      <w:r w:rsidRPr="000141ED">
        <w:rPr>
          <w:sz w:val="20"/>
          <w:szCs w:val="20"/>
          <w:u w:val="single"/>
        </w:rPr>
        <w:t>n</w:t>
      </w:r>
      <w:r w:rsidRPr="000141ED">
        <w:rPr>
          <w:sz w:val="20"/>
          <w:szCs w:val="20"/>
        </w:rPr>
        <w:t>, 544 Pa. 129, 674 A.2d 1056 (1996).</w:t>
      </w:r>
      <w:proofErr w:type="gramEnd"/>
    </w:p>
    <w:p w:rsidR="000141ED" w:rsidRDefault="000141ED" w:rsidP="000141ED">
      <w:pPr>
        <w:pStyle w:val="FootnoteText"/>
        <w:ind w:firstLine="720"/>
      </w:pPr>
    </w:p>
  </w:footnote>
  <w:footnote w:id="11">
    <w:p w:rsidR="00DF1C12" w:rsidRDefault="00DF1C12" w:rsidP="00DF1C12">
      <w:pPr>
        <w:pStyle w:val="FootnoteText"/>
        <w:ind w:firstLine="720"/>
      </w:pPr>
      <w:r w:rsidRPr="00A74C01">
        <w:rPr>
          <w:rStyle w:val="FootnoteReference"/>
          <w:sz w:val="20"/>
          <w:szCs w:val="20"/>
        </w:rPr>
        <w:footnoteRef/>
      </w:r>
      <w:r>
        <w:t xml:space="preserve"> </w:t>
      </w:r>
      <w:r>
        <w:tab/>
      </w:r>
      <w:proofErr w:type="gramStart"/>
      <w:r w:rsidRPr="00DF1C12">
        <w:rPr>
          <w:sz w:val="20"/>
          <w:szCs w:val="20"/>
          <w:u w:val="single"/>
        </w:rPr>
        <w:t>Newberry Twp. v. Stambaugh</w:t>
      </w:r>
      <w:r w:rsidRPr="00DF1C12">
        <w:rPr>
          <w:sz w:val="20"/>
          <w:szCs w:val="20"/>
        </w:rPr>
        <w:t>, 848 A.2d 173 (Pa.Cmwlth. 2004), app. denied, 580 Pa. 708, 860 A.2d 491 (2004), 53 P.S. §§ 7106(c), 7283.</w:t>
      </w:r>
      <w:proofErr w:type="gramEnd"/>
      <w:r w:rsidRPr="0021115D">
        <w:t xml:space="preserve">  </w:t>
      </w:r>
    </w:p>
  </w:footnote>
  <w:footnote w:id="12">
    <w:p w:rsidR="000141ED" w:rsidRDefault="000141ED">
      <w:pPr>
        <w:pStyle w:val="FootnoteText"/>
        <w:rPr>
          <w:sz w:val="20"/>
          <w:szCs w:val="20"/>
        </w:rPr>
      </w:pPr>
    </w:p>
    <w:p w:rsidR="003961CB" w:rsidRDefault="003961CB" w:rsidP="000141ED">
      <w:pPr>
        <w:pStyle w:val="FootnoteText"/>
        <w:ind w:firstLine="720"/>
        <w:rPr>
          <w:sz w:val="20"/>
          <w:szCs w:val="20"/>
        </w:rPr>
      </w:pPr>
      <w:r w:rsidRPr="00C863BA">
        <w:rPr>
          <w:rStyle w:val="FootnoteReference"/>
          <w:sz w:val="20"/>
          <w:szCs w:val="20"/>
        </w:rPr>
        <w:footnoteRef/>
      </w:r>
      <w:r w:rsidRPr="00C863BA">
        <w:rPr>
          <w:sz w:val="20"/>
          <w:szCs w:val="20"/>
        </w:rPr>
        <w:tab/>
        <w:t xml:space="preserve">“A technical term used to designate proceedings or actions instituted </w:t>
      </w:r>
      <w:r w:rsidRPr="00C863BA">
        <w:rPr>
          <w:i/>
          <w:sz w:val="20"/>
          <w:szCs w:val="20"/>
        </w:rPr>
        <w:t>against the thing,</w:t>
      </w:r>
      <w:r w:rsidRPr="00C863BA">
        <w:rPr>
          <w:sz w:val="20"/>
          <w:szCs w:val="20"/>
        </w:rPr>
        <w:t xml:space="preserve"> in contradistinction to personal actions, which are said to be </w:t>
      </w:r>
      <w:r w:rsidRPr="00C863BA">
        <w:rPr>
          <w:i/>
          <w:sz w:val="20"/>
          <w:szCs w:val="20"/>
        </w:rPr>
        <w:t>in personam</w:t>
      </w:r>
      <w:r w:rsidRPr="00C863BA">
        <w:rPr>
          <w:sz w:val="20"/>
          <w:szCs w:val="20"/>
        </w:rPr>
        <w:t>.</w:t>
      </w:r>
      <w:r w:rsidR="00717B17" w:rsidRPr="00C863BA">
        <w:rPr>
          <w:sz w:val="20"/>
          <w:szCs w:val="20"/>
        </w:rPr>
        <w:t xml:space="preserve">  An ‘action in rem’ is a proceeding that takes no cognizance of owner but determines right in specific property against all the world, equally binding on everyone.”  Black’s Law Dictionary 713 (5</w:t>
      </w:r>
      <w:r w:rsidR="00717B17" w:rsidRPr="00C863BA">
        <w:rPr>
          <w:sz w:val="20"/>
          <w:szCs w:val="20"/>
          <w:vertAlign w:val="superscript"/>
        </w:rPr>
        <w:t>th</w:t>
      </w:r>
      <w:r w:rsidR="00717B17" w:rsidRPr="00C863BA">
        <w:rPr>
          <w:sz w:val="20"/>
          <w:szCs w:val="20"/>
        </w:rPr>
        <w:t xml:space="preserve"> ed. 1979).</w:t>
      </w:r>
    </w:p>
    <w:p w:rsidR="002C689B" w:rsidRPr="00C863BA" w:rsidRDefault="002C689B" w:rsidP="000141ED">
      <w:pPr>
        <w:pStyle w:val="FootnoteText"/>
        <w:ind w:firstLine="720"/>
        <w:rPr>
          <w:sz w:val="20"/>
          <w:szCs w:val="20"/>
        </w:rPr>
      </w:pPr>
    </w:p>
  </w:footnote>
  <w:footnote w:id="13">
    <w:p w:rsidR="00DF1C12" w:rsidRDefault="00DF1C12" w:rsidP="00DF1C12">
      <w:pPr>
        <w:pStyle w:val="FootnoteText"/>
        <w:ind w:firstLine="720"/>
        <w:rPr>
          <w:sz w:val="20"/>
          <w:szCs w:val="20"/>
        </w:rPr>
      </w:pPr>
      <w:r w:rsidRPr="00A74C01">
        <w:rPr>
          <w:rStyle w:val="FootnoteReference"/>
          <w:sz w:val="20"/>
          <w:szCs w:val="20"/>
        </w:rPr>
        <w:footnoteRef/>
      </w:r>
      <w:r>
        <w:t xml:space="preserve"> </w:t>
      </w:r>
      <w:r>
        <w:tab/>
      </w:r>
      <w:r w:rsidRPr="00DF1C12">
        <w:rPr>
          <w:sz w:val="20"/>
          <w:szCs w:val="20"/>
          <w:u w:val="single"/>
        </w:rPr>
        <w:t>Borough of Towanda v. Brannaka</w:t>
      </w:r>
      <w:r w:rsidRPr="00DF1C12">
        <w:rPr>
          <w:sz w:val="20"/>
          <w:szCs w:val="20"/>
        </w:rPr>
        <w:t xml:space="preserve">, </w:t>
      </w:r>
      <w:proofErr w:type="gramStart"/>
      <w:r w:rsidRPr="00DF1C12">
        <w:rPr>
          <w:sz w:val="20"/>
          <w:szCs w:val="20"/>
        </w:rPr>
        <w:t>61 Pa.Cmwlth</w:t>
      </w:r>
      <w:proofErr w:type="gramEnd"/>
      <w:r w:rsidRPr="00DF1C12">
        <w:rPr>
          <w:sz w:val="20"/>
          <w:szCs w:val="20"/>
        </w:rPr>
        <w:t xml:space="preserve">. </w:t>
      </w:r>
      <w:proofErr w:type="gramStart"/>
      <w:r w:rsidRPr="00DF1C12">
        <w:rPr>
          <w:sz w:val="20"/>
          <w:szCs w:val="20"/>
        </w:rPr>
        <w:t>622; 625-626, 434 A.2d 889; 891 (1981).</w:t>
      </w:r>
      <w:proofErr w:type="gramEnd"/>
      <w:r w:rsidRPr="00DF1C12">
        <w:rPr>
          <w:sz w:val="20"/>
          <w:szCs w:val="20"/>
        </w:rPr>
        <w:t xml:space="preserve">  </w:t>
      </w:r>
    </w:p>
    <w:p w:rsidR="002C689B" w:rsidRDefault="002C689B" w:rsidP="00DF1C12">
      <w:pPr>
        <w:pStyle w:val="FootnoteText"/>
        <w:ind w:firstLine="720"/>
      </w:pPr>
    </w:p>
  </w:footnote>
  <w:footnote w:id="14">
    <w:p w:rsidR="00DF1C12" w:rsidRPr="00DF1C12" w:rsidRDefault="00DF1C12" w:rsidP="00DF1C12">
      <w:pPr>
        <w:spacing w:line="360" w:lineRule="auto"/>
        <w:ind w:firstLine="720"/>
        <w:rPr>
          <w:sz w:val="20"/>
          <w:szCs w:val="20"/>
        </w:rPr>
      </w:pPr>
      <w:r w:rsidRPr="00A74C01">
        <w:rPr>
          <w:rStyle w:val="FootnoteReference"/>
          <w:sz w:val="20"/>
          <w:szCs w:val="20"/>
        </w:rPr>
        <w:footnoteRef/>
      </w:r>
      <w:r>
        <w:t xml:space="preserve"> </w:t>
      </w:r>
      <w:r>
        <w:tab/>
      </w:r>
      <w:proofErr w:type="gramStart"/>
      <w:r w:rsidRPr="00DF1C12">
        <w:rPr>
          <w:sz w:val="20"/>
          <w:szCs w:val="20"/>
          <w:u w:val="single"/>
        </w:rPr>
        <w:t>Philadelphia v. Northwood Textile Mills, Inc.</w:t>
      </w:r>
      <w:r w:rsidRPr="00FE33A3">
        <w:rPr>
          <w:sz w:val="20"/>
          <w:szCs w:val="20"/>
        </w:rPr>
        <w:t>,</w:t>
      </w:r>
      <w:r w:rsidRPr="00DF1C12">
        <w:rPr>
          <w:sz w:val="20"/>
          <w:szCs w:val="20"/>
        </w:rPr>
        <w:t xml:space="preserve"> 395 Pa. 112, 149 A.2d 60 (1959).</w:t>
      </w:r>
      <w:proofErr w:type="gramEnd"/>
      <w:r w:rsidRPr="00DF1C12">
        <w:rPr>
          <w:sz w:val="20"/>
          <w:szCs w:val="20"/>
        </w:rPr>
        <w:t xml:space="preserve">  See, also, </w:t>
      </w:r>
      <w:r w:rsidRPr="00DF1C12">
        <w:rPr>
          <w:sz w:val="20"/>
          <w:szCs w:val="20"/>
          <w:u w:val="single"/>
        </w:rPr>
        <w:t>Ransom v. Marrazzo</w:t>
      </w:r>
      <w:r w:rsidRPr="00DF1C12">
        <w:rPr>
          <w:sz w:val="20"/>
          <w:szCs w:val="20"/>
        </w:rPr>
        <w:t>, 848 F.2d 398 (3d Cir. 1988).</w:t>
      </w:r>
    </w:p>
    <w:p w:rsidR="00DF1C12" w:rsidRDefault="00DF1C12">
      <w:pPr>
        <w:pStyle w:val="FootnoteText"/>
      </w:pPr>
    </w:p>
  </w:footnote>
  <w:footnote w:id="15">
    <w:p w:rsidR="00221E89" w:rsidRDefault="00221E89" w:rsidP="00F4295A">
      <w:pPr>
        <w:pStyle w:val="FootnoteText"/>
        <w:ind w:firstLine="720"/>
        <w:rPr>
          <w:sz w:val="20"/>
          <w:szCs w:val="20"/>
        </w:rPr>
      </w:pPr>
      <w:r w:rsidRPr="008D7410">
        <w:rPr>
          <w:rStyle w:val="FootnoteReference"/>
          <w:sz w:val="20"/>
          <w:szCs w:val="20"/>
        </w:rPr>
        <w:footnoteRef/>
      </w:r>
      <w:r w:rsidRPr="008D7410">
        <w:rPr>
          <w:sz w:val="20"/>
          <w:szCs w:val="20"/>
        </w:rPr>
        <w:tab/>
        <w:t xml:space="preserve">Or the Municipal Court of Philadelphia if the amount is within its jurisdiction.  </w:t>
      </w:r>
      <w:proofErr w:type="gramStart"/>
      <w:r w:rsidRPr="008D7410">
        <w:rPr>
          <w:sz w:val="20"/>
          <w:szCs w:val="20"/>
        </w:rPr>
        <w:t>53 P.S. § 7101 et</w:t>
      </w:r>
      <w:r w:rsidR="00F4295A">
        <w:rPr>
          <w:sz w:val="20"/>
          <w:szCs w:val="20"/>
        </w:rPr>
        <w:t> </w:t>
      </w:r>
      <w:r w:rsidRPr="008D7410">
        <w:rPr>
          <w:sz w:val="20"/>
          <w:szCs w:val="20"/>
        </w:rPr>
        <w:t>seq.</w:t>
      </w:r>
      <w:proofErr w:type="gramEnd"/>
    </w:p>
    <w:p w:rsidR="00DA75F0" w:rsidRPr="008D7410" w:rsidRDefault="00DA75F0" w:rsidP="00221E89">
      <w:pPr>
        <w:pStyle w:val="FootnoteText"/>
        <w:rPr>
          <w:sz w:val="20"/>
          <w:szCs w:val="20"/>
        </w:rPr>
      </w:pPr>
    </w:p>
  </w:footnote>
  <w:footnote w:id="16">
    <w:p w:rsidR="00296F9C" w:rsidRPr="00816091" w:rsidRDefault="00296F9C" w:rsidP="00F4295A">
      <w:pPr>
        <w:pStyle w:val="FootnoteText"/>
        <w:ind w:firstLine="720"/>
        <w:rPr>
          <w:sz w:val="20"/>
          <w:szCs w:val="20"/>
        </w:rPr>
      </w:pPr>
      <w:r w:rsidRPr="00816091">
        <w:rPr>
          <w:rStyle w:val="FootnoteReference"/>
          <w:sz w:val="20"/>
          <w:szCs w:val="20"/>
        </w:rPr>
        <w:footnoteRef/>
      </w:r>
      <w:r w:rsidRPr="00816091">
        <w:rPr>
          <w:sz w:val="20"/>
          <w:szCs w:val="20"/>
        </w:rPr>
        <w:tab/>
        <w:t xml:space="preserve">The Commission has jurisdiction over municipalities providing public utility service outside of their municipal boundaries, but </w:t>
      </w:r>
      <w:r w:rsidRPr="00816091">
        <w:rPr>
          <w:sz w:val="20"/>
          <w:szCs w:val="20"/>
          <w:u w:val="single"/>
        </w:rPr>
        <w:t>only</w:t>
      </w:r>
      <w:r w:rsidRPr="00816091">
        <w:rPr>
          <w:sz w:val="20"/>
          <w:szCs w:val="20"/>
        </w:rPr>
        <w:t xml:space="preserve"> as to the public utility service being rendered.  </w:t>
      </w:r>
      <w:r w:rsidR="006364BE" w:rsidRPr="00816091">
        <w:rPr>
          <w:i/>
          <w:sz w:val="20"/>
          <w:szCs w:val="20"/>
        </w:rPr>
        <w:t>Petition of Borough of Boyertown</w:t>
      </w:r>
      <w:r w:rsidR="006364BE" w:rsidRPr="00816091">
        <w:rPr>
          <w:sz w:val="20"/>
          <w:szCs w:val="20"/>
        </w:rPr>
        <w:t xml:space="preserve">, </w:t>
      </w:r>
      <w:proofErr w:type="gramStart"/>
      <w:r w:rsidR="006364BE" w:rsidRPr="00816091">
        <w:rPr>
          <w:sz w:val="20"/>
          <w:szCs w:val="20"/>
        </w:rPr>
        <w:t>77</w:t>
      </w:r>
      <w:r w:rsidR="0048313B">
        <w:rPr>
          <w:sz w:val="20"/>
          <w:szCs w:val="20"/>
        </w:rPr>
        <w:t> </w:t>
      </w:r>
      <w:proofErr w:type="spellStart"/>
      <w:r w:rsidR="006364BE" w:rsidRPr="00816091">
        <w:rPr>
          <w:sz w:val="20"/>
          <w:szCs w:val="20"/>
        </w:rPr>
        <w:t>Pa.Cmwlth</w:t>
      </w:r>
      <w:proofErr w:type="spellEnd"/>
      <w:proofErr w:type="gramEnd"/>
      <w:r w:rsidR="006364BE" w:rsidRPr="00816091">
        <w:rPr>
          <w:sz w:val="20"/>
          <w:szCs w:val="20"/>
        </w:rPr>
        <w:t xml:space="preserve">. 357, 466 A.2d 239 (1983).  The instant case does not involve municipal extra-territorial service, nor </w:t>
      </w:r>
      <w:r w:rsidR="00816091" w:rsidRPr="00816091">
        <w:rPr>
          <w:sz w:val="20"/>
          <w:szCs w:val="20"/>
        </w:rPr>
        <w:t>is</w:t>
      </w:r>
      <w:r w:rsidR="006364BE" w:rsidRPr="00816091">
        <w:rPr>
          <w:sz w:val="20"/>
          <w:szCs w:val="20"/>
        </w:rPr>
        <w:t xml:space="preserve"> the lien proceeding </w:t>
      </w:r>
      <w:r w:rsidR="00816091" w:rsidRPr="00816091">
        <w:rPr>
          <w:sz w:val="20"/>
          <w:szCs w:val="20"/>
        </w:rPr>
        <w:t>public utility service.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rawingGridHorizontalSpacing w:val="12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rsids>
    <w:rsidRoot w:val="00086CB1"/>
    <w:rsid w:val="00003B76"/>
    <w:rsid w:val="000047FD"/>
    <w:rsid w:val="00010859"/>
    <w:rsid w:val="000141ED"/>
    <w:rsid w:val="00016BDA"/>
    <w:rsid w:val="00017462"/>
    <w:rsid w:val="00017F02"/>
    <w:rsid w:val="00025D34"/>
    <w:rsid w:val="00026020"/>
    <w:rsid w:val="000341C0"/>
    <w:rsid w:val="00041696"/>
    <w:rsid w:val="0004366F"/>
    <w:rsid w:val="00050B1A"/>
    <w:rsid w:val="00052406"/>
    <w:rsid w:val="000529DD"/>
    <w:rsid w:val="00056345"/>
    <w:rsid w:val="0005739D"/>
    <w:rsid w:val="00063B19"/>
    <w:rsid w:val="000657D1"/>
    <w:rsid w:val="00070E94"/>
    <w:rsid w:val="0007731E"/>
    <w:rsid w:val="0008255F"/>
    <w:rsid w:val="00086CB1"/>
    <w:rsid w:val="00087760"/>
    <w:rsid w:val="0009167D"/>
    <w:rsid w:val="000916F3"/>
    <w:rsid w:val="000945EF"/>
    <w:rsid w:val="00094E1D"/>
    <w:rsid w:val="000A15F8"/>
    <w:rsid w:val="000A425C"/>
    <w:rsid w:val="000A4EF8"/>
    <w:rsid w:val="000A6493"/>
    <w:rsid w:val="000B32F4"/>
    <w:rsid w:val="000B4FF5"/>
    <w:rsid w:val="000B60B7"/>
    <w:rsid w:val="000C5CFD"/>
    <w:rsid w:val="000D22D5"/>
    <w:rsid w:val="000E2D78"/>
    <w:rsid w:val="000E4B9F"/>
    <w:rsid w:val="000F094B"/>
    <w:rsid w:val="000F0952"/>
    <w:rsid w:val="000F2FAA"/>
    <w:rsid w:val="001003A7"/>
    <w:rsid w:val="00105EA1"/>
    <w:rsid w:val="00106DD7"/>
    <w:rsid w:val="00107BE4"/>
    <w:rsid w:val="00107E92"/>
    <w:rsid w:val="00112924"/>
    <w:rsid w:val="00112E83"/>
    <w:rsid w:val="00121513"/>
    <w:rsid w:val="00125EA8"/>
    <w:rsid w:val="00131729"/>
    <w:rsid w:val="0013269B"/>
    <w:rsid w:val="00136D02"/>
    <w:rsid w:val="00146B5F"/>
    <w:rsid w:val="00153F31"/>
    <w:rsid w:val="00161023"/>
    <w:rsid w:val="0016227E"/>
    <w:rsid w:val="00164E31"/>
    <w:rsid w:val="0017635D"/>
    <w:rsid w:val="00177EC4"/>
    <w:rsid w:val="001803FF"/>
    <w:rsid w:val="00181738"/>
    <w:rsid w:val="001847D1"/>
    <w:rsid w:val="00184B2B"/>
    <w:rsid w:val="0018758C"/>
    <w:rsid w:val="001A5FE3"/>
    <w:rsid w:val="001B02A8"/>
    <w:rsid w:val="001B2B4E"/>
    <w:rsid w:val="001B43B1"/>
    <w:rsid w:val="001B4EEC"/>
    <w:rsid w:val="001B7FEE"/>
    <w:rsid w:val="001C3E6C"/>
    <w:rsid w:val="001E1BA2"/>
    <w:rsid w:val="001E3EC9"/>
    <w:rsid w:val="001F08FA"/>
    <w:rsid w:val="0020260D"/>
    <w:rsid w:val="00203DE4"/>
    <w:rsid w:val="00204F31"/>
    <w:rsid w:val="0021115D"/>
    <w:rsid w:val="0021286E"/>
    <w:rsid w:val="0021464C"/>
    <w:rsid w:val="00221E89"/>
    <w:rsid w:val="0022224B"/>
    <w:rsid w:val="0025627D"/>
    <w:rsid w:val="0026155A"/>
    <w:rsid w:val="00264C97"/>
    <w:rsid w:val="00264D90"/>
    <w:rsid w:val="00284F6C"/>
    <w:rsid w:val="002900B8"/>
    <w:rsid w:val="00291EA8"/>
    <w:rsid w:val="00294309"/>
    <w:rsid w:val="00296F9C"/>
    <w:rsid w:val="002A1B7B"/>
    <w:rsid w:val="002A1C03"/>
    <w:rsid w:val="002A2836"/>
    <w:rsid w:val="002A5FAC"/>
    <w:rsid w:val="002B1EE0"/>
    <w:rsid w:val="002B6FB3"/>
    <w:rsid w:val="002C689B"/>
    <w:rsid w:val="002C7E7E"/>
    <w:rsid w:val="002E26A8"/>
    <w:rsid w:val="002F4C02"/>
    <w:rsid w:val="002F7F69"/>
    <w:rsid w:val="00303958"/>
    <w:rsid w:val="00307518"/>
    <w:rsid w:val="00307B1D"/>
    <w:rsid w:val="00310E89"/>
    <w:rsid w:val="003120CA"/>
    <w:rsid w:val="00313DBF"/>
    <w:rsid w:val="00314E8D"/>
    <w:rsid w:val="00322E37"/>
    <w:rsid w:val="00330955"/>
    <w:rsid w:val="00335B69"/>
    <w:rsid w:val="0033670C"/>
    <w:rsid w:val="003379E1"/>
    <w:rsid w:val="00341155"/>
    <w:rsid w:val="003452C4"/>
    <w:rsid w:val="00350B71"/>
    <w:rsid w:val="0035242D"/>
    <w:rsid w:val="00354D5B"/>
    <w:rsid w:val="00355AAC"/>
    <w:rsid w:val="003575C1"/>
    <w:rsid w:val="00360A4D"/>
    <w:rsid w:val="00360B08"/>
    <w:rsid w:val="00362096"/>
    <w:rsid w:val="003725F2"/>
    <w:rsid w:val="00372D88"/>
    <w:rsid w:val="00380F49"/>
    <w:rsid w:val="003908B2"/>
    <w:rsid w:val="003912B7"/>
    <w:rsid w:val="00392809"/>
    <w:rsid w:val="003961CB"/>
    <w:rsid w:val="00397C03"/>
    <w:rsid w:val="003A389D"/>
    <w:rsid w:val="003A5681"/>
    <w:rsid w:val="003B337F"/>
    <w:rsid w:val="003B68C8"/>
    <w:rsid w:val="003C4D9B"/>
    <w:rsid w:val="003C7F0C"/>
    <w:rsid w:val="003D1739"/>
    <w:rsid w:val="003D537C"/>
    <w:rsid w:val="003D7BD2"/>
    <w:rsid w:val="003E5BC8"/>
    <w:rsid w:val="003E5D7A"/>
    <w:rsid w:val="003F0C51"/>
    <w:rsid w:val="003F6D49"/>
    <w:rsid w:val="004072A8"/>
    <w:rsid w:val="00407D67"/>
    <w:rsid w:val="0041060A"/>
    <w:rsid w:val="0041133F"/>
    <w:rsid w:val="0041459E"/>
    <w:rsid w:val="004149E1"/>
    <w:rsid w:val="00421EF2"/>
    <w:rsid w:val="00426BEE"/>
    <w:rsid w:val="004361B5"/>
    <w:rsid w:val="004371CB"/>
    <w:rsid w:val="00437D33"/>
    <w:rsid w:val="00437DB6"/>
    <w:rsid w:val="00444284"/>
    <w:rsid w:val="00446729"/>
    <w:rsid w:val="0045417B"/>
    <w:rsid w:val="0045539F"/>
    <w:rsid w:val="00463AD7"/>
    <w:rsid w:val="004665DD"/>
    <w:rsid w:val="00471373"/>
    <w:rsid w:val="004751BF"/>
    <w:rsid w:val="0048313B"/>
    <w:rsid w:val="004864A5"/>
    <w:rsid w:val="00495507"/>
    <w:rsid w:val="00496DA0"/>
    <w:rsid w:val="004A0453"/>
    <w:rsid w:val="004C6560"/>
    <w:rsid w:val="004D606C"/>
    <w:rsid w:val="004D7D58"/>
    <w:rsid w:val="004E12B8"/>
    <w:rsid w:val="004E3DFB"/>
    <w:rsid w:val="004E4BA0"/>
    <w:rsid w:val="004F3704"/>
    <w:rsid w:val="004F6BAD"/>
    <w:rsid w:val="00503255"/>
    <w:rsid w:val="00514CEB"/>
    <w:rsid w:val="00520E35"/>
    <w:rsid w:val="00522798"/>
    <w:rsid w:val="00525BAC"/>
    <w:rsid w:val="00526E3C"/>
    <w:rsid w:val="00526E4A"/>
    <w:rsid w:val="005310F8"/>
    <w:rsid w:val="00533123"/>
    <w:rsid w:val="00533965"/>
    <w:rsid w:val="005343A1"/>
    <w:rsid w:val="00537FA3"/>
    <w:rsid w:val="005415ED"/>
    <w:rsid w:val="00547399"/>
    <w:rsid w:val="00550E7F"/>
    <w:rsid w:val="00551C93"/>
    <w:rsid w:val="005564FA"/>
    <w:rsid w:val="00561691"/>
    <w:rsid w:val="00567E87"/>
    <w:rsid w:val="00573496"/>
    <w:rsid w:val="00575AF8"/>
    <w:rsid w:val="00577385"/>
    <w:rsid w:val="005842BA"/>
    <w:rsid w:val="005851CA"/>
    <w:rsid w:val="005921B0"/>
    <w:rsid w:val="005A24A1"/>
    <w:rsid w:val="005A32EC"/>
    <w:rsid w:val="005A369F"/>
    <w:rsid w:val="005A4B63"/>
    <w:rsid w:val="005B1F82"/>
    <w:rsid w:val="005B2E94"/>
    <w:rsid w:val="005B5263"/>
    <w:rsid w:val="005B6E83"/>
    <w:rsid w:val="005C56B2"/>
    <w:rsid w:val="005D7E04"/>
    <w:rsid w:val="005E09FF"/>
    <w:rsid w:val="005E5CDF"/>
    <w:rsid w:val="005E6508"/>
    <w:rsid w:val="00607278"/>
    <w:rsid w:val="00611EA8"/>
    <w:rsid w:val="00612838"/>
    <w:rsid w:val="00617825"/>
    <w:rsid w:val="006244E6"/>
    <w:rsid w:val="00626CDF"/>
    <w:rsid w:val="0063054E"/>
    <w:rsid w:val="00633D26"/>
    <w:rsid w:val="00635166"/>
    <w:rsid w:val="0063617D"/>
    <w:rsid w:val="006364BE"/>
    <w:rsid w:val="00636666"/>
    <w:rsid w:val="00641506"/>
    <w:rsid w:val="00644F24"/>
    <w:rsid w:val="006547D7"/>
    <w:rsid w:val="00656B62"/>
    <w:rsid w:val="006661CF"/>
    <w:rsid w:val="006717AD"/>
    <w:rsid w:val="0067677D"/>
    <w:rsid w:val="00693AA1"/>
    <w:rsid w:val="006A3505"/>
    <w:rsid w:val="006B60B5"/>
    <w:rsid w:val="006C1CC0"/>
    <w:rsid w:val="006C2247"/>
    <w:rsid w:val="006C32DA"/>
    <w:rsid w:val="006C576F"/>
    <w:rsid w:val="006C5BFA"/>
    <w:rsid w:val="006C66DE"/>
    <w:rsid w:val="006D15A8"/>
    <w:rsid w:val="006D1869"/>
    <w:rsid w:val="006D6436"/>
    <w:rsid w:val="006E1110"/>
    <w:rsid w:val="006E1398"/>
    <w:rsid w:val="006E6E9D"/>
    <w:rsid w:val="006F3887"/>
    <w:rsid w:val="00702EA0"/>
    <w:rsid w:val="00703AC2"/>
    <w:rsid w:val="00706DCC"/>
    <w:rsid w:val="0071609E"/>
    <w:rsid w:val="00717B17"/>
    <w:rsid w:val="0072150F"/>
    <w:rsid w:val="00733828"/>
    <w:rsid w:val="00734023"/>
    <w:rsid w:val="00742DA9"/>
    <w:rsid w:val="00743308"/>
    <w:rsid w:val="007437F8"/>
    <w:rsid w:val="00750380"/>
    <w:rsid w:val="00756D87"/>
    <w:rsid w:val="0076666C"/>
    <w:rsid w:val="007747AD"/>
    <w:rsid w:val="00774D0F"/>
    <w:rsid w:val="007823DC"/>
    <w:rsid w:val="007840F3"/>
    <w:rsid w:val="007A34A0"/>
    <w:rsid w:val="007A6CE9"/>
    <w:rsid w:val="007A73B5"/>
    <w:rsid w:val="007A7BEF"/>
    <w:rsid w:val="007A7F84"/>
    <w:rsid w:val="007B3CBE"/>
    <w:rsid w:val="007B5EDC"/>
    <w:rsid w:val="007B6EE2"/>
    <w:rsid w:val="007B74DC"/>
    <w:rsid w:val="007C2F41"/>
    <w:rsid w:val="007C5912"/>
    <w:rsid w:val="007C7A4D"/>
    <w:rsid w:val="007D51B0"/>
    <w:rsid w:val="007D5EDD"/>
    <w:rsid w:val="007E117E"/>
    <w:rsid w:val="007E616B"/>
    <w:rsid w:val="007E66C6"/>
    <w:rsid w:val="007F1103"/>
    <w:rsid w:val="007F652E"/>
    <w:rsid w:val="00802FD9"/>
    <w:rsid w:val="00816091"/>
    <w:rsid w:val="00820719"/>
    <w:rsid w:val="008210D4"/>
    <w:rsid w:val="0082135E"/>
    <w:rsid w:val="0082452A"/>
    <w:rsid w:val="00827B80"/>
    <w:rsid w:val="00827BFC"/>
    <w:rsid w:val="0083123C"/>
    <w:rsid w:val="00833F83"/>
    <w:rsid w:val="00834E42"/>
    <w:rsid w:val="0083616C"/>
    <w:rsid w:val="008364FA"/>
    <w:rsid w:val="0084451E"/>
    <w:rsid w:val="0084583C"/>
    <w:rsid w:val="00846C86"/>
    <w:rsid w:val="00850C6B"/>
    <w:rsid w:val="00851226"/>
    <w:rsid w:val="00855DA5"/>
    <w:rsid w:val="00855E2C"/>
    <w:rsid w:val="0085685F"/>
    <w:rsid w:val="008651B5"/>
    <w:rsid w:val="00880EB5"/>
    <w:rsid w:val="00883E8B"/>
    <w:rsid w:val="0089087B"/>
    <w:rsid w:val="008948FF"/>
    <w:rsid w:val="0089536D"/>
    <w:rsid w:val="008A1148"/>
    <w:rsid w:val="008A18C5"/>
    <w:rsid w:val="008A1F52"/>
    <w:rsid w:val="008A3861"/>
    <w:rsid w:val="008A7717"/>
    <w:rsid w:val="008B0CC0"/>
    <w:rsid w:val="008B1177"/>
    <w:rsid w:val="008B4027"/>
    <w:rsid w:val="008B4695"/>
    <w:rsid w:val="008C00AF"/>
    <w:rsid w:val="008C43C1"/>
    <w:rsid w:val="008C71CE"/>
    <w:rsid w:val="008D0D14"/>
    <w:rsid w:val="008D5316"/>
    <w:rsid w:val="008D7410"/>
    <w:rsid w:val="008D7D71"/>
    <w:rsid w:val="008E0B5E"/>
    <w:rsid w:val="008E68A1"/>
    <w:rsid w:val="008F3B25"/>
    <w:rsid w:val="008F3BE3"/>
    <w:rsid w:val="008F5A24"/>
    <w:rsid w:val="008F7D5E"/>
    <w:rsid w:val="00904D6B"/>
    <w:rsid w:val="00906FC3"/>
    <w:rsid w:val="00910340"/>
    <w:rsid w:val="009261C0"/>
    <w:rsid w:val="00926924"/>
    <w:rsid w:val="009300FD"/>
    <w:rsid w:val="009331F4"/>
    <w:rsid w:val="00934EA9"/>
    <w:rsid w:val="00935F9C"/>
    <w:rsid w:val="00941000"/>
    <w:rsid w:val="0094352A"/>
    <w:rsid w:val="00945ABE"/>
    <w:rsid w:val="0094713C"/>
    <w:rsid w:val="0095005F"/>
    <w:rsid w:val="00950819"/>
    <w:rsid w:val="0095524B"/>
    <w:rsid w:val="009553BE"/>
    <w:rsid w:val="00961463"/>
    <w:rsid w:val="00961E7B"/>
    <w:rsid w:val="00962D51"/>
    <w:rsid w:val="00964A7F"/>
    <w:rsid w:val="00964F7B"/>
    <w:rsid w:val="00966C5A"/>
    <w:rsid w:val="00974295"/>
    <w:rsid w:val="00976C3C"/>
    <w:rsid w:val="00987D15"/>
    <w:rsid w:val="00990B3F"/>
    <w:rsid w:val="0099101A"/>
    <w:rsid w:val="00993605"/>
    <w:rsid w:val="009977B5"/>
    <w:rsid w:val="009A3451"/>
    <w:rsid w:val="009B4461"/>
    <w:rsid w:val="009C0F97"/>
    <w:rsid w:val="009C1A5F"/>
    <w:rsid w:val="009C31B9"/>
    <w:rsid w:val="009C585D"/>
    <w:rsid w:val="009C7770"/>
    <w:rsid w:val="009D3A8F"/>
    <w:rsid w:val="009E45F7"/>
    <w:rsid w:val="009F015E"/>
    <w:rsid w:val="009F03F5"/>
    <w:rsid w:val="009F4C95"/>
    <w:rsid w:val="009F6942"/>
    <w:rsid w:val="009F6EE1"/>
    <w:rsid w:val="00A03ACA"/>
    <w:rsid w:val="00A10234"/>
    <w:rsid w:val="00A15B4F"/>
    <w:rsid w:val="00A20D5E"/>
    <w:rsid w:val="00A22063"/>
    <w:rsid w:val="00A23437"/>
    <w:rsid w:val="00A2384F"/>
    <w:rsid w:val="00A25AB9"/>
    <w:rsid w:val="00A32276"/>
    <w:rsid w:val="00A37A66"/>
    <w:rsid w:val="00A40A86"/>
    <w:rsid w:val="00A40C65"/>
    <w:rsid w:val="00A41309"/>
    <w:rsid w:val="00A43868"/>
    <w:rsid w:val="00A5683B"/>
    <w:rsid w:val="00A603B2"/>
    <w:rsid w:val="00A62764"/>
    <w:rsid w:val="00A63400"/>
    <w:rsid w:val="00A66A95"/>
    <w:rsid w:val="00A705E1"/>
    <w:rsid w:val="00A70680"/>
    <w:rsid w:val="00A74C01"/>
    <w:rsid w:val="00A762EE"/>
    <w:rsid w:val="00A81B0E"/>
    <w:rsid w:val="00A85C25"/>
    <w:rsid w:val="00A97300"/>
    <w:rsid w:val="00AA2580"/>
    <w:rsid w:val="00AA2CB2"/>
    <w:rsid w:val="00AA2DAF"/>
    <w:rsid w:val="00AA65DA"/>
    <w:rsid w:val="00AC44E0"/>
    <w:rsid w:val="00AC51AA"/>
    <w:rsid w:val="00AC5B3F"/>
    <w:rsid w:val="00AD5AAE"/>
    <w:rsid w:val="00AE0EA0"/>
    <w:rsid w:val="00AE3DA5"/>
    <w:rsid w:val="00AE6BE2"/>
    <w:rsid w:val="00AF133B"/>
    <w:rsid w:val="00AF13DF"/>
    <w:rsid w:val="00AF3878"/>
    <w:rsid w:val="00AF3BE3"/>
    <w:rsid w:val="00AF57A6"/>
    <w:rsid w:val="00AF7DB1"/>
    <w:rsid w:val="00B10666"/>
    <w:rsid w:val="00B14894"/>
    <w:rsid w:val="00B15E57"/>
    <w:rsid w:val="00B1627B"/>
    <w:rsid w:val="00B258BE"/>
    <w:rsid w:val="00B31AFF"/>
    <w:rsid w:val="00B32245"/>
    <w:rsid w:val="00B34142"/>
    <w:rsid w:val="00B36849"/>
    <w:rsid w:val="00B4015C"/>
    <w:rsid w:val="00B44152"/>
    <w:rsid w:val="00B62393"/>
    <w:rsid w:val="00B63094"/>
    <w:rsid w:val="00B653CD"/>
    <w:rsid w:val="00B6613A"/>
    <w:rsid w:val="00B71747"/>
    <w:rsid w:val="00B73BC4"/>
    <w:rsid w:val="00B80B9C"/>
    <w:rsid w:val="00B908D0"/>
    <w:rsid w:val="00B92911"/>
    <w:rsid w:val="00B9441D"/>
    <w:rsid w:val="00B95FF1"/>
    <w:rsid w:val="00BA2364"/>
    <w:rsid w:val="00BA48F3"/>
    <w:rsid w:val="00BA6B2E"/>
    <w:rsid w:val="00BA72CC"/>
    <w:rsid w:val="00BB1FE4"/>
    <w:rsid w:val="00BB41C7"/>
    <w:rsid w:val="00BB4295"/>
    <w:rsid w:val="00BB54E1"/>
    <w:rsid w:val="00BB579E"/>
    <w:rsid w:val="00BC0835"/>
    <w:rsid w:val="00BD0BA7"/>
    <w:rsid w:val="00BD1C31"/>
    <w:rsid w:val="00BD3A67"/>
    <w:rsid w:val="00BD4D81"/>
    <w:rsid w:val="00C10942"/>
    <w:rsid w:val="00C110FB"/>
    <w:rsid w:val="00C20C67"/>
    <w:rsid w:val="00C262BF"/>
    <w:rsid w:val="00C30862"/>
    <w:rsid w:val="00C343DF"/>
    <w:rsid w:val="00C37423"/>
    <w:rsid w:val="00C44DDF"/>
    <w:rsid w:val="00C4583E"/>
    <w:rsid w:val="00C45A57"/>
    <w:rsid w:val="00C46EB8"/>
    <w:rsid w:val="00C478DE"/>
    <w:rsid w:val="00C612E1"/>
    <w:rsid w:val="00C63BCE"/>
    <w:rsid w:val="00C647CC"/>
    <w:rsid w:val="00C650F2"/>
    <w:rsid w:val="00C73B5A"/>
    <w:rsid w:val="00C773A9"/>
    <w:rsid w:val="00C82E74"/>
    <w:rsid w:val="00C863BA"/>
    <w:rsid w:val="00C86DA7"/>
    <w:rsid w:val="00C95662"/>
    <w:rsid w:val="00CA11A4"/>
    <w:rsid w:val="00CA5954"/>
    <w:rsid w:val="00CA6D4A"/>
    <w:rsid w:val="00CB0ED6"/>
    <w:rsid w:val="00CB3221"/>
    <w:rsid w:val="00CC2130"/>
    <w:rsid w:val="00CC5F33"/>
    <w:rsid w:val="00CD4CC0"/>
    <w:rsid w:val="00CD5C75"/>
    <w:rsid w:val="00CE5A14"/>
    <w:rsid w:val="00CE64F6"/>
    <w:rsid w:val="00CF0AF9"/>
    <w:rsid w:val="00CF2B2E"/>
    <w:rsid w:val="00CF3AFE"/>
    <w:rsid w:val="00D038E3"/>
    <w:rsid w:val="00D06B9C"/>
    <w:rsid w:val="00D156FA"/>
    <w:rsid w:val="00D20823"/>
    <w:rsid w:val="00D20EC8"/>
    <w:rsid w:val="00D2302F"/>
    <w:rsid w:val="00D23B34"/>
    <w:rsid w:val="00D25C9E"/>
    <w:rsid w:val="00D31951"/>
    <w:rsid w:val="00D35B4A"/>
    <w:rsid w:val="00D3636E"/>
    <w:rsid w:val="00D37833"/>
    <w:rsid w:val="00D404FB"/>
    <w:rsid w:val="00D42021"/>
    <w:rsid w:val="00D47569"/>
    <w:rsid w:val="00D5574E"/>
    <w:rsid w:val="00D6044C"/>
    <w:rsid w:val="00D61B9B"/>
    <w:rsid w:val="00D63477"/>
    <w:rsid w:val="00D66382"/>
    <w:rsid w:val="00D6647B"/>
    <w:rsid w:val="00D73DFB"/>
    <w:rsid w:val="00D75D31"/>
    <w:rsid w:val="00D76ECE"/>
    <w:rsid w:val="00D805AC"/>
    <w:rsid w:val="00D83196"/>
    <w:rsid w:val="00D8539B"/>
    <w:rsid w:val="00D941C1"/>
    <w:rsid w:val="00D972F7"/>
    <w:rsid w:val="00DA75F0"/>
    <w:rsid w:val="00DA7715"/>
    <w:rsid w:val="00DB2A86"/>
    <w:rsid w:val="00DB6089"/>
    <w:rsid w:val="00DB7F5A"/>
    <w:rsid w:val="00DC0E41"/>
    <w:rsid w:val="00DC0EC7"/>
    <w:rsid w:val="00DC35CE"/>
    <w:rsid w:val="00DC4444"/>
    <w:rsid w:val="00DC7E9B"/>
    <w:rsid w:val="00DD297B"/>
    <w:rsid w:val="00DD5A4E"/>
    <w:rsid w:val="00DD61C9"/>
    <w:rsid w:val="00DD6858"/>
    <w:rsid w:val="00DE08C4"/>
    <w:rsid w:val="00DE22D8"/>
    <w:rsid w:val="00DF1C12"/>
    <w:rsid w:val="00DF24CE"/>
    <w:rsid w:val="00DF5DD8"/>
    <w:rsid w:val="00E038E8"/>
    <w:rsid w:val="00E233B9"/>
    <w:rsid w:val="00E23C5A"/>
    <w:rsid w:val="00E367E4"/>
    <w:rsid w:val="00E40E20"/>
    <w:rsid w:val="00E41C60"/>
    <w:rsid w:val="00E43928"/>
    <w:rsid w:val="00E44455"/>
    <w:rsid w:val="00E52220"/>
    <w:rsid w:val="00E609C4"/>
    <w:rsid w:val="00E60CFD"/>
    <w:rsid w:val="00E67058"/>
    <w:rsid w:val="00E7773C"/>
    <w:rsid w:val="00E80161"/>
    <w:rsid w:val="00E80255"/>
    <w:rsid w:val="00E83985"/>
    <w:rsid w:val="00E9194C"/>
    <w:rsid w:val="00E972EF"/>
    <w:rsid w:val="00EA184D"/>
    <w:rsid w:val="00EA1A12"/>
    <w:rsid w:val="00EA2D70"/>
    <w:rsid w:val="00EA511F"/>
    <w:rsid w:val="00EB3EB7"/>
    <w:rsid w:val="00EB4A7E"/>
    <w:rsid w:val="00EC4144"/>
    <w:rsid w:val="00ED45E3"/>
    <w:rsid w:val="00ED491D"/>
    <w:rsid w:val="00EE1111"/>
    <w:rsid w:val="00EE37F0"/>
    <w:rsid w:val="00EF5835"/>
    <w:rsid w:val="00EF6DF7"/>
    <w:rsid w:val="00F02B8F"/>
    <w:rsid w:val="00F047F8"/>
    <w:rsid w:val="00F04890"/>
    <w:rsid w:val="00F21031"/>
    <w:rsid w:val="00F225EA"/>
    <w:rsid w:val="00F22A7C"/>
    <w:rsid w:val="00F22FC7"/>
    <w:rsid w:val="00F23664"/>
    <w:rsid w:val="00F26228"/>
    <w:rsid w:val="00F346EF"/>
    <w:rsid w:val="00F34739"/>
    <w:rsid w:val="00F4295A"/>
    <w:rsid w:val="00F46CA7"/>
    <w:rsid w:val="00F47B37"/>
    <w:rsid w:val="00F614FB"/>
    <w:rsid w:val="00F63F7C"/>
    <w:rsid w:val="00F67A26"/>
    <w:rsid w:val="00F834B9"/>
    <w:rsid w:val="00F86197"/>
    <w:rsid w:val="00F87C9C"/>
    <w:rsid w:val="00F9460B"/>
    <w:rsid w:val="00F9572E"/>
    <w:rsid w:val="00F97C1F"/>
    <w:rsid w:val="00FA6177"/>
    <w:rsid w:val="00FA7BFB"/>
    <w:rsid w:val="00FB3849"/>
    <w:rsid w:val="00FB5F1A"/>
    <w:rsid w:val="00FC2DCB"/>
    <w:rsid w:val="00FC7F38"/>
    <w:rsid w:val="00FD4B8E"/>
    <w:rsid w:val="00FD7DC9"/>
    <w:rsid w:val="00FE12F5"/>
    <w:rsid w:val="00FE164C"/>
    <w:rsid w:val="00FE32FC"/>
    <w:rsid w:val="00FE33A3"/>
    <w:rsid w:val="00FE4895"/>
    <w:rsid w:val="00FE520A"/>
    <w:rsid w:val="00FF0F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68A1"/>
    <w:pPr>
      <w:autoSpaceDE w:val="0"/>
      <w:autoSpaceDN w:val="0"/>
    </w:pPr>
    <w:rPr>
      <w:sz w:val="24"/>
      <w:szCs w:val="24"/>
    </w:rPr>
  </w:style>
  <w:style w:type="paragraph" w:styleId="Heading1">
    <w:name w:val="heading 1"/>
    <w:basedOn w:val="Normal"/>
    <w:next w:val="Normal"/>
    <w:qFormat/>
    <w:rsid w:val="008E68A1"/>
    <w:pPr>
      <w:keepNext/>
      <w:tabs>
        <w:tab w:val="center" w:pos="4680"/>
      </w:tabs>
      <w:suppressAutoHyphens/>
      <w:jc w:val="both"/>
      <w:outlineLvl w:val="0"/>
    </w:pPr>
    <w:rPr>
      <w:b/>
      <w:bCs/>
    </w:rPr>
  </w:style>
  <w:style w:type="paragraph" w:styleId="Heading2">
    <w:name w:val="heading 2"/>
    <w:basedOn w:val="Normal"/>
    <w:next w:val="Normal"/>
    <w:qFormat/>
    <w:rsid w:val="008E68A1"/>
    <w:pPr>
      <w:keepNext/>
      <w:spacing w:line="360" w:lineRule="auto"/>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68A1"/>
    <w:pPr>
      <w:tabs>
        <w:tab w:val="center" w:pos="4320"/>
        <w:tab w:val="right" w:pos="8640"/>
      </w:tabs>
    </w:pPr>
  </w:style>
  <w:style w:type="character" w:styleId="PageNumber">
    <w:name w:val="page number"/>
    <w:basedOn w:val="DefaultParagraphFont"/>
    <w:rsid w:val="008E68A1"/>
  </w:style>
  <w:style w:type="paragraph" w:styleId="Header">
    <w:name w:val="header"/>
    <w:basedOn w:val="Normal"/>
    <w:rsid w:val="008E68A1"/>
    <w:pPr>
      <w:tabs>
        <w:tab w:val="center" w:pos="4320"/>
        <w:tab w:val="right" w:pos="8640"/>
      </w:tabs>
    </w:pPr>
  </w:style>
  <w:style w:type="paragraph" w:styleId="FootnoteText">
    <w:name w:val="footnote text"/>
    <w:basedOn w:val="Normal"/>
    <w:link w:val="FootnoteTextChar"/>
    <w:semiHidden/>
    <w:rsid w:val="008E68A1"/>
  </w:style>
  <w:style w:type="character" w:styleId="FootnoteReference">
    <w:name w:val="footnote reference"/>
    <w:basedOn w:val="DefaultParagraphFont"/>
    <w:semiHidden/>
    <w:rsid w:val="008E68A1"/>
    <w:rPr>
      <w:vertAlign w:val="superscript"/>
    </w:rPr>
  </w:style>
  <w:style w:type="paragraph" w:styleId="DocumentMap">
    <w:name w:val="Document Map"/>
    <w:basedOn w:val="Normal"/>
    <w:semiHidden/>
    <w:rsid w:val="008E68A1"/>
    <w:pPr>
      <w:shd w:val="clear" w:color="auto" w:fill="000080"/>
    </w:pPr>
    <w:rPr>
      <w:rFonts w:ascii="Tahoma" w:hAnsi="Tahoma" w:cs="Tahoma"/>
    </w:rPr>
  </w:style>
  <w:style w:type="character" w:customStyle="1" w:styleId="FootnoteTextChar">
    <w:name w:val="Footnote Text Char"/>
    <w:basedOn w:val="DefaultParagraphFont"/>
    <w:link w:val="FootnoteText"/>
    <w:semiHidden/>
    <w:rsid w:val="00221E89"/>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F7854-BE94-48B5-939F-1EB4720DA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13</Pages>
  <Words>2568</Words>
  <Characters>14644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BEFORE THE</vt:lpstr>
    </vt:vector>
  </TitlesOfParts>
  <Company>PA PUC</Company>
  <LinksUpToDate>false</LinksUpToDate>
  <CharactersWithSpaces>17178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BEFORE THE</dc:title>
  <dc:subject/>
  <dc:creator>PA PUC</dc:creator>
  <cp:keywords/>
  <dc:description/>
  <cp:lastModifiedBy>sandra elizabeth oldynski</cp:lastModifiedBy>
  <cp:revision>57</cp:revision>
  <cp:lastPrinted>2011-06-24T12:58:00Z</cp:lastPrinted>
  <dcterms:created xsi:type="dcterms:W3CDTF">2011-06-23T18:39:00Z</dcterms:created>
  <dcterms:modified xsi:type="dcterms:W3CDTF">2011-06-24T14:42:00Z</dcterms:modified>
</cp:coreProperties>
</file>