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65" w:rsidRPr="004B5B65" w:rsidRDefault="004B5B65" w:rsidP="004B5B65">
      <w:pPr>
        <w:jc w:val="center"/>
        <w:rPr>
          <w:b/>
          <w:sz w:val="26"/>
          <w:szCs w:val="26"/>
        </w:rPr>
      </w:pPr>
      <w:r w:rsidRPr="004B5B65">
        <w:rPr>
          <w:b/>
          <w:sz w:val="26"/>
          <w:szCs w:val="26"/>
        </w:rPr>
        <w:t>PENNSYLVANIA</w:t>
      </w:r>
    </w:p>
    <w:p w:rsidR="004B5B65" w:rsidRPr="004B5B65" w:rsidRDefault="004B5B65" w:rsidP="004B5B65">
      <w:pPr>
        <w:jc w:val="center"/>
        <w:rPr>
          <w:b/>
          <w:sz w:val="26"/>
          <w:szCs w:val="26"/>
        </w:rPr>
      </w:pPr>
      <w:r w:rsidRPr="004B5B65">
        <w:rPr>
          <w:b/>
          <w:sz w:val="26"/>
          <w:szCs w:val="26"/>
        </w:rPr>
        <w:t>PUBLIC UTILITY COMMISSION</w:t>
      </w:r>
    </w:p>
    <w:p w:rsidR="004B5B65" w:rsidRPr="004B5B65" w:rsidRDefault="004B5B65" w:rsidP="004B5B65">
      <w:pPr>
        <w:jc w:val="center"/>
        <w:rPr>
          <w:b/>
          <w:sz w:val="26"/>
          <w:szCs w:val="26"/>
        </w:rPr>
      </w:pPr>
      <w:r w:rsidRPr="004B5B65">
        <w:rPr>
          <w:b/>
          <w:sz w:val="26"/>
          <w:szCs w:val="26"/>
        </w:rPr>
        <w:t>Harrisburg, PA  17105-3265</w:t>
      </w:r>
    </w:p>
    <w:p w:rsidR="004B5B65" w:rsidRPr="004B5B65" w:rsidRDefault="004B5B65" w:rsidP="004B5B65">
      <w:pPr>
        <w:rPr>
          <w:sz w:val="26"/>
          <w:szCs w:val="26"/>
        </w:rPr>
      </w:pPr>
    </w:p>
    <w:p w:rsidR="004B5B65" w:rsidRPr="004B5B65" w:rsidRDefault="004B5B65" w:rsidP="004B5B65">
      <w:pPr>
        <w:rPr>
          <w:sz w:val="26"/>
          <w:szCs w:val="26"/>
        </w:rPr>
      </w:pPr>
    </w:p>
    <w:p w:rsidR="004B5B65" w:rsidRPr="004B5B65" w:rsidRDefault="00155333" w:rsidP="00F2087C">
      <w:pPr>
        <w:jc w:val="right"/>
        <w:rPr>
          <w:sz w:val="26"/>
          <w:szCs w:val="26"/>
        </w:rPr>
      </w:pPr>
      <w:r>
        <w:rPr>
          <w:sz w:val="26"/>
          <w:szCs w:val="26"/>
        </w:rPr>
        <w:t xml:space="preserve">Public Meeting held </w:t>
      </w:r>
      <w:r w:rsidR="00BA57CC">
        <w:rPr>
          <w:sz w:val="26"/>
          <w:szCs w:val="26"/>
        </w:rPr>
        <w:t xml:space="preserve">June </w:t>
      </w:r>
      <w:r w:rsidR="00766510">
        <w:rPr>
          <w:sz w:val="26"/>
          <w:szCs w:val="26"/>
        </w:rPr>
        <w:t>30</w:t>
      </w:r>
      <w:r w:rsidR="00A564D5">
        <w:rPr>
          <w:sz w:val="26"/>
          <w:szCs w:val="26"/>
        </w:rPr>
        <w:t>, 201</w:t>
      </w:r>
      <w:r w:rsidR="000562A0">
        <w:rPr>
          <w:sz w:val="26"/>
          <w:szCs w:val="26"/>
        </w:rPr>
        <w:t>1</w:t>
      </w:r>
    </w:p>
    <w:p w:rsidR="004B5B65" w:rsidRPr="004B5B65" w:rsidRDefault="004B5B65" w:rsidP="004B5B65">
      <w:pPr>
        <w:rPr>
          <w:sz w:val="26"/>
          <w:szCs w:val="26"/>
        </w:rPr>
      </w:pPr>
    </w:p>
    <w:p w:rsidR="004B5B65" w:rsidRPr="004B5B65" w:rsidRDefault="004B5B65" w:rsidP="004B5B65">
      <w:pPr>
        <w:rPr>
          <w:sz w:val="26"/>
          <w:szCs w:val="26"/>
        </w:rPr>
      </w:pPr>
    </w:p>
    <w:p w:rsidR="004B5B65" w:rsidRPr="004B5B65" w:rsidRDefault="004B5B65" w:rsidP="004B5B65">
      <w:pPr>
        <w:rPr>
          <w:sz w:val="26"/>
          <w:szCs w:val="26"/>
        </w:rPr>
      </w:pPr>
      <w:r w:rsidRPr="004B5B65">
        <w:rPr>
          <w:sz w:val="26"/>
          <w:szCs w:val="26"/>
        </w:rPr>
        <w:t>Commissioners Present:</w:t>
      </w:r>
    </w:p>
    <w:p w:rsidR="004B5B65" w:rsidRPr="004B5B65" w:rsidRDefault="004B5B65" w:rsidP="004B5B65">
      <w:pPr>
        <w:rPr>
          <w:sz w:val="26"/>
          <w:szCs w:val="26"/>
        </w:rPr>
      </w:pPr>
    </w:p>
    <w:p w:rsidR="004B5B65" w:rsidRDefault="004B5B65" w:rsidP="00ED4372">
      <w:pPr>
        <w:rPr>
          <w:sz w:val="26"/>
          <w:szCs w:val="26"/>
        </w:rPr>
      </w:pPr>
      <w:r w:rsidRPr="004B5B65">
        <w:rPr>
          <w:sz w:val="26"/>
          <w:szCs w:val="26"/>
        </w:rPr>
        <w:tab/>
      </w:r>
      <w:r w:rsidR="00ED4372">
        <w:rPr>
          <w:sz w:val="26"/>
          <w:szCs w:val="26"/>
        </w:rPr>
        <w:t>Robert F. Powelson, Chairman</w:t>
      </w:r>
    </w:p>
    <w:p w:rsidR="00ED4372" w:rsidRDefault="00ED4372" w:rsidP="00ED4372">
      <w:pPr>
        <w:rPr>
          <w:sz w:val="26"/>
          <w:szCs w:val="26"/>
        </w:rPr>
      </w:pPr>
      <w:r>
        <w:rPr>
          <w:sz w:val="26"/>
          <w:szCs w:val="26"/>
        </w:rPr>
        <w:tab/>
        <w:t>John F. Coleman, Jr., Vice Chairman</w:t>
      </w:r>
    </w:p>
    <w:p w:rsidR="00ED4372" w:rsidRPr="004B5B65" w:rsidRDefault="00ED4372" w:rsidP="00ED4372">
      <w:pPr>
        <w:rPr>
          <w:sz w:val="26"/>
          <w:szCs w:val="26"/>
        </w:rPr>
      </w:pPr>
      <w:r>
        <w:rPr>
          <w:sz w:val="26"/>
          <w:szCs w:val="26"/>
        </w:rPr>
        <w:tab/>
        <w:t>Tyrone J. Christy</w:t>
      </w:r>
    </w:p>
    <w:p w:rsidR="004B5B65" w:rsidRPr="004B5B65" w:rsidRDefault="004B5B65" w:rsidP="004B5B65">
      <w:pPr>
        <w:rPr>
          <w:sz w:val="26"/>
          <w:szCs w:val="26"/>
        </w:rPr>
      </w:pPr>
      <w:r w:rsidRPr="004B5B65">
        <w:rPr>
          <w:sz w:val="26"/>
          <w:szCs w:val="26"/>
        </w:rPr>
        <w:tab/>
        <w:t>Wayne E. Gardner</w:t>
      </w:r>
    </w:p>
    <w:p w:rsidR="004B5B65" w:rsidRPr="004B5B65" w:rsidRDefault="004B5B65" w:rsidP="004B5B65">
      <w:pPr>
        <w:rPr>
          <w:sz w:val="26"/>
          <w:szCs w:val="26"/>
        </w:rPr>
      </w:pPr>
      <w:r w:rsidRPr="004B5B65">
        <w:rPr>
          <w:sz w:val="26"/>
          <w:szCs w:val="26"/>
        </w:rPr>
        <w:tab/>
      </w:r>
      <w:r w:rsidR="00ED4372">
        <w:rPr>
          <w:sz w:val="26"/>
          <w:szCs w:val="26"/>
        </w:rPr>
        <w:t>James H. Cawley</w:t>
      </w:r>
    </w:p>
    <w:p w:rsidR="004B5B65" w:rsidRPr="004B5B65" w:rsidRDefault="004B5B65" w:rsidP="004B5B65">
      <w:pPr>
        <w:rPr>
          <w:sz w:val="26"/>
          <w:szCs w:val="26"/>
        </w:rPr>
      </w:pPr>
    </w:p>
    <w:p w:rsidR="004B5B65" w:rsidRPr="004B5B65" w:rsidRDefault="004B5B65" w:rsidP="004B5B65">
      <w:pPr>
        <w:rPr>
          <w:sz w:val="26"/>
          <w:szCs w:val="26"/>
        </w:rPr>
      </w:pP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1"/>
        <w:gridCol w:w="4871"/>
      </w:tblGrid>
      <w:tr w:rsidR="009A7354" w:rsidTr="00625797">
        <w:trPr>
          <w:trHeight w:val="646"/>
        </w:trPr>
        <w:tc>
          <w:tcPr>
            <w:tcW w:w="4871" w:type="dxa"/>
          </w:tcPr>
          <w:p w:rsidR="009A7354" w:rsidRPr="004B5B65" w:rsidRDefault="009A7354" w:rsidP="009A7354">
            <w:pPr>
              <w:rPr>
                <w:sz w:val="26"/>
                <w:szCs w:val="26"/>
              </w:rPr>
            </w:pPr>
            <w:r w:rsidRPr="004B5B65">
              <w:rPr>
                <w:sz w:val="26"/>
                <w:szCs w:val="26"/>
              </w:rPr>
              <w:t>Pennsylvania Public Utility Commission</w:t>
            </w:r>
            <w:r w:rsidR="00A564D5">
              <w:rPr>
                <w:sz w:val="26"/>
                <w:szCs w:val="26"/>
              </w:rPr>
              <w:t>,</w:t>
            </w:r>
            <w:r w:rsidRPr="004B5B65">
              <w:rPr>
                <w:sz w:val="26"/>
                <w:szCs w:val="26"/>
              </w:rPr>
              <w:tab/>
              <w:t xml:space="preserve">       </w:t>
            </w:r>
          </w:p>
          <w:p w:rsidR="009A7354" w:rsidRDefault="009A7354" w:rsidP="00A564D5">
            <w:pPr>
              <w:rPr>
                <w:sz w:val="26"/>
                <w:szCs w:val="26"/>
              </w:rPr>
            </w:pPr>
            <w:r w:rsidRPr="004B5B65">
              <w:rPr>
                <w:sz w:val="26"/>
                <w:szCs w:val="26"/>
              </w:rPr>
              <w:t xml:space="preserve">Bureau </w:t>
            </w:r>
            <w:r w:rsidR="00A564D5">
              <w:rPr>
                <w:sz w:val="26"/>
                <w:szCs w:val="26"/>
              </w:rPr>
              <w:t xml:space="preserve">of Transportation and Safety </w:t>
            </w:r>
            <w:r w:rsidRPr="004B5B65">
              <w:rPr>
                <w:sz w:val="26"/>
                <w:szCs w:val="26"/>
              </w:rPr>
              <w:t xml:space="preserve"> </w:t>
            </w:r>
          </w:p>
        </w:tc>
        <w:tc>
          <w:tcPr>
            <w:tcW w:w="4871" w:type="dxa"/>
          </w:tcPr>
          <w:p w:rsidR="009A7354" w:rsidRDefault="00C0102D" w:rsidP="00BE0634">
            <w:pPr>
              <w:ind w:right="166"/>
              <w:jc w:val="right"/>
              <w:rPr>
                <w:sz w:val="26"/>
                <w:szCs w:val="26"/>
              </w:rPr>
            </w:pPr>
            <w:r>
              <w:rPr>
                <w:sz w:val="26"/>
                <w:szCs w:val="26"/>
              </w:rPr>
              <w:t xml:space="preserve">      </w:t>
            </w:r>
            <w:r w:rsidR="00625797">
              <w:rPr>
                <w:sz w:val="26"/>
                <w:szCs w:val="26"/>
              </w:rPr>
              <w:t>C-</w:t>
            </w:r>
            <w:r w:rsidR="00BA57CC">
              <w:rPr>
                <w:sz w:val="26"/>
                <w:szCs w:val="26"/>
              </w:rPr>
              <w:t>2010-22</w:t>
            </w:r>
            <w:r w:rsidR="00BE0634">
              <w:rPr>
                <w:sz w:val="26"/>
                <w:szCs w:val="26"/>
              </w:rPr>
              <w:t>09110</w:t>
            </w:r>
          </w:p>
        </w:tc>
      </w:tr>
      <w:tr w:rsidR="009A7354" w:rsidTr="00625797">
        <w:trPr>
          <w:trHeight w:val="646"/>
        </w:trPr>
        <w:tc>
          <w:tcPr>
            <w:tcW w:w="4871" w:type="dxa"/>
          </w:tcPr>
          <w:p w:rsidR="00201752" w:rsidRDefault="00201752" w:rsidP="00201752">
            <w:pPr>
              <w:ind w:firstLine="720"/>
              <w:rPr>
                <w:sz w:val="26"/>
                <w:szCs w:val="26"/>
              </w:rPr>
            </w:pPr>
          </w:p>
          <w:p w:rsidR="009A7354" w:rsidRDefault="00F2087C" w:rsidP="00201752">
            <w:pPr>
              <w:ind w:firstLine="720"/>
              <w:rPr>
                <w:sz w:val="26"/>
                <w:szCs w:val="26"/>
              </w:rPr>
            </w:pPr>
            <w:r>
              <w:rPr>
                <w:sz w:val="26"/>
                <w:szCs w:val="26"/>
              </w:rPr>
              <w:tab/>
            </w:r>
            <w:r w:rsidR="00201752" w:rsidRPr="004B5B65">
              <w:rPr>
                <w:sz w:val="26"/>
                <w:szCs w:val="26"/>
              </w:rPr>
              <w:t>v.</w:t>
            </w:r>
          </w:p>
        </w:tc>
        <w:tc>
          <w:tcPr>
            <w:tcW w:w="4871" w:type="dxa"/>
          </w:tcPr>
          <w:p w:rsidR="009A7354" w:rsidRDefault="009A7354" w:rsidP="004B5B65">
            <w:pPr>
              <w:rPr>
                <w:sz w:val="26"/>
                <w:szCs w:val="26"/>
              </w:rPr>
            </w:pPr>
          </w:p>
        </w:tc>
      </w:tr>
      <w:tr w:rsidR="00201752" w:rsidTr="00625797">
        <w:trPr>
          <w:trHeight w:val="646"/>
        </w:trPr>
        <w:tc>
          <w:tcPr>
            <w:tcW w:w="4871" w:type="dxa"/>
          </w:tcPr>
          <w:p w:rsidR="00201752" w:rsidRDefault="00201752" w:rsidP="004B5B65">
            <w:pPr>
              <w:rPr>
                <w:sz w:val="26"/>
                <w:szCs w:val="26"/>
              </w:rPr>
            </w:pPr>
          </w:p>
          <w:p w:rsidR="00201752" w:rsidRDefault="00BE0634" w:rsidP="004210C1">
            <w:pPr>
              <w:rPr>
                <w:sz w:val="26"/>
                <w:szCs w:val="26"/>
              </w:rPr>
            </w:pPr>
            <w:r>
              <w:rPr>
                <w:sz w:val="26"/>
                <w:szCs w:val="26"/>
              </w:rPr>
              <w:t>North Star Leasing, Inc.</w:t>
            </w:r>
          </w:p>
        </w:tc>
        <w:tc>
          <w:tcPr>
            <w:tcW w:w="4871" w:type="dxa"/>
          </w:tcPr>
          <w:p w:rsidR="00201752" w:rsidRDefault="00201752" w:rsidP="004B5B65">
            <w:pPr>
              <w:rPr>
                <w:sz w:val="26"/>
                <w:szCs w:val="26"/>
              </w:rPr>
            </w:pPr>
          </w:p>
        </w:tc>
      </w:tr>
    </w:tbl>
    <w:p w:rsidR="009A7354" w:rsidRDefault="009A7354" w:rsidP="004B5B65">
      <w:pPr>
        <w:rPr>
          <w:sz w:val="26"/>
          <w:szCs w:val="26"/>
        </w:rPr>
      </w:pPr>
    </w:p>
    <w:p w:rsidR="005E05CA" w:rsidRDefault="005E05CA" w:rsidP="00055068">
      <w:pPr>
        <w:spacing w:line="360" w:lineRule="auto"/>
        <w:jc w:val="center"/>
        <w:rPr>
          <w:b/>
          <w:sz w:val="26"/>
          <w:szCs w:val="26"/>
        </w:rPr>
      </w:pPr>
    </w:p>
    <w:p w:rsidR="004B5B65" w:rsidRPr="00055068" w:rsidRDefault="004B5B65" w:rsidP="00055068">
      <w:pPr>
        <w:spacing w:line="360" w:lineRule="auto"/>
        <w:jc w:val="center"/>
        <w:rPr>
          <w:b/>
          <w:sz w:val="26"/>
          <w:szCs w:val="26"/>
        </w:rPr>
      </w:pPr>
      <w:r w:rsidRPr="00055068">
        <w:rPr>
          <w:b/>
          <w:sz w:val="26"/>
          <w:szCs w:val="26"/>
        </w:rPr>
        <w:t>OPINION AND ORDER</w:t>
      </w:r>
    </w:p>
    <w:p w:rsidR="004B5B65" w:rsidRPr="00055068" w:rsidRDefault="004B5B65" w:rsidP="00055068">
      <w:pPr>
        <w:spacing w:line="360" w:lineRule="auto"/>
        <w:jc w:val="center"/>
        <w:rPr>
          <w:b/>
          <w:sz w:val="26"/>
          <w:szCs w:val="26"/>
        </w:rPr>
      </w:pPr>
    </w:p>
    <w:p w:rsidR="004B5B65" w:rsidRDefault="004B5B65" w:rsidP="00055068">
      <w:pPr>
        <w:spacing w:line="360" w:lineRule="auto"/>
        <w:rPr>
          <w:b/>
          <w:sz w:val="26"/>
          <w:szCs w:val="26"/>
        </w:rPr>
      </w:pPr>
      <w:r w:rsidRPr="00055068">
        <w:rPr>
          <w:b/>
          <w:sz w:val="26"/>
          <w:szCs w:val="26"/>
        </w:rPr>
        <w:t>BY THE COMMISSION:</w:t>
      </w:r>
    </w:p>
    <w:p w:rsidR="00055068" w:rsidRDefault="00055068" w:rsidP="00055068">
      <w:pPr>
        <w:spacing w:line="360" w:lineRule="auto"/>
        <w:rPr>
          <w:b/>
          <w:sz w:val="26"/>
          <w:szCs w:val="26"/>
        </w:rPr>
      </w:pPr>
    </w:p>
    <w:p w:rsidR="005C7970" w:rsidRDefault="00644AA6" w:rsidP="00055068">
      <w:pPr>
        <w:spacing w:line="360" w:lineRule="auto"/>
        <w:ind w:firstLine="1440"/>
        <w:rPr>
          <w:sz w:val="26"/>
          <w:szCs w:val="26"/>
        </w:rPr>
      </w:pPr>
      <w:r>
        <w:rPr>
          <w:sz w:val="26"/>
          <w:szCs w:val="26"/>
        </w:rPr>
        <w:t xml:space="preserve">Before </w:t>
      </w:r>
      <w:r w:rsidR="00BD0C52">
        <w:rPr>
          <w:sz w:val="26"/>
          <w:szCs w:val="26"/>
        </w:rPr>
        <w:t>the Pennsylvania Public Utility Commission (Commission)</w:t>
      </w:r>
      <w:r w:rsidR="009C55D2">
        <w:rPr>
          <w:sz w:val="26"/>
          <w:szCs w:val="26"/>
        </w:rPr>
        <w:t xml:space="preserve"> </w:t>
      </w:r>
      <w:r w:rsidR="00E65E6C">
        <w:rPr>
          <w:sz w:val="26"/>
          <w:szCs w:val="26"/>
        </w:rPr>
        <w:t xml:space="preserve">for consideration and disposition is </w:t>
      </w:r>
      <w:r w:rsidR="00BD0C52">
        <w:rPr>
          <w:sz w:val="26"/>
          <w:szCs w:val="26"/>
        </w:rPr>
        <w:t>a</w:t>
      </w:r>
      <w:r w:rsidR="00E65E6C">
        <w:rPr>
          <w:sz w:val="26"/>
          <w:szCs w:val="26"/>
        </w:rPr>
        <w:t xml:space="preserve"> </w:t>
      </w:r>
      <w:r w:rsidR="00915C5F">
        <w:rPr>
          <w:sz w:val="26"/>
          <w:szCs w:val="26"/>
        </w:rPr>
        <w:t xml:space="preserve">Settlement Agreement (Settlement) </w:t>
      </w:r>
      <w:r w:rsidR="00BD0C52">
        <w:rPr>
          <w:sz w:val="26"/>
          <w:szCs w:val="26"/>
        </w:rPr>
        <w:t xml:space="preserve">entered into </w:t>
      </w:r>
      <w:r w:rsidR="00915C5F">
        <w:rPr>
          <w:sz w:val="26"/>
          <w:szCs w:val="26"/>
        </w:rPr>
        <w:t xml:space="preserve">between </w:t>
      </w:r>
      <w:r w:rsidR="00E65E6C">
        <w:rPr>
          <w:sz w:val="26"/>
          <w:szCs w:val="26"/>
        </w:rPr>
        <w:t>the Commission’s Law Bureau Prosecutory Staff (LBPS)</w:t>
      </w:r>
      <w:r w:rsidR="00915C5F">
        <w:rPr>
          <w:sz w:val="26"/>
          <w:szCs w:val="26"/>
        </w:rPr>
        <w:t xml:space="preserve">, </w:t>
      </w:r>
      <w:r w:rsidR="00BD0C52">
        <w:rPr>
          <w:sz w:val="26"/>
          <w:szCs w:val="26"/>
        </w:rPr>
        <w:t>acting on behalf of the</w:t>
      </w:r>
      <w:r w:rsidR="00915C5F">
        <w:rPr>
          <w:sz w:val="26"/>
          <w:szCs w:val="26"/>
        </w:rPr>
        <w:t xml:space="preserve"> Commission’s Bureau of Transportation and Safety (BTS),</w:t>
      </w:r>
      <w:r w:rsidR="00E65E6C">
        <w:rPr>
          <w:sz w:val="26"/>
          <w:szCs w:val="26"/>
        </w:rPr>
        <w:t xml:space="preserve"> and </w:t>
      </w:r>
      <w:r w:rsidR="00BE0634">
        <w:rPr>
          <w:sz w:val="26"/>
          <w:szCs w:val="26"/>
        </w:rPr>
        <w:t>North Star Leasing</w:t>
      </w:r>
      <w:r w:rsidR="00F16786">
        <w:rPr>
          <w:sz w:val="26"/>
          <w:szCs w:val="26"/>
        </w:rPr>
        <w:t xml:space="preserve">, </w:t>
      </w:r>
      <w:r w:rsidR="008C6E0B">
        <w:rPr>
          <w:sz w:val="26"/>
          <w:szCs w:val="26"/>
        </w:rPr>
        <w:t>Inc.</w:t>
      </w:r>
      <w:r w:rsidR="002B5927">
        <w:rPr>
          <w:sz w:val="26"/>
          <w:szCs w:val="26"/>
        </w:rPr>
        <w:t xml:space="preserve"> </w:t>
      </w:r>
      <w:r w:rsidR="00E91948">
        <w:rPr>
          <w:sz w:val="26"/>
          <w:szCs w:val="26"/>
        </w:rPr>
        <w:t xml:space="preserve">(Respondent) for resolution of </w:t>
      </w:r>
      <w:r w:rsidR="00F82D32">
        <w:rPr>
          <w:sz w:val="26"/>
          <w:szCs w:val="26"/>
        </w:rPr>
        <w:t xml:space="preserve">allegations regarding violations of the </w:t>
      </w:r>
      <w:r w:rsidR="00BD0C52">
        <w:rPr>
          <w:sz w:val="26"/>
          <w:szCs w:val="26"/>
        </w:rPr>
        <w:t xml:space="preserve">Public Utility Code (Code), 66 Pa. C.S. §§ 101, </w:t>
      </w:r>
      <w:r w:rsidR="00BD0C52">
        <w:rPr>
          <w:i/>
          <w:sz w:val="26"/>
          <w:szCs w:val="26"/>
        </w:rPr>
        <w:t xml:space="preserve">et </w:t>
      </w:r>
      <w:r w:rsidR="00BD0C52" w:rsidRPr="002C4ED6">
        <w:rPr>
          <w:i/>
          <w:sz w:val="26"/>
          <w:szCs w:val="26"/>
        </w:rPr>
        <w:t>seq</w:t>
      </w:r>
      <w:r w:rsidR="00BD0C52">
        <w:rPr>
          <w:sz w:val="26"/>
          <w:szCs w:val="26"/>
        </w:rPr>
        <w:t xml:space="preserve">., and the </w:t>
      </w:r>
      <w:r w:rsidR="001E0443" w:rsidRPr="00BD0C52">
        <w:rPr>
          <w:sz w:val="26"/>
          <w:szCs w:val="26"/>
        </w:rPr>
        <w:t>Commission’s</w:t>
      </w:r>
      <w:r w:rsidR="001E0443">
        <w:rPr>
          <w:sz w:val="26"/>
          <w:szCs w:val="26"/>
        </w:rPr>
        <w:t xml:space="preserve"> Regulations, 52 Pa. Code §§ 1.1, </w:t>
      </w:r>
      <w:r w:rsidR="001E0443" w:rsidRPr="001E0443">
        <w:rPr>
          <w:i/>
          <w:sz w:val="26"/>
          <w:szCs w:val="26"/>
        </w:rPr>
        <w:t>et se</w:t>
      </w:r>
      <w:r w:rsidR="00766510">
        <w:rPr>
          <w:i/>
          <w:sz w:val="26"/>
          <w:szCs w:val="26"/>
        </w:rPr>
        <w:t>q</w:t>
      </w:r>
      <w:r w:rsidR="00766510">
        <w:rPr>
          <w:sz w:val="26"/>
          <w:szCs w:val="26"/>
        </w:rPr>
        <w:t>.</w:t>
      </w:r>
      <w:r w:rsidR="00CC59AD">
        <w:rPr>
          <w:sz w:val="26"/>
          <w:szCs w:val="26"/>
        </w:rPr>
        <w:t xml:space="preserve"> </w:t>
      </w:r>
    </w:p>
    <w:p w:rsidR="00644AA6" w:rsidRDefault="00644AA6" w:rsidP="00455B00">
      <w:pPr>
        <w:tabs>
          <w:tab w:val="left" w:pos="3240"/>
        </w:tabs>
        <w:spacing w:line="360" w:lineRule="auto"/>
        <w:jc w:val="center"/>
        <w:rPr>
          <w:b/>
          <w:sz w:val="26"/>
          <w:szCs w:val="26"/>
        </w:rPr>
      </w:pPr>
      <w:r w:rsidRPr="00134A26">
        <w:rPr>
          <w:b/>
          <w:sz w:val="26"/>
          <w:szCs w:val="26"/>
        </w:rPr>
        <w:lastRenderedPageBreak/>
        <w:t>History of the Proceeding</w:t>
      </w:r>
    </w:p>
    <w:p w:rsidR="00A80A13" w:rsidRPr="00134A26" w:rsidRDefault="00A80A13" w:rsidP="00644AA6">
      <w:pPr>
        <w:spacing w:line="360" w:lineRule="auto"/>
        <w:jc w:val="center"/>
        <w:rPr>
          <w:b/>
          <w:sz w:val="26"/>
          <w:szCs w:val="26"/>
        </w:rPr>
      </w:pPr>
    </w:p>
    <w:p w:rsidR="000F627A" w:rsidRDefault="009C55D2" w:rsidP="00055068">
      <w:pPr>
        <w:spacing w:line="360" w:lineRule="auto"/>
        <w:ind w:firstLine="1440"/>
        <w:rPr>
          <w:sz w:val="26"/>
          <w:szCs w:val="26"/>
        </w:rPr>
      </w:pPr>
      <w:r>
        <w:rPr>
          <w:sz w:val="26"/>
          <w:szCs w:val="26"/>
        </w:rPr>
        <w:t xml:space="preserve">On </w:t>
      </w:r>
      <w:r w:rsidR="00BE0634">
        <w:rPr>
          <w:sz w:val="26"/>
          <w:szCs w:val="26"/>
        </w:rPr>
        <w:t>April 3</w:t>
      </w:r>
      <w:r w:rsidR="00766510">
        <w:rPr>
          <w:sz w:val="26"/>
          <w:szCs w:val="26"/>
        </w:rPr>
        <w:t>,</w:t>
      </w:r>
      <w:r w:rsidR="00BE0634">
        <w:rPr>
          <w:sz w:val="26"/>
          <w:szCs w:val="26"/>
        </w:rPr>
        <w:t xml:space="preserve"> 1984</w:t>
      </w:r>
      <w:r>
        <w:rPr>
          <w:sz w:val="26"/>
          <w:szCs w:val="26"/>
        </w:rPr>
        <w:t xml:space="preserve"> the Respondent was issued a Certificate of Public Convenience (Certificate) at Docket No. </w:t>
      </w:r>
      <w:proofErr w:type="gramStart"/>
      <w:r>
        <w:rPr>
          <w:sz w:val="26"/>
          <w:szCs w:val="26"/>
        </w:rPr>
        <w:t>A-</w:t>
      </w:r>
      <w:r w:rsidR="00BE0634">
        <w:rPr>
          <w:sz w:val="26"/>
          <w:szCs w:val="26"/>
        </w:rPr>
        <w:t>00104712.</w:t>
      </w:r>
      <w:proofErr w:type="gramEnd"/>
    </w:p>
    <w:p w:rsidR="00695ED0" w:rsidRDefault="00695ED0" w:rsidP="00055068">
      <w:pPr>
        <w:spacing w:line="360" w:lineRule="auto"/>
        <w:ind w:firstLine="1440"/>
        <w:rPr>
          <w:sz w:val="26"/>
          <w:szCs w:val="26"/>
        </w:rPr>
      </w:pPr>
    </w:p>
    <w:p w:rsidR="008A23C6" w:rsidRDefault="00A80A13" w:rsidP="000F627A">
      <w:pPr>
        <w:spacing w:line="360" w:lineRule="auto"/>
        <w:ind w:firstLine="1440"/>
        <w:rPr>
          <w:sz w:val="26"/>
          <w:szCs w:val="26"/>
        </w:rPr>
      </w:pPr>
      <w:r>
        <w:rPr>
          <w:sz w:val="26"/>
          <w:szCs w:val="26"/>
        </w:rPr>
        <w:t xml:space="preserve">Pursuant to its enforcement responsibilities, BTS initiated the </w:t>
      </w:r>
      <w:r w:rsidR="000F627A">
        <w:rPr>
          <w:sz w:val="26"/>
          <w:szCs w:val="26"/>
        </w:rPr>
        <w:t xml:space="preserve">instant </w:t>
      </w:r>
      <w:r>
        <w:rPr>
          <w:sz w:val="26"/>
          <w:szCs w:val="26"/>
        </w:rPr>
        <w:t>Complaint against the Respondent</w:t>
      </w:r>
      <w:r w:rsidR="00EE08F5">
        <w:rPr>
          <w:sz w:val="26"/>
          <w:szCs w:val="26"/>
        </w:rPr>
        <w:t xml:space="preserve"> on </w:t>
      </w:r>
      <w:r w:rsidR="00695ED0">
        <w:rPr>
          <w:sz w:val="26"/>
          <w:szCs w:val="26"/>
        </w:rPr>
        <w:t>November</w:t>
      </w:r>
      <w:r w:rsidR="00BE0634">
        <w:rPr>
          <w:sz w:val="26"/>
          <w:szCs w:val="26"/>
        </w:rPr>
        <w:t xml:space="preserve"> </w:t>
      </w:r>
      <w:r w:rsidR="00695ED0">
        <w:rPr>
          <w:sz w:val="26"/>
          <w:szCs w:val="26"/>
        </w:rPr>
        <w:t>6, 2010</w:t>
      </w:r>
      <w:r w:rsidR="00AD7E16">
        <w:rPr>
          <w:sz w:val="26"/>
          <w:szCs w:val="26"/>
        </w:rPr>
        <w:t xml:space="preserve">, for failure to maintain evidence of </w:t>
      </w:r>
      <w:r w:rsidR="00BE0634">
        <w:rPr>
          <w:sz w:val="26"/>
          <w:szCs w:val="26"/>
        </w:rPr>
        <w:t>liability</w:t>
      </w:r>
      <w:r w:rsidR="00AD7E16">
        <w:rPr>
          <w:sz w:val="26"/>
          <w:szCs w:val="26"/>
        </w:rPr>
        <w:t xml:space="preserve"> insurance on file with the Commission, in violation of 66 Pa. C.S. § 512</w:t>
      </w:r>
      <w:r w:rsidR="00FE640B">
        <w:rPr>
          <w:sz w:val="26"/>
          <w:szCs w:val="26"/>
        </w:rPr>
        <w:t>, 52 Pa. Code</w:t>
      </w:r>
      <w:r w:rsidR="005D2E94">
        <w:rPr>
          <w:sz w:val="26"/>
          <w:szCs w:val="26"/>
        </w:rPr>
        <w:t xml:space="preserve"> </w:t>
      </w:r>
      <w:r w:rsidR="00FE640B">
        <w:rPr>
          <w:sz w:val="26"/>
          <w:szCs w:val="26"/>
        </w:rPr>
        <w:t>§§ 32.2, 32.11(a) or 32.13(a).  BTS sought a civil penalty of $500.</w:t>
      </w:r>
    </w:p>
    <w:p w:rsidR="008A23C6" w:rsidRDefault="008A23C6" w:rsidP="00055068">
      <w:pPr>
        <w:spacing w:line="360" w:lineRule="auto"/>
        <w:ind w:firstLine="1440"/>
        <w:rPr>
          <w:sz w:val="26"/>
          <w:szCs w:val="26"/>
        </w:rPr>
      </w:pPr>
    </w:p>
    <w:p w:rsidR="002145B8" w:rsidRDefault="00FE640B" w:rsidP="00055068">
      <w:pPr>
        <w:spacing w:line="360" w:lineRule="auto"/>
        <w:ind w:firstLine="1440"/>
        <w:rPr>
          <w:sz w:val="26"/>
          <w:szCs w:val="26"/>
        </w:rPr>
      </w:pPr>
      <w:r>
        <w:rPr>
          <w:sz w:val="26"/>
          <w:szCs w:val="26"/>
        </w:rPr>
        <w:t xml:space="preserve">The Complaint, which was served on the Respondent on November </w:t>
      </w:r>
      <w:r w:rsidR="00937519">
        <w:rPr>
          <w:sz w:val="26"/>
          <w:szCs w:val="26"/>
        </w:rPr>
        <w:t>16</w:t>
      </w:r>
      <w:r>
        <w:rPr>
          <w:sz w:val="26"/>
          <w:szCs w:val="26"/>
        </w:rPr>
        <w:t>, 2010, advised the Respondent that it must file an Answer to the Complaint within twenty days of the date of service of the Complaint.</w:t>
      </w:r>
      <w:r w:rsidR="00013CA7">
        <w:rPr>
          <w:sz w:val="26"/>
          <w:szCs w:val="26"/>
        </w:rPr>
        <w:t xml:space="preserve">  </w:t>
      </w:r>
      <w:r w:rsidR="005D2E94">
        <w:rPr>
          <w:sz w:val="26"/>
          <w:szCs w:val="26"/>
        </w:rPr>
        <w:t xml:space="preserve">On </w:t>
      </w:r>
      <w:r w:rsidR="00013CA7">
        <w:rPr>
          <w:sz w:val="26"/>
          <w:szCs w:val="26"/>
        </w:rPr>
        <w:t xml:space="preserve">December </w:t>
      </w:r>
      <w:r w:rsidR="00937519">
        <w:rPr>
          <w:sz w:val="26"/>
          <w:szCs w:val="26"/>
        </w:rPr>
        <w:t>3</w:t>
      </w:r>
      <w:r w:rsidR="00013CA7">
        <w:rPr>
          <w:sz w:val="26"/>
          <w:szCs w:val="26"/>
        </w:rPr>
        <w:t>, 2010</w:t>
      </w:r>
      <w:r w:rsidR="002145B8">
        <w:rPr>
          <w:sz w:val="26"/>
          <w:szCs w:val="26"/>
        </w:rPr>
        <w:t>,</w:t>
      </w:r>
      <w:r w:rsidR="005D2E94">
        <w:rPr>
          <w:sz w:val="26"/>
          <w:szCs w:val="26"/>
        </w:rPr>
        <w:t xml:space="preserve"> the Respondent filed an Answer </w:t>
      </w:r>
      <w:r w:rsidR="002145B8">
        <w:rPr>
          <w:sz w:val="26"/>
          <w:szCs w:val="26"/>
        </w:rPr>
        <w:t>to the Complaint</w:t>
      </w:r>
      <w:r w:rsidR="00013CA7">
        <w:rPr>
          <w:sz w:val="26"/>
          <w:szCs w:val="26"/>
        </w:rPr>
        <w:t>.</w:t>
      </w:r>
    </w:p>
    <w:p w:rsidR="00013CA7" w:rsidRDefault="00013CA7" w:rsidP="00055068">
      <w:pPr>
        <w:spacing w:line="360" w:lineRule="auto"/>
        <w:ind w:firstLine="1440"/>
        <w:rPr>
          <w:sz w:val="26"/>
          <w:szCs w:val="26"/>
        </w:rPr>
      </w:pPr>
    </w:p>
    <w:p w:rsidR="002145B8" w:rsidRDefault="002145B8" w:rsidP="00055068">
      <w:pPr>
        <w:spacing w:line="360" w:lineRule="auto"/>
        <w:ind w:firstLine="1440"/>
        <w:rPr>
          <w:sz w:val="26"/>
          <w:szCs w:val="26"/>
        </w:rPr>
      </w:pPr>
      <w:r>
        <w:rPr>
          <w:sz w:val="26"/>
          <w:szCs w:val="26"/>
        </w:rPr>
        <w:t xml:space="preserve">On </w:t>
      </w:r>
      <w:r w:rsidR="004F00C9">
        <w:rPr>
          <w:sz w:val="26"/>
          <w:szCs w:val="26"/>
        </w:rPr>
        <w:t>April 1</w:t>
      </w:r>
      <w:r>
        <w:rPr>
          <w:sz w:val="26"/>
          <w:szCs w:val="26"/>
        </w:rPr>
        <w:t>, 2011, the Parties filed a Settlement Agreement and urged the Commission to approve the terms of the Settlement as being in the public interest.</w:t>
      </w:r>
    </w:p>
    <w:p w:rsidR="00F12986" w:rsidRDefault="00F12986" w:rsidP="00055068">
      <w:pPr>
        <w:spacing w:line="360" w:lineRule="auto"/>
        <w:ind w:firstLine="1440"/>
        <w:rPr>
          <w:sz w:val="26"/>
          <w:szCs w:val="26"/>
        </w:rPr>
      </w:pPr>
    </w:p>
    <w:p w:rsidR="00F12986" w:rsidRDefault="00305A41" w:rsidP="00055068">
      <w:pPr>
        <w:spacing w:line="360" w:lineRule="auto"/>
        <w:ind w:firstLine="1440"/>
        <w:rPr>
          <w:sz w:val="26"/>
          <w:szCs w:val="26"/>
        </w:rPr>
      </w:pPr>
      <w:r>
        <w:rPr>
          <w:sz w:val="26"/>
          <w:szCs w:val="26"/>
        </w:rPr>
        <w:t xml:space="preserve">In the </w:t>
      </w:r>
      <w:r w:rsidR="00380C9F">
        <w:rPr>
          <w:sz w:val="26"/>
          <w:szCs w:val="26"/>
        </w:rPr>
        <w:t>S</w:t>
      </w:r>
      <w:r>
        <w:rPr>
          <w:sz w:val="26"/>
          <w:szCs w:val="26"/>
        </w:rPr>
        <w:t>ettlement, the Parties agree to settle the allegation of the</w:t>
      </w:r>
      <w:r w:rsidR="00380C9F">
        <w:rPr>
          <w:sz w:val="26"/>
          <w:szCs w:val="26"/>
        </w:rPr>
        <w:t xml:space="preserve"> Complaint and stipulate as follows:</w:t>
      </w:r>
    </w:p>
    <w:p w:rsidR="00644AA6" w:rsidRDefault="00644AA6" w:rsidP="00055068">
      <w:pPr>
        <w:spacing w:line="360" w:lineRule="auto"/>
        <w:ind w:firstLine="1440"/>
        <w:rPr>
          <w:sz w:val="26"/>
          <w:szCs w:val="26"/>
        </w:rPr>
      </w:pPr>
    </w:p>
    <w:p w:rsidR="00305A41" w:rsidRDefault="00AF7CF0" w:rsidP="00F2087C">
      <w:pPr>
        <w:ind w:left="1440" w:right="1440"/>
        <w:rPr>
          <w:sz w:val="26"/>
          <w:szCs w:val="26"/>
        </w:rPr>
      </w:pPr>
      <w:r w:rsidRPr="00AF7CF0">
        <w:rPr>
          <w:sz w:val="26"/>
          <w:szCs w:val="26"/>
        </w:rPr>
        <w:t>a.</w:t>
      </w:r>
      <w:r w:rsidR="00F2087C">
        <w:rPr>
          <w:sz w:val="26"/>
          <w:szCs w:val="26"/>
        </w:rPr>
        <w:tab/>
      </w:r>
      <w:r>
        <w:rPr>
          <w:sz w:val="26"/>
          <w:szCs w:val="26"/>
        </w:rPr>
        <w:t xml:space="preserve">The Respondent agrees </w:t>
      </w:r>
      <w:r w:rsidR="009339A0">
        <w:rPr>
          <w:sz w:val="26"/>
          <w:szCs w:val="26"/>
        </w:rPr>
        <w:t>to pay a civil penalty of</w:t>
      </w:r>
      <w:r w:rsidR="00305A41">
        <w:rPr>
          <w:sz w:val="26"/>
          <w:szCs w:val="26"/>
        </w:rPr>
        <w:t xml:space="preserve"> $</w:t>
      </w:r>
      <w:r w:rsidR="00937519">
        <w:rPr>
          <w:sz w:val="26"/>
          <w:szCs w:val="26"/>
        </w:rPr>
        <w:t>3</w:t>
      </w:r>
      <w:r w:rsidR="00305A41">
        <w:rPr>
          <w:sz w:val="26"/>
          <w:szCs w:val="26"/>
        </w:rPr>
        <w:t>00.00in settlement of a disputed claim.  Respondent’s payment of</w:t>
      </w:r>
      <w:r w:rsidR="00F2087C">
        <w:rPr>
          <w:sz w:val="26"/>
          <w:szCs w:val="26"/>
        </w:rPr>
        <w:t xml:space="preserve"> </w:t>
      </w:r>
      <w:r w:rsidR="00305A41">
        <w:rPr>
          <w:sz w:val="26"/>
          <w:szCs w:val="26"/>
        </w:rPr>
        <w:t>this civil penalty is not an admission of liability.</w:t>
      </w:r>
    </w:p>
    <w:p w:rsidR="00E17713" w:rsidRDefault="00E17713" w:rsidP="00CD159A">
      <w:pPr>
        <w:tabs>
          <w:tab w:val="left" w:pos="7920"/>
        </w:tabs>
        <w:ind w:left="1440" w:right="1440"/>
        <w:rPr>
          <w:sz w:val="26"/>
          <w:szCs w:val="26"/>
        </w:rPr>
      </w:pPr>
    </w:p>
    <w:p w:rsidR="00E17713" w:rsidRDefault="00E17713" w:rsidP="004A1BC2">
      <w:pPr>
        <w:spacing w:line="360" w:lineRule="auto"/>
        <w:rPr>
          <w:sz w:val="26"/>
          <w:szCs w:val="26"/>
        </w:rPr>
      </w:pPr>
      <w:proofErr w:type="gramStart"/>
      <w:r>
        <w:rPr>
          <w:sz w:val="26"/>
          <w:szCs w:val="26"/>
        </w:rPr>
        <w:t>Settlement at 3.</w:t>
      </w:r>
      <w:proofErr w:type="gramEnd"/>
    </w:p>
    <w:p w:rsidR="00D967B3" w:rsidRDefault="00D967B3" w:rsidP="004A1BC2">
      <w:pPr>
        <w:spacing w:line="360" w:lineRule="auto"/>
        <w:rPr>
          <w:sz w:val="26"/>
          <w:szCs w:val="26"/>
        </w:rPr>
      </w:pPr>
    </w:p>
    <w:p w:rsidR="004A1BC2" w:rsidRDefault="00D967B3" w:rsidP="004A1BC2">
      <w:pPr>
        <w:spacing w:line="360" w:lineRule="auto"/>
        <w:rPr>
          <w:sz w:val="26"/>
          <w:szCs w:val="26"/>
          <w:u w:color="000000"/>
        </w:rPr>
      </w:pPr>
      <w:r>
        <w:rPr>
          <w:sz w:val="26"/>
          <w:szCs w:val="26"/>
        </w:rPr>
        <w:tab/>
      </w:r>
      <w:r>
        <w:rPr>
          <w:sz w:val="26"/>
          <w:szCs w:val="26"/>
        </w:rPr>
        <w:tab/>
      </w:r>
      <w:r w:rsidR="000F1A8F">
        <w:rPr>
          <w:sz w:val="26"/>
          <w:szCs w:val="26"/>
        </w:rPr>
        <w:t xml:space="preserve">The Parties request that the Commission approve the Settlement </w:t>
      </w:r>
      <w:r w:rsidR="00BA3280">
        <w:rPr>
          <w:sz w:val="26"/>
          <w:szCs w:val="26"/>
        </w:rPr>
        <w:t>as being in</w:t>
      </w:r>
      <w:r w:rsidR="000F1A8F">
        <w:rPr>
          <w:sz w:val="26"/>
          <w:szCs w:val="26"/>
        </w:rPr>
        <w:t xml:space="preserve"> the public interest</w:t>
      </w:r>
      <w:r w:rsidR="00BA3280">
        <w:rPr>
          <w:sz w:val="26"/>
          <w:szCs w:val="26"/>
        </w:rPr>
        <w:t xml:space="preserve">.  The Parties state that approval of the Settlement is consistent with the Commission’s </w:t>
      </w:r>
      <w:r w:rsidR="00F02912" w:rsidRPr="000A6E54">
        <w:rPr>
          <w:sz w:val="26"/>
          <w:szCs w:val="26"/>
        </w:rPr>
        <w:t xml:space="preserve">Policy Statement at 52 Pa. Code </w:t>
      </w:r>
      <w:r w:rsidR="00F02912">
        <w:rPr>
          <w:sz w:val="26"/>
          <w:szCs w:val="26"/>
        </w:rPr>
        <w:t xml:space="preserve">§ 69.1201 </w:t>
      </w:r>
      <w:r w:rsidR="00CD75BB">
        <w:rPr>
          <w:sz w:val="26"/>
          <w:szCs w:val="26"/>
        </w:rPr>
        <w:t xml:space="preserve">regarding factors and standards </w:t>
      </w:r>
      <w:r w:rsidR="00CD75BB">
        <w:rPr>
          <w:sz w:val="26"/>
          <w:szCs w:val="26"/>
        </w:rPr>
        <w:lastRenderedPageBreak/>
        <w:t xml:space="preserve">for evaluating litigated and settled proceedings involving violations of the Public Utility Code and Commission </w:t>
      </w:r>
      <w:r w:rsidR="002C4ED6">
        <w:rPr>
          <w:sz w:val="26"/>
          <w:szCs w:val="26"/>
        </w:rPr>
        <w:t>R</w:t>
      </w:r>
      <w:r w:rsidR="00CD75BB">
        <w:rPr>
          <w:sz w:val="26"/>
          <w:szCs w:val="26"/>
        </w:rPr>
        <w:t xml:space="preserve">egulations </w:t>
      </w:r>
      <w:r w:rsidR="004A1BC2">
        <w:rPr>
          <w:sz w:val="26"/>
          <w:szCs w:val="26"/>
        </w:rPr>
        <w:t>(</w:t>
      </w:r>
      <w:r w:rsidR="004A1BC2">
        <w:rPr>
          <w:i/>
          <w:sz w:val="26"/>
          <w:szCs w:val="26"/>
        </w:rPr>
        <w:t xml:space="preserve">Policy </w:t>
      </w:r>
      <w:r w:rsidR="004A1BC2" w:rsidRPr="004A1BC2">
        <w:rPr>
          <w:i/>
          <w:sz w:val="26"/>
          <w:szCs w:val="26"/>
        </w:rPr>
        <w:t>Statement</w:t>
      </w:r>
      <w:r w:rsidR="004A1BC2">
        <w:rPr>
          <w:sz w:val="26"/>
          <w:szCs w:val="26"/>
        </w:rPr>
        <w:t>), which s</w:t>
      </w:r>
      <w:r w:rsidR="004A1BC2" w:rsidRPr="000A6E54">
        <w:rPr>
          <w:sz w:val="26"/>
          <w:szCs w:val="26"/>
          <w:u w:color="000000"/>
        </w:rPr>
        <w:t xml:space="preserve">ets forth ten factors that </w:t>
      </w:r>
      <w:r w:rsidR="00D467AC">
        <w:rPr>
          <w:sz w:val="26"/>
          <w:szCs w:val="26"/>
          <w:u w:color="000000"/>
        </w:rPr>
        <w:t>the Commission</w:t>
      </w:r>
      <w:r w:rsidR="004A1BC2" w:rsidRPr="000A6E54">
        <w:rPr>
          <w:sz w:val="26"/>
          <w:szCs w:val="26"/>
          <w:u w:color="000000"/>
        </w:rPr>
        <w:t xml:space="preserve"> may consider in evaluating a proposed settlement.</w:t>
      </w:r>
    </w:p>
    <w:p w:rsidR="005E6A2B" w:rsidRDefault="005E6A2B" w:rsidP="00D467AC">
      <w:pPr>
        <w:spacing w:line="360" w:lineRule="auto"/>
        <w:rPr>
          <w:sz w:val="26"/>
          <w:szCs w:val="26"/>
        </w:rPr>
      </w:pPr>
    </w:p>
    <w:p w:rsidR="00644AA6" w:rsidRPr="00674CA0" w:rsidRDefault="00644AA6" w:rsidP="00644AA6">
      <w:pPr>
        <w:spacing w:line="360" w:lineRule="auto"/>
        <w:jc w:val="center"/>
        <w:rPr>
          <w:b/>
          <w:sz w:val="26"/>
          <w:szCs w:val="26"/>
        </w:rPr>
      </w:pPr>
      <w:r w:rsidRPr="00674CA0">
        <w:rPr>
          <w:b/>
          <w:sz w:val="26"/>
          <w:szCs w:val="26"/>
        </w:rPr>
        <w:t>Discussion</w:t>
      </w:r>
      <w:r w:rsidR="00FD182D">
        <w:rPr>
          <w:b/>
          <w:sz w:val="26"/>
          <w:szCs w:val="26"/>
        </w:rPr>
        <w:t xml:space="preserve"> </w:t>
      </w:r>
    </w:p>
    <w:p w:rsidR="00644AA6" w:rsidRDefault="00644AA6" w:rsidP="00055068">
      <w:pPr>
        <w:spacing w:line="360" w:lineRule="auto"/>
        <w:ind w:firstLine="1440"/>
        <w:rPr>
          <w:sz w:val="26"/>
          <w:szCs w:val="26"/>
        </w:rPr>
      </w:pPr>
    </w:p>
    <w:p w:rsidR="00674CA0" w:rsidRDefault="00FF22AE" w:rsidP="00E95CF1">
      <w:pPr>
        <w:spacing w:line="360" w:lineRule="auto"/>
        <w:ind w:firstLine="1440"/>
        <w:rPr>
          <w:sz w:val="26"/>
          <w:szCs w:val="26"/>
        </w:rPr>
      </w:pPr>
      <w:r w:rsidRPr="00FF22AE">
        <w:rPr>
          <w:sz w:val="26"/>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 w:val="26"/>
          <w:szCs w:val="26"/>
        </w:rPr>
        <w:t>Pa. PUC v. Philadelphia Gas Works</w:t>
      </w:r>
      <w:r w:rsidRPr="00FF22AE">
        <w:rPr>
          <w:sz w:val="26"/>
          <w:szCs w:val="26"/>
        </w:rPr>
        <w:t>, Docket No. M-00031768 (Order entered January 7, 2004).</w:t>
      </w:r>
      <w:r w:rsidR="00015D05">
        <w:rPr>
          <w:sz w:val="26"/>
          <w:szCs w:val="26"/>
        </w:rPr>
        <w:t xml:space="preserve">  </w:t>
      </w:r>
      <w:r w:rsidR="001E3452">
        <w:rPr>
          <w:sz w:val="26"/>
          <w:szCs w:val="26"/>
        </w:rPr>
        <w:t xml:space="preserve"> </w:t>
      </w:r>
      <w:r w:rsidR="005764DA">
        <w:rPr>
          <w:sz w:val="26"/>
          <w:szCs w:val="26"/>
        </w:rPr>
        <w:t>Before addressing the merits of the proposed settlement, however, we must address several preliminary issues.</w:t>
      </w:r>
    </w:p>
    <w:p w:rsidR="00674CA0" w:rsidRDefault="00674CA0" w:rsidP="000A6E54">
      <w:pPr>
        <w:spacing w:line="360" w:lineRule="auto"/>
        <w:ind w:firstLine="1440"/>
        <w:rPr>
          <w:sz w:val="26"/>
          <w:szCs w:val="26"/>
        </w:rPr>
      </w:pPr>
    </w:p>
    <w:p w:rsidR="00010582" w:rsidRDefault="004276A6" w:rsidP="00010582">
      <w:pPr>
        <w:pStyle w:val="BodyText"/>
        <w:ind w:firstLine="1440"/>
        <w:jc w:val="left"/>
        <w:rPr>
          <w:szCs w:val="26"/>
        </w:rPr>
      </w:pPr>
      <w:r>
        <w:rPr>
          <w:szCs w:val="26"/>
        </w:rPr>
        <w:t xml:space="preserve">In response to the Complaint, the Respondent filed correspondence signed by </w:t>
      </w:r>
      <w:r w:rsidR="00937519">
        <w:rPr>
          <w:szCs w:val="26"/>
        </w:rPr>
        <w:t>George A. Pipon, Jr., Secretary and Treasurer</w:t>
      </w:r>
      <w:r w:rsidR="00E17713">
        <w:rPr>
          <w:szCs w:val="26"/>
        </w:rPr>
        <w:t xml:space="preserve"> of the Responden</w:t>
      </w:r>
      <w:r w:rsidR="0010716E">
        <w:rPr>
          <w:szCs w:val="26"/>
        </w:rPr>
        <w:t xml:space="preserve">t.  </w:t>
      </w:r>
      <w:r w:rsidR="00744A8D">
        <w:rPr>
          <w:szCs w:val="26"/>
        </w:rPr>
        <w:t>Also, a</w:t>
      </w:r>
      <w:r w:rsidR="00010582">
        <w:rPr>
          <w:szCs w:val="26"/>
        </w:rPr>
        <w:t xml:space="preserve">s part of our initial review, we note that the Settlement was </w:t>
      </w:r>
      <w:r w:rsidR="00937519">
        <w:rPr>
          <w:szCs w:val="26"/>
        </w:rPr>
        <w:t xml:space="preserve">also </w:t>
      </w:r>
      <w:r w:rsidR="00010582">
        <w:rPr>
          <w:szCs w:val="26"/>
        </w:rPr>
        <w:t>execute</w:t>
      </w:r>
      <w:r w:rsidR="0010716E">
        <w:rPr>
          <w:szCs w:val="26"/>
        </w:rPr>
        <w:t xml:space="preserve">d </w:t>
      </w:r>
      <w:r w:rsidR="00937519">
        <w:rPr>
          <w:szCs w:val="26"/>
        </w:rPr>
        <w:t xml:space="preserve">by Mr. Pipon.  </w:t>
      </w:r>
      <w:r w:rsidR="00010582">
        <w:rPr>
          <w:szCs w:val="26"/>
        </w:rPr>
        <w:t xml:space="preserve">Our Regulations provide that a pleading, submittal or other document filed with the Commission must be signed by an authorized attorney or, if the entity is a corporation, by an officer of the corporation.  </w:t>
      </w:r>
      <w:proofErr w:type="gramStart"/>
      <w:r w:rsidR="00010582">
        <w:rPr>
          <w:szCs w:val="26"/>
        </w:rPr>
        <w:t xml:space="preserve">52 Pa. Code </w:t>
      </w:r>
      <w:r w:rsidR="00217B9C">
        <w:rPr>
          <w:szCs w:val="26"/>
        </w:rPr>
        <w:t xml:space="preserve">§ </w:t>
      </w:r>
      <w:r w:rsidR="00010582">
        <w:rPr>
          <w:szCs w:val="26"/>
        </w:rPr>
        <w:t>1.35(b).</w:t>
      </w:r>
      <w:proofErr w:type="gramEnd"/>
      <w:r w:rsidR="00010582">
        <w:rPr>
          <w:szCs w:val="26"/>
        </w:rPr>
        <w:t xml:space="preserve">  </w:t>
      </w:r>
      <w:r w:rsidR="002C4ED6">
        <w:rPr>
          <w:szCs w:val="26"/>
        </w:rPr>
        <w:t>Because the Respondent</w:t>
      </w:r>
      <w:r w:rsidR="00010582">
        <w:rPr>
          <w:szCs w:val="26"/>
        </w:rPr>
        <w:t xml:space="preserve"> </w:t>
      </w:r>
      <w:r w:rsidR="002C4ED6">
        <w:rPr>
          <w:szCs w:val="26"/>
        </w:rPr>
        <w:t xml:space="preserve">is a corporation and Mr. Pipon executed the documents as an officer, on behalf of the corporation, </w:t>
      </w:r>
      <w:r w:rsidR="00010582">
        <w:rPr>
          <w:szCs w:val="26"/>
        </w:rPr>
        <w:t xml:space="preserve">we find that </w:t>
      </w:r>
      <w:r w:rsidR="00744A8D">
        <w:rPr>
          <w:szCs w:val="26"/>
        </w:rPr>
        <w:t>both the Answer and</w:t>
      </w:r>
      <w:r w:rsidR="00010582">
        <w:rPr>
          <w:szCs w:val="26"/>
        </w:rPr>
        <w:t xml:space="preserve"> Settlement Agreement w</w:t>
      </w:r>
      <w:r w:rsidR="00744A8D">
        <w:rPr>
          <w:szCs w:val="26"/>
        </w:rPr>
        <w:t>ere</w:t>
      </w:r>
      <w:r w:rsidR="00010582">
        <w:rPr>
          <w:szCs w:val="26"/>
        </w:rPr>
        <w:t xml:space="preserve"> properly executed by the Parties.</w:t>
      </w:r>
    </w:p>
    <w:p w:rsidR="007F30A8" w:rsidRDefault="007F30A8" w:rsidP="00010582">
      <w:pPr>
        <w:pStyle w:val="BodyText"/>
        <w:ind w:firstLine="1440"/>
        <w:jc w:val="left"/>
        <w:rPr>
          <w:szCs w:val="26"/>
        </w:rPr>
      </w:pPr>
    </w:p>
    <w:p w:rsidR="00744A8D" w:rsidRDefault="00744A8D" w:rsidP="000A6E54">
      <w:pPr>
        <w:spacing w:line="360" w:lineRule="auto"/>
        <w:ind w:firstLine="1440"/>
        <w:rPr>
          <w:sz w:val="26"/>
          <w:szCs w:val="26"/>
        </w:rPr>
      </w:pPr>
      <w:r>
        <w:rPr>
          <w:sz w:val="26"/>
          <w:szCs w:val="26"/>
        </w:rPr>
        <w:t xml:space="preserve">The Parties assert that the Settlement should be approved for several reasons.  In this case, the Respondent has </w:t>
      </w:r>
      <w:r w:rsidR="003617BB">
        <w:rPr>
          <w:sz w:val="26"/>
          <w:szCs w:val="26"/>
        </w:rPr>
        <w:t xml:space="preserve">agreed to be more attentive in assuring that this violation does not occur in the future.  Furthermore, the Respondent, upon receipt of the subject Complaint, </w:t>
      </w:r>
      <w:r w:rsidR="005267FE">
        <w:rPr>
          <w:sz w:val="26"/>
          <w:szCs w:val="26"/>
        </w:rPr>
        <w:t xml:space="preserve">immediately </w:t>
      </w:r>
      <w:r w:rsidR="003617BB">
        <w:rPr>
          <w:sz w:val="26"/>
          <w:szCs w:val="26"/>
        </w:rPr>
        <w:t>contacted its insurance carrier</w:t>
      </w:r>
      <w:r w:rsidR="005267FE">
        <w:rPr>
          <w:sz w:val="26"/>
          <w:szCs w:val="26"/>
        </w:rPr>
        <w:t xml:space="preserve">.  It was at that time the Respondent learned its insurer had incorrectly added </w:t>
      </w:r>
      <w:r w:rsidR="00DE2C83">
        <w:rPr>
          <w:sz w:val="26"/>
          <w:szCs w:val="26"/>
        </w:rPr>
        <w:t>cargo insurance</w:t>
      </w:r>
      <w:r w:rsidR="005267FE">
        <w:rPr>
          <w:sz w:val="26"/>
          <w:szCs w:val="26"/>
        </w:rPr>
        <w:t xml:space="preserve"> </w:t>
      </w:r>
      <w:r w:rsidR="00DE2C83">
        <w:rPr>
          <w:sz w:val="26"/>
          <w:szCs w:val="26"/>
        </w:rPr>
        <w:t xml:space="preserve">(Form H) </w:t>
      </w:r>
      <w:r w:rsidR="005267FE">
        <w:rPr>
          <w:sz w:val="26"/>
          <w:szCs w:val="26"/>
        </w:rPr>
        <w:t>to its commercial automobile policy</w:t>
      </w:r>
      <w:r w:rsidR="00DE2C83">
        <w:rPr>
          <w:sz w:val="26"/>
          <w:szCs w:val="26"/>
        </w:rPr>
        <w:t>, and in turn, issued a Form K to cancel the incorrect Form</w:t>
      </w:r>
      <w:r w:rsidR="008020EA">
        <w:rPr>
          <w:sz w:val="26"/>
          <w:szCs w:val="26"/>
        </w:rPr>
        <w:t> </w:t>
      </w:r>
      <w:r w:rsidR="00DE2C83">
        <w:rPr>
          <w:sz w:val="26"/>
          <w:szCs w:val="26"/>
        </w:rPr>
        <w:t xml:space="preserve">H on the automobile policy.  For its part, LBPS has agreed to reduce the $500 civil </w:t>
      </w:r>
      <w:r w:rsidR="00DE2C83">
        <w:rPr>
          <w:sz w:val="26"/>
          <w:szCs w:val="26"/>
        </w:rPr>
        <w:lastRenderedPageBreak/>
        <w:t>penalty to $100.  Adoption of the Settlement by the Commission would avoid the cost of further litigation of this matter.</w:t>
      </w:r>
    </w:p>
    <w:p w:rsidR="00910D93" w:rsidRDefault="00744A8D" w:rsidP="000A6E54">
      <w:pPr>
        <w:spacing w:line="360" w:lineRule="auto"/>
        <w:ind w:firstLine="1440"/>
        <w:rPr>
          <w:sz w:val="26"/>
          <w:szCs w:val="26"/>
          <w:u w:color="000000"/>
        </w:rPr>
      </w:pPr>
      <w:r>
        <w:rPr>
          <w:sz w:val="26"/>
          <w:szCs w:val="26"/>
          <w:u w:color="000000"/>
        </w:rPr>
        <w:t xml:space="preserve"> </w:t>
      </w:r>
    </w:p>
    <w:p w:rsidR="00F304E4" w:rsidRDefault="00F304E4" w:rsidP="00512B22">
      <w:pPr>
        <w:spacing w:line="360" w:lineRule="auto"/>
        <w:ind w:firstLine="1440"/>
        <w:rPr>
          <w:color w:val="000000"/>
          <w:sz w:val="26"/>
          <w:szCs w:val="26"/>
          <w:u w:color="000000"/>
        </w:rPr>
      </w:pPr>
      <w:r>
        <w:rPr>
          <w:color w:val="000000"/>
          <w:sz w:val="26"/>
          <w:szCs w:val="26"/>
          <w:u w:color="000000"/>
        </w:rPr>
        <w:t xml:space="preserve">After a review of the terms of the Settlement Agreement, we are satisfied that the Agreement is in the public interest.  We further find that approval of this Settlement is consistent with the Commission’s </w:t>
      </w:r>
      <w:r w:rsidRPr="009A049B">
        <w:rPr>
          <w:i/>
          <w:color w:val="000000"/>
          <w:sz w:val="26"/>
          <w:szCs w:val="26"/>
          <w:u w:color="000000"/>
        </w:rPr>
        <w:t>Policy Statement</w:t>
      </w:r>
      <w:r>
        <w:rPr>
          <w:color w:val="000000"/>
          <w:sz w:val="26"/>
          <w:szCs w:val="26"/>
          <w:u w:color="000000"/>
        </w:rPr>
        <w:t xml:space="preserve"> at 52 Pa. Code </w:t>
      </w:r>
      <w:r>
        <w:rPr>
          <w:sz w:val="26"/>
          <w:szCs w:val="26"/>
        </w:rPr>
        <w:t>§</w:t>
      </w:r>
      <w:r w:rsidR="008020EA">
        <w:rPr>
          <w:sz w:val="26"/>
          <w:szCs w:val="26"/>
        </w:rPr>
        <w:t> </w:t>
      </w:r>
      <w:r>
        <w:rPr>
          <w:sz w:val="26"/>
          <w:szCs w:val="26"/>
        </w:rPr>
        <w:t xml:space="preserve">69.1201.  The </w:t>
      </w:r>
      <w:r w:rsidRPr="009A049B">
        <w:rPr>
          <w:i/>
          <w:sz w:val="26"/>
          <w:szCs w:val="26"/>
        </w:rPr>
        <w:t>Policy Statement</w:t>
      </w:r>
      <w:r>
        <w:rPr>
          <w:sz w:val="26"/>
          <w:szCs w:val="26"/>
        </w:rPr>
        <w:t xml:space="preserve"> sets forth the guidelines we use when determining whether and to what extent a civil penalty is warranted.  In this case, application of these guidelines supports approval of the Settlement Agreement as filed.</w:t>
      </w:r>
    </w:p>
    <w:p w:rsidR="00A1071A" w:rsidRDefault="00A1071A" w:rsidP="00512B22">
      <w:pPr>
        <w:spacing w:line="360" w:lineRule="auto"/>
        <w:ind w:firstLine="1440"/>
        <w:rPr>
          <w:color w:val="000000"/>
          <w:sz w:val="26"/>
          <w:szCs w:val="26"/>
          <w:u w:color="000000"/>
        </w:rPr>
      </w:pPr>
    </w:p>
    <w:p w:rsidR="00512B22" w:rsidRDefault="00281731" w:rsidP="00512B22">
      <w:pPr>
        <w:spacing w:line="360" w:lineRule="auto"/>
        <w:ind w:firstLine="1440"/>
        <w:rPr>
          <w:sz w:val="26"/>
          <w:szCs w:val="26"/>
        </w:rPr>
      </w:pPr>
      <w:r w:rsidRPr="00285B54">
        <w:rPr>
          <w:sz w:val="26"/>
          <w:szCs w:val="26"/>
          <w:u w:color="000000"/>
        </w:rPr>
        <w:t>C</w:t>
      </w:r>
      <w:r w:rsidR="00910D93" w:rsidRPr="00285B54">
        <w:rPr>
          <w:sz w:val="26"/>
          <w:szCs w:val="26"/>
          <w:u w:color="000000"/>
        </w:rPr>
        <w:t>onsistent with</w:t>
      </w:r>
      <w:r w:rsidR="00910D93">
        <w:rPr>
          <w:color w:val="000000"/>
          <w:sz w:val="26"/>
          <w:szCs w:val="26"/>
          <w:u w:color="000000"/>
        </w:rPr>
        <w:t xml:space="preserve"> our </w:t>
      </w:r>
      <w:r w:rsidR="00910D93">
        <w:rPr>
          <w:i/>
          <w:color w:val="000000"/>
          <w:sz w:val="26"/>
          <w:szCs w:val="26"/>
          <w:u w:color="000000"/>
        </w:rPr>
        <w:t>Policy Statement</w:t>
      </w:r>
      <w:r w:rsidR="00910D93" w:rsidRPr="00910D93">
        <w:rPr>
          <w:color w:val="000000"/>
          <w:sz w:val="26"/>
          <w:szCs w:val="26"/>
          <w:u w:color="000000"/>
        </w:rPr>
        <w:t>,</w:t>
      </w:r>
      <w:r w:rsidR="00910D93">
        <w:rPr>
          <w:i/>
          <w:color w:val="000000"/>
          <w:sz w:val="26"/>
          <w:szCs w:val="26"/>
          <w:u w:color="000000"/>
        </w:rPr>
        <w:t xml:space="preserve"> </w:t>
      </w:r>
      <w:r w:rsidR="00572C1C">
        <w:rPr>
          <w:color w:val="000000"/>
          <w:sz w:val="26"/>
          <w:szCs w:val="26"/>
          <w:u w:color="000000"/>
        </w:rPr>
        <w:t xml:space="preserve">we </w:t>
      </w:r>
      <w:r>
        <w:rPr>
          <w:color w:val="000000"/>
          <w:sz w:val="26"/>
          <w:szCs w:val="26"/>
          <w:u w:color="000000"/>
        </w:rPr>
        <w:t xml:space="preserve">first </w:t>
      </w:r>
      <w:r w:rsidR="00572C1C">
        <w:rPr>
          <w:color w:val="000000"/>
          <w:sz w:val="26"/>
          <w:szCs w:val="26"/>
          <w:u w:color="000000"/>
        </w:rPr>
        <w:t>consider</w:t>
      </w:r>
      <w:r w:rsidR="00FF22AE" w:rsidRPr="000A6E54">
        <w:rPr>
          <w:color w:val="000000"/>
          <w:sz w:val="26"/>
          <w:szCs w:val="26"/>
          <w:u w:color="000000"/>
        </w:rPr>
        <w:t xml:space="preserve"> </w:t>
      </w:r>
      <w:r w:rsidR="00FF22AE" w:rsidRPr="000A6E54">
        <w:rPr>
          <w:sz w:val="26"/>
          <w:szCs w:val="26"/>
        </w:rPr>
        <w:t xml:space="preserve">whether the conduct at issue is of a serious nature. </w:t>
      </w:r>
      <w:r w:rsidR="00145886">
        <w:rPr>
          <w:sz w:val="26"/>
          <w:szCs w:val="26"/>
        </w:rPr>
        <w:t xml:space="preserve"> </w:t>
      </w:r>
      <w:r w:rsidR="00FF22AE" w:rsidRPr="000A6E54">
        <w:rPr>
          <w:sz w:val="26"/>
          <w:szCs w:val="26"/>
        </w:rPr>
        <w:t>52 Pa. Code § 69.1201(c</w:t>
      </w:r>
      <w:proofErr w:type="gramStart"/>
      <w:r w:rsidR="00FF22AE" w:rsidRPr="000A6E54">
        <w:rPr>
          <w:sz w:val="26"/>
          <w:szCs w:val="26"/>
        </w:rPr>
        <w:t>)(</w:t>
      </w:r>
      <w:proofErr w:type="gramEnd"/>
      <w:r w:rsidR="00FF22AE" w:rsidRPr="000A6E54">
        <w:rPr>
          <w:sz w:val="26"/>
          <w:szCs w:val="26"/>
        </w:rPr>
        <w:t xml:space="preserve">1).  “When conduct of a serious nature is involved, such as willful fraud or misrepresentation, the conduct may warrant a higher penalty. </w:t>
      </w:r>
      <w:r w:rsidR="00145886">
        <w:rPr>
          <w:sz w:val="26"/>
          <w:szCs w:val="26"/>
        </w:rPr>
        <w:t xml:space="preserve"> </w:t>
      </w:r>
      <w:r w:rsidR="00FF22AE" w:rsidRPr="000A6E54">
        <w:rPr>
          <w:sz w:val="26"/>
          <w:szCs w:val="26"/>
        </w:rPr>
        <w:t xml:space="preserve">When the conduct is less egregious, such as administrative filing or technical errors, it may warrant a lower penalty.”  </w:t>
      </w:r>
      <w:r w:rsidR="00FF22AE" w:rsidRPr="000A6E54">
        <w:rPr>
          <w:i/>
          <w:sz w:val="26"/>
          <w:szCs w:val="26"/>
        </w:rPr>
        <w:t>Id</w:t>
      </w:r>
      <w:r w:rsidR="00FF22AE" w:rsidRPr="000A6E54">
        <w:rPr>
          <w:sz w:val="26"/>
          <w:szCs w:val="26"/>
        </w:rPr>
        <w:t>.</w:t>
      </w:r>
      <w:r w:rsidR="001A0DCE">
        <w:rPr>
          <w:sz w:val="26"/>
          <w:szCs w:val="26"/>
        </w:rPr>
        <w:t xml:space="preserve">  In this case, </w:t>
      </w:r>
      <w:r w:rsidR="00285B54">
        <w:rPr>
          <w:sz w:val="26"/>
          <w:szCs w:val="26"/>
        </w:rPr>
        <w:t>the violation committed by the Respondent should not be deemed</w:t>
      </w:r>
      <w:r w:rsidR="003C2279">
        <w:rPr>
          <w:sz w:val="26"/>
          <w:szCs w:val="26"/>
        </w:rPr>
        <w:t xml:space="preserve"> willful fraud or misrepresentation, as the failure to maintain evidence of liability insurance is more akin to negligent conduct.</w:t>
      </w:r>
    </w:p>
    <w:p w:rsidR="003C2279" w:rsidRDefault="003C2279" w:rsidP="00512B22">
      <w:pPr>
        <w:spacing w:line="360" w:lineRule="auto"/>
        <w:ind w:firstLine="1440"/>
        <w:rPr>
          <w:sz w:val="26"/>
          <w:szCs w:val="26"/>
        </w:rPr>
      </w:pPr>
    </w:p>
    <w:p w:rsidR="003C2279" w:rsidRPr="00F304E4" w:rsidRDefault="003C2279" w:rsidP="00512B22">
      <w:pPr>
        <w:spacing w:line="360" w:lineRule="auto"/>
        <w:ind w:firstLine="1440"/>
        <w:rPr>
          <w:color w:val="000000"/>
          <w:sz w:val="26"/>
          <w:szCs w:val="26"/>
          <w:u w:color="000000"/>
        </w:rPr>
      </w:pPr>
      <w:r>
        <w:rPr>
          <w:sz w:val="26"/>
          <w:szCs w:val="26"/>
        </w:rPr>
        <w:t>With regard to the second factor to be considered, as to whether the Respondent’s actions were of a serious nature</w:t>
      </w:r>
      <w:r w:rsidR="00A7600E">
        <w:rPr>
          <w:sz w:val="26"/>
          <w:szCs w:val="26"/>
        </w:rPr>
        <w:t>, we believe the violation should not be deemed serious or have lasting consequences since the violation only occurred on two occasions.  Furthermore, we believe the Respondent’s conduct in this matter should be deemed unintentional.</w:t>
      </w:r>
    </w:p>
    <w:p w:rsidR="00FF22AE" w:rsidRPr="00FF22AE" w:rsidRDefault="00FF22AE" w:rsidP="00512B22">
      <w:pPr>
        <w:spacing w:line="360" w:lineRule="auto"/>
        <w:ind w:firstLine="1440"/>
        <w:rPr>
          <w:sz w:val="26"/>
          <w:szCs w:val="26"/>
        </w:rPr>
      </w:pPr>
    </w:p>
    <w:p w:rsidR="00237AEF" w:rsidRDefault="008A4521" w:rsidP="00FF22AE">
      <w:pPr>
        <w:suppressAutoHyphens/>
        <w:spacing w:line="360" w:lineRule="auto"/>
        <w:ind w:firstLine="1440"/>
        <w:rPr>
          <w:sz w:val="26"/>
          <w:szCs w:val="26"/>
        </w:rPr>
      </w:pPr>
      <w:r>
        <w:rPr>
          <w:sz w:val="26"/>
          <w:szCs w:val="26"/>
        </w:rPr>
        <w:t>We also review whether the regulated entity has made an effort to modify internal practices and procedures to address the conduct at issue and to prevent similar conduct in the future</w:t>
      </w:r>
      <w:r w:rsidR="00A7600E">
        <w:rPr>
          <w:sz w:val="26"/>
          <w:szCs w:val="26"/>
        </w:rPr>
        <w:t>.  The Respondent has agreed to be more attentive to ensure that this violation does not reoccur in the future.</w:t>
      </w:r>
    </w:p>
    <w:p w:rsidR="0073503E" w:rsidRDefault="0073503E" w:rsidP="00FF22AE">
      <w:pPr>
        <w:suppressAutoHyphens/>
        <w:spacing w:line="360" w:lineRule="auto"/>
        <w:ind w:firstLine="1440"/>
        <w:rPr>
          <w:sz w:val="26"/>
          <w:szCs w:val="26"/>
        </w:rPr>
      </w:pPr>
    </w:p>
    <w:p w:rsidR="00345D85" w:rsidRDefault="00345D85" w:rsidP="00FF22AE">
      <w:pPr>
        <w:suppressAutoHyphens/>
        <w:spacing w:line="360" w:lineRule="auto"/>
        <w:ind w:firstLine="1440"/>
        <w:rPr>
          <w:sz w:val="26"/>
          <w:szCs w:val="26"/>
        </w:rPr>
      </w:pPr>
      <w:r>
        <w:rPr>
          <w:sz w:val="26"/>
          <w:szCs w:val="26"/>
        </w:rPr>
        <w:t>W</w:t>
      </w:r>
      <w:r w:rsidR="00FF22AE" w:rsidRPr="00FF22AE">
        <w:rPr>
          <w:color w:val="000000"/>
          <w:sz w:val="26"/>
          <w:szCs w:val="26"/>
          <w:u w:color="000000"/>
        </w:rPr>
        <w:t>e</w:t>
      </w:r>
      <w:r>
        <w:rPr>
          <w:color w:val="000000"/>
          <w:sz w:val="26"/>
          <w:szCs w:val="26"/>
          <w:u w:color="000000"/>
        </w:rPr>
        <w:t xml:space="preserve"> also</w:t>
      </w:r>
      <w:r w:rsidR="00FF22AE" w:rsidRPr="00FF22AE">
        <w:rPr>
          <w:color w:val="000000"/>
          <w:sz w:val="26"/>
          <w:szCs w:val="26"/>
          <w:u w:color="000000"/>
        </w:rPr>
        <w:t xml:space="preserve"> consider the number of customers affected and the duration of the violation.  </w:t>
      </w:r>
      <w:r w:rsidR="00237AEF">
        <w:rPr>
          <w:sz w:val="26"/>
          <w:szCs w:val="26"/>
        </w:rPr>
        <w:t>The public was not adversely affected by the Respondent’s failure to maintain evidence of liability insurance on file with</w:t>
      </w:r>
      <w:r w:rsidR="00A60481">
        <w:rPr>
          <w:sz w:val="26"/>
          <w:szCs w:val="26"/>
        </w:rPr>
        <w:t xml:space="preserve"> the Commission.</w:t>
      </w:r>
    </w:p>
    <w:p w:rsidR="00345D85" w:rsidRDefault="00345D85" w:rsidP="00FF22AE">
      <w:pPr>
        <w:suppressAutoHyphens/>
        <w:spacing w:line="360" w:lineRule="auto"/>
        <w:ind w:firstLine="1440"/>
        <w:rPr>
          <w:sz w:val="26"/>
          <w:szCs w:val="26"/>
        </w:rPr>
      </w:pPr>
    </w:p>
    <w:p w:rsidR="00A60481" w:rsidRDefault="00A60481" w:rsidP="00A60481">
      <w:pPr>
        <w:spacing w:line="360" w:lineRule="auto"/>
        <w:ind w:firstLine="1440"/>
        <w:rPr>
          <w:sz w:val="26"/>
          <w:szCs w:val="26"/>
        </w:rPr>
      </w:pPr>
      <w:r w:rsidRPr="00FF22AE">
        <w:rPr>
          <w:sz w:val="26"/>
          <w:szCs w:val="26"/>
        </w:rPr>
        <w:t xml:space="preserve">We may also consider the compliance history of the regulated entity which committed the violation.  </w:t>
      </w:r>
      <w:r>
        <w:rPr>
          <w:sz w:val="26"/>
          <w:szCs w:val="26"/>
        </w:rPr>
        <w:t>Based on our review, we find that the Respondent’s compliance history is satis</w:t>
      </w:r>
      <w:r w:rsidR="008020EA">
        <w:rPr>
          <w:sz w:val="26"/>
          <w:szCs w:val="26"/>
        </w:rPr>
        <w:t>factory as a whole.</w:t>
      </w:r>
    </w:p>
    <w:p w:rsidR="00A60481" w:rsidRDefault="00A60481" w:rsidP="00FF22AE">
      <w:pPr>
        <w:suppressAutoHyphens/>
        <w:spacing w:line="360" w:lineRule="auto"/>
        <w:ind w:firstLine="1440"/>
        <w:rPr>
          <w:sz w:val="26"/>
          <w:szCs w:val="26"/>
        </w:rPr>
      </w:pPr>
    </w:p>
    <w:p w:rsidR="00FF22AE" w:rsidRPr="00FF22AE" w:rsidRDefault="00FF22AE" w:rsidP="00FF22AE">
      <w:pPr>
        <w:suppressAutoHyphens/>
        <w:spacing w:line="360" w:lineRule="auto"/>
        <w:ind w:firstLine="1440"/>
        <w:rPr>
          <w:sz w:val="26"/>
          <w:szCs w:val="26"/>
        </w:rPr>
      </w:pPr>
      <w:r w:rsidRPr="00FF22AE">
        <w:rPr>
          <w:sz w:val="26"/>
          <w:szCs w:val="26"/>
        </w:rPr>
        <w:t xml:space="preserve">Another factor we may consider is whether the regulated entity cooperated with the Commission’s investigation.  </w:t>
      </w:r>
      <w:r w:rsidR="005917A1">
        <w:rPr>
          <w:sz w:val="26"/>
          <w:szCs w:val="26"/>
        </w:rPr>
        <w:t xml:space="preserve">LBPS has indicated that the Respondent fully cooperated with the Commission’s staff during </w:t>
      </w:r>
      <w:r w:rsidR="001A1CD3">
        <w:rPr>
          <w:sz w:val="26"/>
          <w:szCs w:val="26"/>
        </w:rPr>
        <w:t xml:space="preserve">both the investigation stage and </w:t>
      </w:r>
      <w:r w:rsidR="005917A1">
        <w:rPr>
          <w:sz w:val="26"/>
          <w:szCs w:val="26"/>
        </w:rPr>
        <w:t>settlement d</w:t>
      </w:r>
      <w:r w:rsidR="008020EA">
        <w:rPr>
          <w:sz w:val="26"/>
          <w:szCs w:val="26"/>
        </w:rPr>
        <w:t>iscussions in this proceeding.</w:t>
      </w:r>
    </w:p>
    <w:p w:rsidR="00FF22AE" w:rsidRPr="00FF22AE" w:rsidRDefault="00FF22AE" w:rsidP="00FF22AE">
      <w:pPr>
        <w:suppressAutoHyphens/>
        <w:spacing w:line="360" w:lineRule="auto"/>
        <w:ind w:firstLine="1440"/>
        <w:rPr>
          <w:sz w:val="26"/>
          <w:szCs w:val="26"/>
        </w:rPr>
      </w:pPr>
    </w:p>
    <w:p w:rsidR="003D3B29" w:rsidRDefault="00FF22AE" w:rsidP="005C4187">
      <w:pPr>
        <w:suppressAutoHyphens/>
        <w:spacing w:line="360" w:lineRule="auto"/>
        <w:ind w:firstLine="1440"/>
        <w:rPr>
          <w:sz w:val="26"/>
          <w:szCs w:val="26"/>
        </w:rPr>
      </w:pPr>
      <w:r w:rsidRPr="00FF22AE">
        <w:rPr>
          <w:sz w:val="26"/>
          <w:szCs w:val="26"/>
        </w:rPr>
        <w:t xml:space="preserve">In addition, we may consider the amount of the civil penalty necessary to deter future violations as well as past Commission decisions in similar situations.  </w:t>
      </w:r>
      <w:r w:rsidR="009F59AA">
        <w:rPr>
          <w:sz w:val="26"/>
          <w:szCs w:val="26"/>
        </w:rPr>
        <w:t>LBPS has agreed to reduce the proposed civil penalty from $</w:t>
      </w:r>
      <w:r w:rsidR="00A60481">
        <w:rPr>
          <w:sz w:val="26"/>
          <w:szCs w:val="26"/>
        </w:rPr>
        <w:t>500 to $</w:t>
      </w:r>
      <w:r w:rsidR="00604751">
        <w:rPr>
          <w:sz w:val="26"/>
          <w:szCs w:val="26"/>
        </w:rPr>
        <w:t>3</w:t>
      </w:r>
      <w:r w:rsidR="00A60481">
        <w:rPr>
          <w:sz w:val="26"/>
          <w:szCs w:val="26"/>
        </w:rPr>
        <w:t>00</w:t>
      </w:r>
      <w:r w:rsidR="005F09AA">
        <w:rPr>
          <w:sz w:val="26"/>
          <w:szCs w:val="26"/>
        </w:rPr>
        <w:t xml:space="preserve">.  </w:t>
      </w:r>
      <w:r w:rsidR="00171EBE">
        <w:rPr>
          <w:sz w:val="26"/>
          <w:szCs w:val="26"/>
        </w:rPr>
        <w:t>We believe that a $</w:t>
      </w:r>
      <w:r w:rsidR="00604751">
        <w:rPr>
          <w:sz w:val="26"/>
          <w:szCs w:val="26"/>
        </w:rPr>
        <w:t>3</w:t>
      </w:r>
      <w:r w:rsidR="005F09AA">
        <w:rPr>
          <w:sz w:val="26"/>
          <w:szCs w:val="26"/>
        </w:rPr>
        <w:t>00</w:t>
      </w:r>
      <w:r w:rsidR="00171EBE">
        <w:rPr>
          <w:sz w:val="26"/>
          <w:szCs w:val="26"/>
        </w:rPr>
        <w:t xml:space="preserve"> civil penalty is</w:t>
      </w:r>
      <w:r w:rsidR="00BF0685">
        <w:rPr>
          <w:sz w:val="26"/>
          <w:szCs w:val="26"/>
        </w:rPr>
        <w:t xml:space="preserve"> sufficient </w:t>
      </w:r>
      <w:r w:rsidR="00171EBE">
        <w:rPr>
          <w:sz w:val="26"/>
          <w:szCs w:val="26"/>
        </w:rPr>
        <w:t>in this case</w:t>
      </w:r>
      <w:r w:rsidR="00FB2246">
        <w:rPr>
          <w:sz w:val="26"/>
          <w:szCs w:val="26"/>
        </w:rPr>
        <w:t>.</w:t>
      </w:r>
      <w:r w:rsidR="005C4187">
        <w:rPr>
          <w:sz w:val="26"/>
          <w:szCs w:val="26"/>
        </w:rPr>
        <w:t xml:space="preserve">  </w:t>
      </w:r>
      <w:r w:rsidR="00DA57A9">
        <w:rPr>
          <w:sz w:val="26"/>
          <w:szCs w:val="26"/>
        </w:rPr>
        <w:t>For the reasons set forth above</w:t>
      </w:r>
      <w:r w:rsidR="003D3B29" w:rsidRPr="002B0445">
        <w:rPr>
          <w:sz w:val="26"/>
          <w:szCs w:val="26"/>
        </w:rPr>
        <w:t>, we</w:t>
      </w:r>
      <w:r w:rsidR="00FF5E28">
        <w:rPr>
          <w:sz w:val="26"/>
          <w:szCs w:val="26"/>
        </w:rPr>
        <w:t xml:space="preserve"> </w:t>
      </w:r>
      <w:r w:rsidR="00123B3A">
        <w:rPr>
          <w:sz w:val="26"/>
          <w:szCs w:val="26"/>
        </w:rPr>
        <w:t>find that the Settlement is in the public interest and merits approval</w:t>
      </w:r>
      <w:r w:rsidR="003D3B29" w:rsidRPr="002B0445">
        <w:rPr>
          <w:sz w:val="26"/>
          <w:szCs w:val="26"/>
        </w:rPr>
        <w:t>.</w:t>
      </w:r>
    </w:p>
    <w:p w:rsidR="00B473BC" w:rsidRDefault="00B473BC" w:rsidP="00FF22AE">
      <w:pPr>
        <w:spacing w:line="360" w:lineRule="auto"/>
        <w:jc w:val="center"/>
        <w:rPr>
          <w:b/>
          <w:sz w:val="26"/>
          <w:szCs w:val="26"/>
          <w:u w:val="single"/>
        </w:rPr>
      </w:pPr>
    </w:p>
    <w:p w:rsidR="00FF22AE" w:rsidRPr="008020EA" w:rsidRDefault="00FF22AE" w:rsidP="00FF22AE">
      <w:pPr>
        <w:spacing w:line="360" w:lineRule="auto"/>
        <w:jc w:val="center"/>
        <w:rPr>
          <w:sz w:val="26"/>
          <w:szCs w:val="26"/>
        </w:rPr>
      </w:pPr>
      <w:r w:rsidRPr="008020EA">
        <w:rPr>
          <w:b/>
          <w:sz w:val="26"/>
          <w:szCs w:val="26"/>
        </w:rPr>
        <w:t>Conclusion</w:t>
      </w:r>
    </w:p>
    <w:p w:rsidR="00FF22AE" w:rsidRPr="00FF22AE" w:rsidRDefault="00FF22AE" w:rsidP="00FF22AE">
      <w:pPr>
        <w:spacing w:line="360" w:lineRule="auto"/>
        <w:ind w:firstLine="1440"/>
        <w:rPr>
          <w:sz w:val="26"/>
          <w:szCs w:val="26"/>
        </w:rPr>
      </w:pPr>
    </w:p>
    <w:p w:rsidR="00FF22AE" w:rsidRPr="00FF22AE" w:rsidRDefault="00FF22AE" w:rsidP="00C57DD5">
      <w:pPr>
        <w:spacing w:line="360" w:lineRule="auto"/>
        <w:ind w:firstLine="1440"/>
        <w:rPr>
          <w:sz w:val="26"/>
          <w:szCs w:val="26"/>
        </w:rPr>
      </w:pPr>
      <w:r w:rsidRPr="00FF22AE">
        <w:rPr>
          <w:sz w:val="26"/>
          <w:szCs w:val="26"/>
        </w:rPr>
        <w:t xml:space="preserve">It is the Commission’s policy to promote settlements.  52 Pa. Code § 5.231.  The Parties herein have provided the Commission with sufficient information upon which to thoroughly consider the terms of the </w:t>
      </w:r>
      <w:r w:rsidR="00DA57A9">
        <w:rPr>
          <w:sz w:val="26"/>
          <w:szCs w:val="26"/>
        </w:rPr>
        <w:t xml:space="preserve">proposed </w:t>
      </w:r>
      <w:r w:rsidR="0059558A">
        <w:rPr>
          <w:sz w:val="26"/>
          <w:szCs w:val="26"/>
        </w:rPr>
        <w:t>S</w:t>
      </w:r>
      <w:r w:rsidRPr="00FF22AE">
        <w:rPr>
          <w:sz w:val="26"/>
          <w:szCs w:val="26"/>
        </w:rPr>
        <w:t xml:space="preserve">ettlement.  </w:t>
      </w:r>
      <w:r w:rsidR="0059558A">
        <w:rPr>
          <w:sz w:val="26"/>
          <w:szCs w:val="26"/>
        </w:rPr>
        <w:t xml:space="preserve">The Settlement effectively addresses the issues that arose during the course of this proceeding and avoids the expense of litigation and the possibility of appeals.  The Respondent agrees </w:t>
      </w:r>
      <w:r w:rsidR="00C57DD5">
        <w:rPr>
          <w:sz w:val="26"/>
          <w:szCs w:val="26"/>
        </w:rPr>
        <w:t xml:space="preserve">that it will comply with the Code and the Commission’s Regulations </w:t>
      </w:r>
      <w:r w:rsidR="00015ECD">
        <w:rPr>
          <w:sz w:val="26"/>
          <w:szCs w:val="26"/>
        </w:rPr>
        <w:t xml:space="preserve">and Orders </w:t>
      </w:r>
      <w:r w:rsidR="00C57DD5">
        <w:rPr>
          <w:sz w:val="26"/>
          <w:szCs w:val="26"/>
        </w:rPr>
        <w:t>in the future and take appropriate steps to ensure compliance.  Accordingly, w</w:t>
      </w:r>
      <w:r w:rsidRPr="00FF22AE">
        <w:rPr>
          <w:sz w:val="26"/>
          <w:szCs w:val="26"/>
        </w:rPr>
        <w:t xml:space="preserve">e find that the proposed </w:t>
      </w:r>
      <w:r w:rsidR="00C57DD5">
        <w:rPr>
          <w:sz w:val="26"/>
          <w:szCs w:val="26"/>
        </w:rPr>
        <w:lastRenderedPageBreak/>
        <w:t>S</w:t>
      </w:r>
      <w:r w:rsidRPr="00FF22AE">
        <w:rPr>
          <w:sz w:val="26"/>
          <w:szCs w:val="26"/>
        </w:rPr>
        <w:t xml:space="preserve">ettlement </w:t>
      </w:r>
      <w:r w:rsidR="00C57DD5">
        <w:rPr>
          <w:sz w:val="26"/>
          <w:szCs w:val="26"/>
        </w:rPr>
        <w:t xml:space="preserve">Agreement </w:t>
      </w:r>
      <w:r w:rsidR="00E92939">
        <w:rPr>
          <w:sz w:val="26"/>
          <w:szCs w:val="26"/>
        </w:rPr>
        <w:t xml:space="preserve">between the LBPS and </w:t>
      </w:r>
      <w:r w:rsidR="00970641">
        <w:rPr>
          <w:sz w:val="26"/>
          <w:szCs w:val="26"/>
        </w:rPr>
        <w:t xml:space="preserve">the Respondent </w:t>
      </w:r>
      <w:r w:rsidR="00B51D01">
        <w:rPr>
          <w:sz w:val="26"/>
          <w:szCs w:val="26"/>
        </w:rPr>
        <w:t xml:space="preserve">is </w:t>
      </w:r>
      <w:r w:rsidRPr="00FF22AE">
        <w:rPr>
          <w:sz w:val="26"/>
          <w:szCs w:val="26"/>
        </w:rPr>
        <w:t xml:space="preserve">in the public interest and merits approval; </w:t>
      </w:r>
      <w:r w:rsidRPr="00DA57A9">
        <w:rPr>
          <w:b/>
          <w:sz w:val="26"/>
          <w:szCs w:val="26"/>
        </w:rPr>
        <w:t>THER</w:t>
      </w:r>
      <w:r w:rsidRPr="00FF22AE">
        <w:rPr>
          <w:b/>
          <w:sz w:val="26"/>
          <w:szCs w:val="26"/>
        </w:rPr>
        <w:t>EFORE</w:t>
      </w:r>
      <w:r w:rsidRPr="00FF22AE">
        <w:rPr>
          <w:sz w:val="26"/>
          <w:szCs w:val="26"/>
        </w:rPr>
        <w:t>,</w:t>
      </w:r>
    </w:p>
    <w:p w:rsidR="00FF22AE" w:rsidRPr="00FF22AE" w:rsidRDefault="00FF22AE" w:rsidP="00FF22AE">
      <w:pPr>
        <w:spacing w:line="360" w:lineRule="auto"/>
        <w:rPr>
          <w:b/>
          <w:sz w:val="26"/>
          <w:szCs w:val="26"/>
        </w:rPr>
      </w:pPr>
    </w:p>
    <w:p w:rsidR="00FF22AE" w:rsidRPr="00FF22AE" w:rsidRDefault="00FF22AE" w:rsidP="00FF22AE">
      <w:pPr>
        <w:spacing w:line="360" w:lineRule="auto"/>
        <w:rPr>
          <w:b/>
          <w:sz w:val="26"/>
          <w:szCs w:val="26"/>
        </w:rPr>
      </w:pPr>
      <w:r w:rsidRPr="00FF22AE">
        <w:rPr>
          <w:b/>
          <w:sz w:val="26"/>
          <w:szCs w:val="26"/>
        </w:rPr>
        <w:tab/>
      </w:r>
      <w:r w:rsidRPr="00FF22AE">
        <w:rPr>
          <w:b/>
          <w:sz w:val="26"/>
          <w:szCs w:val="26"/>
        </w:rPr>
        <w:tab/>
        <w:t>IT IS ORDERED:</w:t>
      </w:r>
    </w:p>
    <w:p w:rsidR="00FF22AE" w:rsidRPr="00FF22AE" w:rsidRDefault="00FF22AE" w:rsidP="00FF22AE">
      <w:pPr>
        <w:spacing w:line="360" w:lineRule="auto"/>
        <w:rPr>
          <w:sz w:val="26"/>
          <w:szCs w:val="26"/>
        </w:rPr>
      </w:pPr>
    </w:p>
    <w:p w:rsidR="003B3F46" w:rsidRDefault="00FF22AE" w:rsidP="00FF22AE">
      <w:pPr>
        <w:spacing w:line="360" w:lineRule="auto"/>
        <w:rPr>
          <w:sz w:val="26"/>
          <w:szCs w:val="26"/>
        </w:rPr>
      </w:pPr>
      <w:r w:rsidRPr="00FF22AE">
        <w:rPr>
          <w:sz w:val="26"/>
          <w:szCs w:val="26"/>
        </w:rPr>
        <w:tab/>
      </w:r>
      <w:r w:rsidRPr="00FF22AE">
        <w:rPr>
          <w:sz w:val="26"/>
          <w:szCs w:val="26"/>
        </w:rPr>
        <w:tab/>
        <w:t>1.</w:t>
      </w:r>
      <w:r w:rsidRPr="00FF22AE">
        <w:rPr>
          <w:sz w:val="26"/>
          <w:szCs w:val="26"/>
        </w:rPr>
        <w:tab/>
        <w:t xml:space="preserve"> That the Settlement Agreement between the Pennsylvania Public Utility Commission’s Law Bureau Prosecutory Staff and </w:t>
      </w:r>
      <w:r w:rsidR="00604751">
        <w:rPr>
          <w:sz w:val="26"/>
          <w:szCs w:val="26"/>
        </w:rPr>
        <w:t>North Star Leasing</w:t>
      </w:r>
      <w:r w:rsidR="00E92939">
        <w:rPr>
          <w:sz w:val="26"/>
          <w:szCs w:val="26"/>
        </w:rPr>
        <w:t>,</w:t>
      </w:r>
      <w:r w:rsidR="00DC2917">
        <w:rPr>
          <w:sz w:val="26"/>
          <w:szCs w:val="26"/>
        </w:rPr>
        <w:t xml:space="preserve"> Inc.</w:t>
      </w:r>
      <w:r w:rsidR="005F09AA">
        <w:rPr>
          <w:sz w:val="26"/>
          <w:szCs w:val="26"/>
        </w:rPr>
        <w:t>,</w:t>
      </w:r>
      <w:r w:rsidR="00E92939">
        <w:rPr>
          <w:sz w:val="26"/>
          <w:szCs w:val="26"/>
        </w:rPr>
        <w:t xml:space="preserve"> filed</w:t>
      </w:r>
      <w:r w:rsidRPr="00FF22AE">
        <w:rPr>
          <w:sz w:val="26"/>
          <w:szCs w:val="26"/>
        </w:rPr>
        <w:t xml:space="preserve"> on </w:t>
      </w:r>
      <w:r w:rsidR="00B473BC">
        <w:rPr>
          <w:sz w:val="26"/>
          <w:szCs w:val="26"/>
        </w:rPr>
        <w:t>April 1,</w:t>
      </w:r>
      <w:r w:rsidR="005F09AA">
        <w:rPr>
          <w:sz w:val="26"/>
          <w:szCs w:val="26"/>
        </w:rPr>
        <w:t xml:space="preserve"> 2011</w:t>
      </w:r>
      <w:r w:rsidR="00F578A1">
        <w:rPr>
          <w:sz w:val="26"/>
          <w:szCs w:val="26"/>
        </w:rPr>
        <w:t>,</w:t>
      </w:r>
      <w:r w:rsidRPr="00FF22AE">
        <w:rPr>
          <w:sz w:val="26"/>
          <w:szCs w:val="26"/>
        </w:rPr>
        <w:t xml:space="preserve"> is approved.</w:t>
      </w:r>
    </w:p>
    <w:p w:rsidR="003B3F46" w:rsidRDefault="003B3F46" w:rsidP="00FF22AE">
      <w:pPr>
        <w:spacing w:line="360" w:lineRule="auto"/>
        <w:rPr>
          <w:sz w:val="26"/>
          <w:szCs w:val="26"/>
        </w:rPr>
      </w:pPr>
    </w:p>
    <w:p w:rsidR="00A474B0" w:rsidRDefault="003B3F46" w:rsidP="003B3F46">
      <w:pPr>
        <w:spacing w:line="360" w:lineRule="auto"/>
        <w:ind w:firstLine="1440"/>
        <w:rPr>
          <w:sz w:val="26"/>
          <w:szCs w:val="26"/>
        </w:rPr>
      </w:pPr>
      <w:r>
        <w:rPr>
          <w:sz w:val="26"/>
          <w:szCs w:val="26"/>
        </w:rPr>
        <w:t>2.</w:t>
      </w:r>
      <w:r w:rsidR="00F578A1">
        <w:rPr>
          <w:sz w:val="26"/>
          <w:szCs w:val="26"/>
        </w:rPr>
        <w:tab/>
        <w:t xml:space="preserve">That the Complaint at Docket No. </w:t>
      </w:r>
      <w:r w:rsidR="00DC2917">
        <w:rPr>
          <w:sz w:val="26"/>
          <w:szCs w:val="26"/>
        </w:rPr>
        <w:t>C</w:t>
      </w:r>
      <w:r w:rsidR="00B1098D">
        <w:rPr>
          <w:sz w:val="26"/>
          <w:szCs w:val="26"/>
        </w:rPr>
        <w:t>-</w:t>
      </w:r>
      <w:r w:rsidR="00B473BC">
        <w:rPr>
          <w:sz w:val="26"/>
          <w:szCs w:val="26"/>
        </w:rPr>
        <w:t>2010-22</w:t>
      </w:r>
      <w:r w:rsidR="00604751">
        <w:rPr>
          <w:sz w:val="26"/>
          <w:szCs w:val="26"/>
        </w:rPr>
        <w:t>09110</w:t>
      </w:r>
      <w:r w:rsidR="00B1098D">
        <w:rPr>
          <w:sz w:val="26"/>
          <w:szCs w:val="26"/>
        </w:rPr>
        <w:t xml:space="preserve"> </w:t>
      </w:r>
      <w:r w:rsidR="00FB5DD2">
        <w:rPr>
          <w:sz w:val="26"/>
          <w:szCs w:val="26"/>
        </w:rPr>
        <w:t>is sustained to the extent outlined in this Opinion and Order.</w:t>
      </w:r>
    </w:p>
    <w:p w:rsidR="00F578A1" w:rsidRDefault="00F578A1" w:rsidP="003B3F46">
      <w:pPr>
        <w:spacing w:line="360" w:lineRule="auto"/>
        <w:ind w:firstLine="1440"/>
        <w:rPr>
          <w:sz w:val="26"/>
          <w:szCs w:val="26"/>
        </w:rPr>
      </w:pPr>
    </w:p>
    <w:p w:rsidR="00A474B0" w:rsidRDefault="00FB5DD2" w:rsidP="00A474B0">
      <w:pPr>
        <w:spacing w:line="360" w:lineRule="auto"/>
        <w:ind w:firstLine="1440"/>
        <w:rPr>
          <w:sz w:val="26"/>
        </w:rPr>
      </w:pPr>
      <w:r>
        <w:rPr>
          <w:sz w:val="26"/>
        </w:rPr>
        <w:t>3.</w:t>
      </w:r>
      <w:r>
        <w:rPr>
          <w:sz w:val="26"/>
        </w:rPr>
        <w:tab/>
      </w:r>
      <w:r w:rsidR="00A474B0" w:rsidRPr="0090056F">
        <w:rPr>
          <w:sz w:val="26"/>
        </w:rPr>
        <w:t>That</w:t>
      </w:r>
      <w:r>
        <w:rPr>
          <w:sz w:val="26"/>
        </w:rPr>
        <w:t xml:space="preserve"> </w:t>
      </w:r>
      <w:r w:rsidR="00604751">
        <w:rPr>
          <w:sz w:val="26"/>
        </w:rPr>
        <w:t>North Star Leasing</w:t>
      </w:r>
      <w:r w:rsidR="00DC2917">
        <w:rPr>
          <w:sz w:val="26"/>
        </w:rPr>
        <w:t>, Inc.</w:t>
      </w:r>
      <w:r w:rsidR="00B1098D">
        <w:rPr>
          <w:sz w:val="26"/>
          <w:szCs w:val="26"/>
        </w:rPr>
        <w:t xml:space="preserve"> </w:t>
      </w:r>
      <w:r w:rsidR="00A474B0" w:rsidRPr="0090056F">
        <w:rPr>
          <w:sz w:val="26"/>
        </w:rPr>
        <w:t>shall pay a civil penalty in the amount of $</w:t>
      </w:r>
      <w:r w:rsidR="00604751">
        <w:rPr>
          <w:sz w:val="26"/>
        </w:rPr>
        <w:t>3</w:t>
      </w:r>
      <w:r w:rsidR="00897CBB">
        <w:rPr>
          <w:sz w:val="26"/>
        </w:rPr>
        <w:t>00</w:t>
      </w:r>
      <w:r w:rsidR="00A474B0" w:rsidRPr="0090056F">
        <w:rPr>
          <w:sz w:val="26"/>
        </w:rPr>
        <w:t xml:space="preserve"> by check or money order </w:t>
      </w:r>
      <w:r w:rsidR="007E4294">
        <w:rPr>
          <w:sz w:val="26"/>
        </w:rPr>
        <w:t>within twenty (20) days from the entry d</w:t>
      </w:r>
      <w:r w:rsidR="00F71283">
        <w:rPr>
          <w:sz w:val="26"/>
        </w:rPr>
        <w:t xml:space="preserve">ate of this Opinion and Order.  </w:t>
      </w:r>
      <w:r w:rsidR="00A474B0" w:rsidRPr="0090056F">
        <w:rPr>
          <w:sz w:val="26"/>
        </w:rPr>
        <w:t>Said check or money order shall be made payable to:</w:t>
      </w:r>
      <w:r w:rsidR="007E4294">
        <w:rPr>
          <w:sz w:val="26"/>
        </w:rPr>
        <w:t xml:space="preserve">  </w:t>
      </w:r>
    </w:p>
    <w:p w:rsidR="00A474B0" w:rsidRPr="0090056F" w:rsidRDefault="00A474B0" w:rsidP="00A474B0">
      <w:pPr>
        <w:spacing w:line="360" w:lineRule="auto"/>
        <w:ind w:firstLine="1440"/>
        <w:rPr>
          <w:sz w:val="26"/>
        </w:rPr>
      </w:pPr>
    </w:p>
    <w:p w:rsidR="00A474B0" w:rsidRPr="0090056F" w:rsidRDefault="00776A1C" w:rsidP="00A474B0">
      <w:pPr>
        <w:keepNext/>
        <w:ind w:firstLine="1440"/>
        <w:rPr>
          <w:sz w:val="26"/>
        </w:rPr>
      </w:pPr>
      <w:r>
        <w:rPr>
          <w:sz w:val="26"/>
        </w:rPr>
        <w:tab/>
      </w:r>
      <w:r>
        <w:rPr>
          <w:sz w:val="26"/>
        </w:rPr>
        <w:tab/>
      </w:r>
      <w:r w:rsidR="00A474B0" w:rsidRPr="0090056F">
        <w:rPr>
          <w:sz w:val="26"/>
        </w:rPr>
        <w:t>Pennsylvania Public Utility Commission</w:t>
      </w:r>
    </w:p>
    <w:p w:rsidR="00A474B0" w:rsidRPr="0090056F" w:rsidRDefault="00776A1C" w:rsidP="00A474B0">
      <w:pPr>
        <w:keepNext/>
        <w:ind w:firstLine="1440"/>
        <w:rPr>
          <w:sz w:val="26"/>
        </w:rPr>
      </w:pPr>
      <w:r>
        <w:rPr>
          <w:sz w:val="26"/>
        </w:rPr>
        <w:tab/>
      </w:r>
      <w:r>
        <w:rPr>
          <w:sz w:val="26"/>
        </w:rPr>
        <w:tab/>
      </w:r>
      <w:r w:rsidR="00A474B0" w:rsidRPr="0090056F">
        <w:rPr>
          <w:sz w:val="26"/>
        </w:rPr>
        <w:t>P.O. Box 3265</w:t>
      </w:r>
    </w:p>
    <w:p w:rsidR="00CE150B" w:rsidRDefault="00776A1C" w:rsidP="00CE150B">
      <w:pPr>
        <w:ind w:firstLine="1440"/>
        <w:rPr>
          <w:sz w:val="26"/>
        </w:rPr>
      </w:pPr>
      <w:r>
        <w:rPr>
          <w:sz w:val="26"/>
        </w:rPr>
        <w:tab/>
      </w:r>
      <w:r>
        <w:rPr>
          <w:sz w:val="26"/>
        </w:rPr>
        <w:tab/>
      </w:r>
      <w:r w:rsidR="00A474B0" w:rsidRPr="0090056F">
        <w:rPr>
          <w:sz w:val="26"/>
        </w:rPr>
        <w:t>Harrisburg, PA  17105-3265</w:t>
      </w:r>
    </w:p>
    <w:p w:rsidR="00CE150B" w:rsidRDefault="00CE150B" w:rsidP="00CE150B">
      <w:pPr>
        <w:ind w:firstLine="1440"/>
        <w:rPr>
          <w:sz w:val="26"/>
        </w:rPr>
      </w:pPr>
    </w:p>
    <w:p w:rsidR="00CE150B" w:rsidRDefault="00CE150B" w:rsidP="00CE150B">
      <w:pPr>
        <w:ind w:firstLine="1440"/>
        <w:rPr>
          <w:sz w:val="26"/>
        </w:rPr>
      </w:pPr>
    </w:p>
    <w:p w:rsidR="00EE51F2" w:rsidRDefault="00172FBA" w:rsidP="00EE51F2">
      <w:pPr>
        <w:spacing w:line="360" w:lineRule="auto"/>
        <w:ind w:firstLine="1440"/>
        <w:rPr>
          <w:sz w:val="26"/>
          <w:szCs w:val="26"/>
        </w:rPr>
      </w:pPr>
      <w:r>
        <w:rPr>
          <w:sz w:val="26"/>
        </w:rPr>
        <w:t>4.</w:t>
      </w:r>
      <w:r>
        <w:rPr>
          <w:sz w:val="26"/>
        </w:rPr>
        <w:tab/>
        <w:t xml:space="preserve">That </w:t>
      </w:r>
      <w:r w:rsidR="00604751">
        <w:rPr>
          <w:sz w:val="26"/>
        </w:rPr>
        <w:t>North Star Leasing</w:t>
      </w:r>
      <w:r w:rsidR="00DC2917">
        <w:rPr>
          <w:sz w:val="26"/>
        </w:rPr>
        <w:t xml:space="preserve">, Inc. </w:t>
      </w:r>
      <w:r>
        <w:rPr>
          <w:sz w:val="26"/>
          <w:szCs w:val="26"/>
        </w:rPr>
        <w:t xml:space="preserve">shall cease and desist from any further violations of the Public Utility Code, 66 Pa. C.S. §§ 101, </w:t>
      </w:r>
      <w:r w:rsidRPr="00172FBA">
        <w:rPr>
          <w:i/>
          <w:sz w:val="26"/>
          <w:szCs w:val="26"/>
        </w:rPr>
        <w:t>et seq</w:t>
      </w:r>
      <w:r>
        <w:rPr>
          <w:sz w:val="26"/>
          <w:szCs w:val="26"/>
        </w:rPr>
        <w:t xml:space="preserve">., </w:t>
      </w:r>
      <w:r w:rsidR="00EE51F2">
        <w:rPr>
          <w:sz w:val="26"/>
          <w:szCs w:val="26"/>
        </w:rPr>
        <w:t xml:space="preserve">and the </w:t>
      </w:r>
      <w:r w:rsidR="00EE51F2" w:rsidRPr="00BD0C52">
        <w:rPr>
          <w:sz w:val="26"/>
          <w:szCs w:val="26"/>
        </w:rPr>
        <w:t>Commission’s</w:t>
      </w:r>
      <w:r w:rsidR="00EE51F2">
        <w:rPr>
          <w:sz w:val="26"/>
          <w:szCs w:val="26"/>
        </w:rPr>
        <w:t xml:space="preserve"> Regulations, 52 Pa. Code §§ 1.1, </w:t>
      </w:r>
      <w:r w:rsidR="00EE51F2" w:rsidRPr="001E0443">
        <w:rPr>
          <w:i/>
          <w:sz w:val="26"/>
          <w:szCs w:val="26"/>
        </w:rPr>
        <w:t>et se</w:t>
      </w:r>
      <w:r w:rsidR="00EE51F2">
        <w:rPr>
          <w:i/>
          <w:sz w:val="26"/>
          <w:szCs w:val="26"/>
        </w:rPr>
        <w:t>q</w:t>
      </w:r>
      <w:r w:rsidR="00EE51F2">
        <w:rPr>
          <w:sz w:val="26"/>
          <w:szCs w:val="26"/>
        </w:rPr>
        <w:t xml:space="preserve">. </w:t>
      </w:r>
    </w:p>
    <w:p w:rsidR="00C93F2C" w:rsidRDefault="00C93F2C" w:rsidP="00A474B0">
      <w:pPr>
        <w:spacing w:line="360" w:lineRule="auto"/>
        <w:ind w:firstLine="1440"/>
        <w:rPr>
          <w:sz w:val="26"/>
        </w:rPr>
      </w:pPr>
    </w:p>
    <w:p w:rsidR="0073503E" w:rsidRDefault="00657CB5" w:rsidP="00A474B0">
      <w:pPr>
        <w:spacing w:line="360" w:lineRule="auto"/>
        <w:ind w:firstLine="1440"/>
        <w:rPr>
          <w:sz w:val="26"/>
        </w:rPr>
      </w:pPr>
      <w:r>
        <w:rPr>
          <w:sz w:val="26"/>
        </w:rPr>
        <w:t>5.</w:t>
      </w:r>
      <w:r>
        <w:rPr>
          <w:sz w:val="26"/>
        </w:rPr>
        <w:tab/>
        <w:t xml:space="preserve">That a copy of this Opinion and Order shall be served on the Bureau of Transportation and Safety.  </w:t>
      </w:r>
    </w:p>
    <w:p w:rsidR="00E31852" w:rsidRDefault="00E31852" w:rsidP="00A474B0">
      <w:pPr>
        <w:spacing w:line="360" w:lineRule="auto"/>
        <w:ind w:firstLine="1440"/>
        <w:rPr>
          <w:sz w:val="26"/>
        </w:rPr>
      </w:pPr>
    </w:p>
    <w:p w:rsidR="00A474B0" w:rsidRPr="0090056F" w:rsidRDefault="00657CB5" w:rsidP="00A474B0">
      <w:pPr>
        <w:spacing w:line="360" w:lineRule="auto"/>
        <w:ind w:firstLine="1440"/>
        <w:rPr>
          <w:sz w:val="26"/>
        </w:rPr>
      </w:pPr>
      <w:r>
        <w:rPr>
          <w:sz w:val="26"/>
        </w:rPr>
        <w:t>6.</w:t>
      </w:r>
      <w:r>
        <w:rPr>
          <w:sz w:val="26"/>
        </w:rPr>
        <w:tab/>
      </w:r>
      <w:r w:rsidR="00A474B0" w:rsidRPr="0090056F">
        <w:rPr>
          <w:sz w:val="26"/>
        </w:rPr>
        <w:t xml:space="preserve">That a copy of this Opinion and Order </w:t>
      </w:r>
      <w:r w:rsidR="00601F02">
        <w:rPr>
          <w:sz w:val="26"/>
        </w:rPr>
        <w:t xml:space="preserve">shall </w:t>
      </w:r>
      <w:r w:rsidR="00A474B0" w:rsidRPr="0090056F">
        <w:rPr>
          <w:sz w:val="26"/>
        </w:rPr>
        <w:t>be served on the Financial and Assessment Chief, Office of Administrative Services.</w:t>
      </w:r>
    </w:p>
    <w:p w:rsidR="0073503E" w:rsidRDefault="0073503E" w:rsidP="00A474B0">
      <w:pPr>
        <w:spacing w:line="360" w:lineRule="auto"/>
        <w:ind w:firstLine="1440"/>
        <w:rPr>
          <w:sz w:val="26"/>
        </w:rPr>
      </w:pPr>
    </w:p>
    <w:p w:rsidR="00FF22AE" w:rsidRPr="00A474B0" w:rsidRDefault="002440BF" w:rsidP="00A474B0">
      <w:pPr>
        <w:spacing w:line="360" w:lineRule="auto"/>
        <w:ind w:firstLine="1440"/>
        <w:rPr>
          <w:sz w:val="26"/>
        </w:rPr>
      </w:pPr>
      <w:r>
        <w:rPr>
          <w:sz w:val="26"/>
        </w:rPr>
        <w:t>7.</w:t>
      </w:r>
      <w:r>
        <w:rPr>
          <w:sz w:val="26"/>
        </w:rPr>
        <w:tab/>
      </w:r>
      <w:r w:rsidR="00A474B0" w:rsidRPr="0090056F">
        <w:rPr>
          <w:sz w:val="26"/>
        </w:rPr>
        <w:t xml:space="preserve">That </w:t>
      </w:r>
      <w:r>
        <w:rPr>
          <w:sz w:val="26"/>
        </w:rPr>
        <w:t xml:space="preserve">the Secretary shall mark this </w:t>
      </w:r>
      <w:r w:rsidR="00A474B0" w:rsidRPr="0090056F">
        <w:rPr>
          <w:sz w:val="26"/>
        </w:rPr>
        <w:t>proceeding closed</w:t>
      </w:r>
      <w:r w:rsidR="00A474B0">
        <w:rPr>
          <w:sz w:val="26"/>
        </w:rPr>
        <w:t xml:space="preserve"> upon payment of the </w:t>
      </w:r>
      <w:r>
        <w:rPr>
          <w:sz w:val="26"/>
        </w:rPr>
        <w:t xml:space="preserve">civil </w:t>
      </w:r>
      <w:r w:rsidR="00A474B0">
        <w:rPr>
          <w:sz w:val="26"/>
        </w:rPr>
        <w:t>penalty</w:t>
      </w:r>
      <w:r>
        <w:rPr>
          <w:sz w:val="26"/>
        </w:rPr>
        <w:t xml:space="preserve"> assessed herein</w:t>
      </w:r>
      <w:r w:rsidR="00A474B0">
        <w:rPr>
          <w:sz w:val="26"/>
        </w:rPr>
        <w:t>.</w:t>
      </w:r>
    </w:p>
    <w:p w:rsidR="001D6E49" w:rsidRDefault="001D6E49" w:rsidP="00055068">
      <w:pPr>
        <w:spacing w:line="360" w:lineRule="auto"/>
        <w:ind w:firstLine="1440"/>
        <w:rPr>
          <w:sz w:val="26"/>
          <w:szCs w:val="26"/>
        </w:rPr>
      </w:pPr>
    </w:p>
    <w:p w:rsidR="00A1086D" w:rsidRPr="003C63B1" w:rsidRDefault="007D0AD6" w:rsidP="00A1086D">
      <w:pPr>
        <w:tabs>
          <w:tab w:val="left" w:pos="-720"/>
        </w:tabs>
        <w:suppressAutoHyphens/>
        <w:rPr>
          <w:sz w:val="26"/>
        </w:rPr>
      </w:pPr>
      <w:r>
        <w:rPr>
          <w:b/>
          <w:noProof/>
          <w:sz w:val="26"/>
        </w:rPr>
        <w:drawing>
          <wp:anchor distT="0" distB="0" distL="114300" distR="114300" simplePos="0" relativeHeight="251659264" behindDoc="1" locked="0" layoutInCell="1" allowOverlap="1">
            <wp:simplePos x="0" y="0"/>
            <wp:positionH relativeFrom="column">
              <wp:posOffset>2809875</wp:posOffset>
            </wp:positionH>
            <wp:positionV relativeFrom="paragraph">
              <wp:posOffset>32385</wp:posOffset>
            </wp:positionV>
            <wp:extent cx="2200275" cy="838200"/>
            <wp:effectExtent l="19050" t="0" r="952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1086D" w:rsidRPr="003C63B1">
        <w:rPr>
          <w:b/>
          <w:sz w:val="26"/>
        </w:rPr>
        <w:tab/>
      </w:r>
      <w:r w:rsidR="00A1086D" w:rsidRPr="003C63B1">
        <w:rPr>
          <w:b/>
          <w:sz w:val="26"/>
        </w:rPr>
        <w:tab/>
      </w:r>
      <w:r w:rsidR="00A1086D" w:rsidRPr="003C63B1">
        <w:rPr>
          <w:b/>
          <w:sz w:val="26"/>
        </w:rPr>
        <w:tab/>
      </w:r>
      <w:r w:rsidR="00A1086D" w:rsidRPr="003C63B1">
        <w:rPr>
          <w:b/>
          <w:sz w:val="26"/>
        </w:rPr>
        <w:tab/>
      </w:r>
      <w:r w:rsidR="00A1086D" w:rsidRPr="003C63B1">
        <w:rPr>
          <w:b/>
          <w:sz w:val="26"/>
        </w:rPr>
        <w:tab/>
      </w:r>
      <w:r w:rsidR="00A1086D" w:rsidRPr="003C63B1">
        <w:rPr>
          <w:b/>
          <w:sz w:val="26"/>
        </w:rPr>
        <w:tab/>
      </w:r>
      <w:r w:rsidR="00A1086D" w:rsidRPr="003C63B1">
        <w:rPr>
          <w:b/>
          <w:sz w:val="26"/>
        </w:rPr>
        <w:tab/>
        <w:t>BY THE COMMISSION,</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p>
    <w:p w:rsidR="00A1086D" w:rsidRPr="003C63B1" w:rsidRDefault="00155333" w:rsidP="00A1086D">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A1086D" w:rsidRPr="003C63B1" w:rsidRDefault="00A1086D" w:rsidP="00A1086D">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r w:rsidRPr="003C63B1">
        <w:rPr>
          <w:sz w:val="26"/>
        </w:rPr>
        <w:t>(SEAL)</w:t>
      </w:r>
    </w:p>
    <w:p w:rsidR="00A1086D" w:rsidRPr="003C63B1" w:rsidRDefault="00A1086D" w:rsidP="00A1086D">
      <w:pPr>
        <w:tabs>
          <w:tab w:val="left" w:pos="-720"/>
        </w:tabs>
        <w:suppressAutoHyphens/>
        <w:rPr>
          <w:sz w:val="26"/>
        </w:rPr>
      </w:pPr>
    </w:p>
    <w:p w:rsidR="00A1086D" w:rsidRPr="003C63B1" w:rsidRDefault="00155333" w:rsidP="00A1086D">
      <w:pPr>
        <w:tabs>
          <w:tab w:val="left" w:pos="-720"/>
        </w:tabs>
        <w:suppressAutoHyphens/>
        <w:rPr>
          <w:sz w:val="26"/>
        </w:rPr>
      </w:pPr>
      <w:r>
        <w:rPr>
          <w:sz w:val="26"/>
        </w:rPr>
        <w:t xml:space="preserve">ORDER ADOPTED:  </w:t>
      </w:r>
      <w:r w:rsidR="00EE51F2">
        <w:rPr>
          <w:sz w:val="26"/>
        </w:rPr>
        <w:t>June 30</w:t>
      </w:r>
      <w:r w:rsidR="00897CBB">
        <w:rPr>
          <w:sz w:val="26"/>
        </w:rPr>
        <w:t>, 2011</w:t>
      </w:r>
      <w:r w:rsidR="002C79FB">
        <w:rPr>
          <w:sz w:val="26"/>
        </w:rPr>
        <w:t xml:space="preserve"> </w:t>
      </w:r>
    </w:p>
    <w:p w:rsidR="00A1086D" w:rsidRPr="003C63B1" w:rsidRDefault="00A1086D" w:rsidP="00A1086D">
      <w:pPr>
        <w:tabs>
          <w:tab w:val="left" w:pos="-720"/>
        </w:tabs>
        <w:suppressAutoHyphens/>
        <w:rPr>
          <w:sz w:val="26"/>
        </w:rPr>
      </w:pPr>
    </w:p>
    <w:p w:rsidR="00A1086D" w:rsidRPr="003C63B1" w:rsidRDefault="00A1086D" w:rsidP="00A1086D">
      <w:pPr>
        <w:tabs>
          <w:tab w:val="left" w:pos="-720"/>
        </w:tabs>
        <w:suppressAutoHyphens/>
        <w:rPr>
          <w:sz w:val="26"/>
        </w:rPr>
      </w:pPr>
      <w:r w:rsidRPr="003C63B1">
        <w:rPr>
          <w:sz w:val="26"/>
        </w:rPr>
        <w:t xml:space="preserve">ORDER ENTERED: </w:t>
      </w:r>
      <w:r w:rsidR="007D0AD6">
        <w:rPr>
          <w:sz w:val="26"/>
        </w:rPr>
        <w:t>July 5, 2011</w:t>
      </w:r>
    </w:p>
    <w:p w:rsidR="00A1086D" w:rsidRPr="00DB1424" w:rsidRDefault="00A1086D" w:rsidP="00A1086D">
      <w:pPr>
        <w:spacing w:line="360" w:lineRule="auto"/>
        <w:rPr>
          <w:sz w:val="26"/>
          <w:szCs w:val="26"/>
        </w:rPr>
      </w:pPr>
    </w:p>
    <w:sectPr w:rsidR="00A1086D" w:rsidRPr="00DB1424" w:rsidSect="005A350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696" w:rsidRDefault="00C56696" w:rsidP="005A3508">
      <w:r>
        <w:separator/>
      </w:r>
    </w:p>
  </w:endnote>
  <w:endnote w:type="continuationSeparator" w:id="0">
    <w:p w:rsidR="00C56696" w:rsidRDefault="00C56696" w:rsidP="005A35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23422"/>
      <w:docPartObj>
        <w:docPartGallery w:val="Page Numbers (Bottom of Page)"/>
        <w:docPartUnique/>
      </w:docPartObj>
    </w:sdtPr>
    <w:sdtContent>
      <w:p w:rsidR="00A7600E" w:rsidRDefault="00184B7D">
        <w:pPr>
          <w:pStyle w:val="Footer"/>
          <w:jc w:val="center"/>
        </w:pPr>
        <w:fldSimple w:instr=" PAGE   \* MERGEFORMAT ">
          <w:r w:rsidR="007D0AD6">
            <w:rPr>
              <w:noProof/>
            </w:rPr>
            <w:t>7</w:t>
          </w:r>
        </w:fldSimple>
      </w:p>
    </w:sdtContent>
  </w:sdt>
  <w:p w:rsidR="00A7600E" w:rsidRDefault="00A760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696" w:rsidRDefault="00C56696" w:rsidP="005A3508">
      <w:r>
        <w:separator/>
      </w:r>
    </w:p>
  </w:footnote>
  <w:footnote w:type="continuationSeparator" w:id="0">
    <w:p w:rsidR="00C56696" w:rsidRDefault="00C56696" w:rsidP="005A3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B603B4"/>
    <w:multiLevelType w:val="hybridMultilevel"/>
    <w:tmpl w:val="6C0C73EE"/>
    <w:lvl w:ilvl="0" w:tplc="939442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BEE75F3"/>
    <w:multiLevelType w:val="hybridMultilevel"/>
    <w:tmpl w:val="EF60C422"/>
    <w:lvl w:ilvl="0" w:tplc="4BD22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B5B65"/>
    <w:rsid w:val="000032BD"/>
    <w:rsid w:val="00003D98"/>
    <w:rsid w:val="0000559C"/>
    <w:rsid w:val="00006CED"/>
    <w:rsid w:val="00010582"/>
    <w:rsid w:val="000131E0"/>
    <w:rsid w:val="000136EA"/>
    <w:rsid w:val="00013CA7"/>
    <w:rsid w:val="00015D05"/>
    <w:rsid w:val="00015ECD"/>
    <w:rsid w:val="00016D57"/>
    <w:rsid w:val="00017852"/>
    <w:rsid w:val="000205AA"/>
    <w:rsid w:val="0002132C"/>
    <w:rsid w:val="00021E46"/>
    <w:rsid w:val="00022B74"/>
    <w:rsid w:val="000258E1"/>
    <w:rsid w:val="00025F3F"/>
    <w:rsid w:val="0002754E"/>
    <w:rsid w:val="0003711B"/>
    <w:rsid w:val="00040AEA"/>
    <w:rsid w:val="00041FA5"/>
    <w:rsid w:val="00042EC0"/>
    <w:rsid w:val="00047874"/>
    <w:rsid w:val="00047F4A"/>
    <w:rsid w:val="00051979"/>
    <w:rsid w:val="00052B8F"/>
    <w:rsid w:val="00054612"/>
    <w:rsid w:val="00055068"/>
    <w:rsid w:val="00056286"/>
    <w:rsid w:val="000562A0"/>
    <w:rsid w:val="000649EC"/>
    <w:rsid w:val="00075B79"/>
    <w:rsid w:val="00084AF9"/>
    <w:rsid w:val="000918D4"/>
    <w:rsid w:val="00097504"/>
    <w:rsid w:val="000A365D"/>
    <w:rsid w:val="000A6E54"/>
    <w:rsid w:val="000B216D"/>
    <w:rsid w:val="000B4EAE"/>
    <w:rsid w:val="000B607A"/>
    <w:rsid w:val="000B6B15"/>
    <w:rsid w:val="000B73C7"/>
    <w:rsid w:val="000C2AE3"/>
    <w:rsid w:val="000C5065"/>
    <w:rsid w:val="000C6AB3"/>
    <w:rsid w:val="000D0713"/>
    <w:rsid w:val="000D3499"/>
    <w:rsid w:val="000E0E77"/>
    <w:rsid w:val="000E6DE6"/>
    <w:rsid w:val="000F1A8F"/>
    <w:rsid w:val="000F6043"/>
    <w:rsid w:val="000F627A"/>
    <w:rsid w:val="0010158F"/>
    <w:rsid w:val="00104D9B"/>
    <w:rsid w:val="00105888"/>
    <w:rsid w:val="001062A7"/>
    <w:rsid w:val="00106884"/>
    <w:rsid w:val="0010716E"/>
    <w:rsid w:val="001123D1"/>
    <w:rsid w:val="00113A76"/>
    <w:rsid w:val="00113C81"/>
    <w:rsid w:val="00117CB2"/>
    <w:rsid w:val="0012214A"/>
    <w:rsid w:val="001238A2"/>
    <w:rsid w:val="00123A2E"/>
    <w:rsid w:val="00123B3A"/>
    <w:rsid w:val="001267D4"/>
    <w:rsid w:val="001327F0"/>
    <w:rsid w:val="00134A26"/>
    <w:rsid w:val="00135972"/>
    <w:rsid w:val="001360FC"/>
    <w:rsid w:val="001372FE"/>
    <w:rsid w:val="0014497F"/>
    <w:rsid w:val="001455C5"/>
    <w:rsid w:val="00145886"/>
    <w:rsid w:val="00146AFA"/>
    <w:rsid w:val="00147145"/>
    <w:rsid w:val="001515DB"/>
    <w:rsid w:val="0015316A"/>
    <w:rsid w:val="00155333"/>
    <w:rsid w:val="0016342A"/>
    <w:rsid w:val="00164DA4"/>
    <w:rsid w:val="001663C8"/>
    <w:rsid w:val="00170BF4"/>
    <w:rsid w:val="00171EBE"/>
    <w:rsid w:val="00172558"/>
    <w:rsid w:val="00172FBA"/>
    <w:rsid w:val="00173A7B"/>
    <w:rsid w:val="00174D3D"/>
    <w:rsid w:val="00174EB3"/>
    <w:rsid w:val="00184B7D"/>
    <w:rsid w:val="00185351"/>
    <w:rsid w:val="00186A97"/>
    <w:rsid w:val="001900F6"/>
    <w:rsid w:val="00191404"/>
    <w:rsid w:val="0019443D"/>
    <w:rsid w:val="001949FE"/>
    <w:rsid w:val="001970E2"/>
    <w:rsid w:val="001A0DCE"/>
    <w:rsid w:val="001A1CD3"/>
    <w:rsid w:val="001B1DB4"/>
    <w:rsid w:val="001B532C"/>
    <w:rsid w:val="001B58B1"/>
    <w:rsid w:val="001C3767"/>
    <w:rsid w:val="001C3CE4"/>
    <w:rsid w:val="001C4978"/>
    <w:rsid w:val="001C6F98"/>
    <w:rsid w:val="001D2783"/>
    <w:rsid w:val="001D4833"/>
    <w:rsid w:val="001D6E49"/>
    <w:rsid w:val="001E0443"/>
    <w:rsid w:val="001E1276"/>
    <w:rsid w:val="001E3452"/>
    <w:rsid w:val="001E4BBB"/>
    <w:rsid w:val="001E654B"/>
    <w:rsid w:val="00200AA3"/>
    <w:rsid w:val="00201752"/>
    <w:rsid w:val="00202524"/>
    <w:rsid w:val="002062E5"/>
    <w:rsid w:val="002100F0"/>
    <w:rsid w:val="00210F81"/>
    <w:rsid w:val="00211622"/>
    <w:rsid w:val="002145B8"/>
    <w:rsid w:val="00216F1C"/>
    <w:rsid w:val="00217B9C"/>
    <w:rsid w:val="00223D6E"/>
    <w:rsid w:val="0023261E"/>
    <w:rsid w:val="002359EC"/>
    <w:rsid w:val="00237AEF"/>
    <w:rsid w:val="00240D7B"/>
    <w:rsid w:val="00241196"/>
    <w:rsid w:val="0024316B"/>
    <w:rsid w:val="002440BF"/>
    <w:rsid w:val="002446A4"/>
    <w:rsid w:val="00250C1F"/>
    <w:rsid w:val="002511A6"/>
    <w:rsid w:val="00253E68"/>
    <w:rsid w:val="00260957"/>
    <w:rsid w:val="00264A69"/>
    <w:rsid w:val="00265FF4"/>
    <w:rsid w:val="0027232D"/>
    <w:rsid w:val="00276DE5"/>
    <w:rsid w:val="00281731"/>
    <w:rsid w:val="00281E34"/>
    <w:rsid w:val="00282D0B"/>
    <w:rsid w:val="00285B54"/>
    <w:rsid w:val="00291F68"/>
    <w:rsid w:val="002935B1"/>
    <w:rsid w:val="00295796"/>
    <w:rsid w:val="00296282"/>
    <w:rsid w:val="002A4450"/>
    <w:rsid w:val="002A635E"/>
    <w:rsid w:val="002B0445"/>
    <w:rsid w:val="002B34FD"/>
    <w:rsid w:val="002B5927"/>
    <w:rsid w:val="002B67B7"/>
    <w:rsid w:val="002C0429"/>
    <w:rsid w:val="002C4ED6"/>
    <w:rsid w:val="002C79FB"/>
    <w:rsid w:val="002D17D4"/>
    <w:rsid w:val="002D2311"/>
    <w:rsid w:val="002D275E"/>
    <w:rsid w:val="002D4197"/>
    <w:rsid w:val="002D6357"/>
    <w:rsid w:val="002E3026"/>
    <w:rsid w:val="002E3F06"/>
    <w:rsid w:val="002E42F0"/>
    <w:rsid w:val="002E6955"/>
    <w:rsid w:val="002F3F04"/>
    <w:rsid w:val="002F41BA"/>
    <w:rsid w:val="002F4DA7"/>
    <w:rsid w:val="003018AA"/>
    <w:rsid w:val="00301A19"/>
    <w:rsid w:val="00303B99"/>
    <w:rsid w:val="003046D1"/>
    <w:rsid w:val="00304BED"/>
    <w:rsid w:val="00305A41"/>
    <w:rsid w:val="0030714F"/>
    <w:rsid w:val="00314A43"/>
    <w:rsid w:val="0031590F"/>
    <w:rsid w:val="00315F10"/>
    <w:rsid w:val="003209F4"/>
    <w:rsid w:val="00321354"/>
    <w:rsid w:val="00337DBB"/>
    <w:rsid w:val="00345D85"/>
    <w:rsid w:val="00346D8F"/>
    <w:rsid w:val="00353396"/>
    <w:rsid w:val="003617BB"/>
    <w:rsid w:val="003622CA"/>
    <w:rsid w:val="00363030"/>
    <w:rsid w:val="0036462C"/>
    <w:rsid w:val="00364A42"/>
    <w:rsid w:val="0036581C"/>
    <w:rsid w:val="003755FB"/>
    <w:rsid w:val="0037577C"/>
    <w:rsid w:val="003765CD"/>
    <w:rsid w:val="00377B0A"/>
    <w:rsid w:val="00380C9F"/>
    <w:rsid w:val="00381F17"/>
    <w:rsid w:val="00383086"/>
    <w:rsid w:val="00385232"/>
    <w:rsid w:val="00385502"/>
    <w:rsid w:val="00387D9B"/>
    <w:rsid w:val="00390811"/>
    <w:rsid w:val="00390ECA"/>
    <w:rsid w:val="003A2162"/>
    <w:rsid w:val="003B05E9"/>
    <w:rsid w:val="003B0611"/>
    <w:rsid w:val="003B3F46"/>
    <w:rsid w:val="003C0F90"/>
    <w:rsid w:val="003C2279"/>
    <w:rsid w:val="003C22DC"/>
    <w:rsid w:val="003C2F9D"/>
    <w:rsid w:val="003C30B6"/>
    <w:rsid w:val="003C3140"/>
    <w:rsid w:val="003C3E02"/>
    <w:rsid w:val="003C3E66"/>
    <w:rsid w:val="003C3FE8"/>
    <w:rsid w:val="003C6784"/>
    <w:rsid w:val="003C68AD"/>
    <w:rsid w:val="003D0ED1"/>
    <w:rsid w:val="003D3B29"/>
    <w:rsid w:val="003D6AB5"/>
    <w:rsid w:val="003E6A1D"/>
    <w:rsid w:val="003F4CDA"/>
    <w:rsid w:val="003F56D9"/>
    <w:rsid w:val="003F5E94"/>
    <w:rsid w:val="0040251A"/>
    <w:rsid w:val="00403D6E"/>
    <w:rsid w:val="00407A73"/>
    <w:rsid w:val="00412D39"/>
    <w:rsid w:val="00412F14"/>
    <w:rsid w:val="004210C1"/>
    <w:rsid w:val="0042661A"/>
    <w:rsid w:val="004276A6"/>
    <w:rsid w:val="00432769"/>
    <w:rsid w:val="00441207"/>
    <w:rsid w:val="0044539E"/>
    <w:rsid w:val="004462F7"/>
    <w:rsid w:val="0045013B"/>
    <w:rsid w:val="00450C15"/>
    <w:rsid w:val="00454BB4"/>
    <w:rsid w:val="00455B00"/>
    <w:rsid w:val="0046019D"/>
    <w:rsid w:val="0046514E"/>
    <w:rsid w:val="00467C6B"/>
    <w:rsid w:val="004713A9"/>
    <w:rsid w:val="00473AF9"/>
    <w:rsid w:val="0047475D"/>
    <w:rsid w:val="00474E22"/>
    <w:rsid w:val="0047608F"/>
    <w:rsid w:val="00476554"/>
    <w:rsid w:val="00477BC8"/>
    <w:rsid w:val="00481449"/>
    <w:rsid w:val="00484F29"/>
    <w:rsid w:val="00491D91"/>
    <w:rsid w:val="00491E00"/>
    <w:rsid w:val="00494EEA"/>
    <w:rsid w:val="004973AD"/>
    <w:rsid w:val="0049768F"/>
    <w:rsid w:val="004A04E5"/>
    <w:rsid w:val="004A1BC2"/>
    <w:rsid w:val="004A1DB6"/>
    <w:rsid w:val="004A2165"/>
    <w:rsid w:val="004A45F8"/>
    <w:rsid w:val="004A63D2"/>
    <w:rsid w:val="004B1052"/>
    <w:rsid w:val="004B373F"/>
    <w:rsid w:val="004B5293"/>
    <w:rsid w:val="004B5B65"/>
    <w:rsid w:val="004D0910"/>
    <w:rsid w:val="004D10E7"/>
    <w:rsid w:val="004D55B2"/>
    <w:rsid w:val="004D7208"/>
    <w:rsid w:val="004D726D"/>
    <w:rsid w:val="004E514F"/>
    <w:rsid w:val="004E737F"/>
    <w:rsid w:val="004E7C89"/>
    <w:rsid w:val="004F00C9"/>
    <w:rsid w:val="004F22DA"/>
    <w:rsid w:val="004F3E39"/>
    <w:rsid w:val="0050368B"/>
    <w:rsid w:val="00504834"/>
    <w:rsid w:val="00505AEE"/>
    <w:rsid w:val="0050632E"/>
    <w:rsid w:val="00507F38"/>
    <w:rsid w:val="00511EF3"/>
    <w:rsid w:val="00511F3C"/>
    <w:rsid w:val="00512B22"/>
    <w:rsid w:val="00514507"/>
    <w:rsid w:val="00521350"/>
    <w:rsid w:val="0052352A"/>
    <w:rsid w:val="0052582A"/>
    <w:rsid w:val="005267FE"/>
    <w:rsid w:val="00531421"/>
    <w:rsid w:val="00536011"/>
    <w:rsid w:val="00537F61"/>
    <w:rsid w:val="00540789"/>
    <w:rsid w:val="0054119E"/>
    <w:rsid w:val="00543ED7"/>
    <w:rsid w:val="00551AC5"/>
    <w:rsid w:val="00552C84"/>
    <w:rsid w:val="005532F9"/>
    <w:rsid w:val="0055440B"/>
    <w:rsid w:val="0055708D"/>
    <w:rsid w:val="00561CA6"/>
    <w:rsid w:val="00570700"/>
    <w:rsid w:val="00571AAE"/>
    <w:rsid w:val="00572C1C"/>
    <w:rsid w:val="005764DA"/>
    <w:rsid w:val="00577448"/>
    <w:rsid w:val="00580251"/>
    <w:rsid w:val="00590DA0"/>
    <w:rsid w:val="005917A1"/>
    <w:rsid w:val="00594C78"/>
    <w:rsid w:val="0059558A"/>
    <w:rsid w:val="00595FF3"/>
    <w:rsid w:val="00596A0B"/>
    <w:rsid w:val="00596E05"/>
    <w:rsid w:val="005970FA"/>
    <w:rsid w:val="005A2298"/>
    <w:rsid w:val="005A3508"/>
    <w:rsid w:val="005A72FC"/>
    <w:rsid w:val="005B0388"/>
    <w:rsid w:val="005B0DEB"/>
    <w:rsid w:val="005B109A"/>
    <w:rsid w:val="005B333F"/>
    <w:rsid w:val="005B4F13"/>
    <w:rsid w:val="005B5ECA"/>
    <w:rsid w:val="005C01CF"/>
    <w:rsid w:val="005C4187"/>
    <w:rsid w:val="005C5D48"/>
    <w:rsid w:val="005C7970"/>
    <w:rsid w:val="005D040A"/>
    <w:rsid w:val="005D2AB9"/>
    <w:rsid w:val="005D2E94"/>
    <w:rsid w:val="005D30A2"/>
    <w:rsid w:val="005D7417"/>
    <w:rsid w:val="005E05CA"/>
    <w:rsid w:val="005E1AC6"/>
    <w:rsid w:val="005E6960"/>
    <w:rsid w:val="005E6A2B"/>
    <w:rsid w:val="005F09AA"/>
    <w:rsid w:val="005F213E"/>
    <w:rsid w:val="006007F8"/>
    <w:rsid w:val="00601F02"/>
    <w:rsid w:val="00604751"/>
    <w:rsid w:val="006058BD"/>
    <w:rsid w:val="00606C57"/>
    <w:rsid w:val="006071C2"/>
    <w:rsid w:val="00610106"/>
    <w:rsid w:val="00613882"/>
    <w:rsid w:val="006167B1"/>
    <w:rsid w:val="00623F81"/>
    <w:rsid w:val="00624400"/>
    <w:rsid w:val="00625797"/>
    <w:rsid w:val="00626162"/>
    <w:rsid w:val="00633894"/>
    <w:rsid w:val="006413E9"/>
    <w:rsid w:val="00643893"/>
    <w:rsid w:val="00644AA6"/>
    <w:rsid w:val="006520DC"/>
    <w:rsid w:val="00653B1C"/>
    <w:rsid w:val="00653C40"/>
    <w:rsid w:val="00654291"/>
    <w:rsid w:val="0065545A"/>
    <w:rsid w:val="006574CF"/>
    <w:rsid w:val="00657791"/>
    <w:rsid w:val="00657CB5"/>
    <w:rsid w:val="0067166E"/>
    <w:rsid w:val="00671B95"/>
    <w:rsid w:val="00674CA0"/>
    <w:rsid w:val="00675A84"/>
    <w:rsid w:val="00676307"/>
    <w:rsid w:val="00676F10"/>
    <w:rsid w:val="00676F99"/>
    <w:rsid w:val="006801B9"/>
    <w:rsid w:val="006809F1"/>
    <w:rsid w:val="00682469"/>
    <w:rsid w:val="00686B5C"/>
    <w:rsid w:val="00691738"/>
    <w:rsid w:val="00692C68"/>
    <w:rsid w:val="0069352F"/>
    <w:rsid w:val="00695ED0"/>
    <w:rsid w:val="006B249E"/>
    <w:rsid w:val="006B6ACB"/>
    <w:rsid w:val="006B7117"/>
    <w:rsid w:val="006C3FEA"/>
    <w:rsid w:val="006C7EE5"/>
    <w:rsid w:val="006D01B3"/>
    <w:rsid w:val="006D5072"/>
    <w:rsid w:val="006D7CA2"/>
    <w:rsid w:val="006E0678"/>
    <w:rsid w:val="006E1E6C"/>
    <w:rsid w:val="006E5505"/>
    <w:rsid w:val="006F187B"/>
    <w:rsid w:val="006F240A"/>
    <w:rsid w:val="006F2FB3"/>
    <w:rsid w:val="006F62BC"/>
    <w:rsid w:val="006F643D"/>
    <w:rsid w:val="0070352E"/>
    <w:rsid w:val="0070540D"/>
    <w:rsid w:val="00714F3B"/>
    <w:rsid w:val="007166F7"/>
    <w:rsid w:val="00716AEF"/>
    <w:rsid w:val="00717076"/>
    <w:rsid w:val="00722D51"/>
    <w:rsid w:val="0072456B"/>
    <w:rsid w:val="00726E65"/>
    <w:rsid w:val="00727370"/>
    <w:rsid w:val="00727F54"/>
    <w:rsid w:val="0073503E"/>
    <w:rsid w:val="00735D9E"/>
    <w:rsid w:val="0074109C"/>
    <w:rsid w:val="007416D1"/>
    <w:rsid w:val="00744A8D"/>
    <w:rsid w:val="0075321E"/>
    <w:rsid w:val="007543B0"/>
    <w:rsid w:val="007568A9"/>
    <w:rsid w:val="00761514"/>
    <w:rsid w:val="00762215"/>
    <w:rsid w:val="00763CE7"/>
    <w:rsid w:val="00766510"/>
    <w:rsid w:val="00766DCE"/>
    <w:rsid w:val="0077639A"/>
    <w:rsid w:val="00776A1C"/>
    <w:rsid w:val="0078100C"/>
    <w:rsid w:val="00783BCB"/>
    <w:rsid w:val="00786F48"/>
    <w:rsid w:val="0078772C"/>
    <w:rsid w:val="007878E4"/>
    <w:rsid w:val="00787FFD"/>
    <w:rsid w:val="00790671"/>
    <w:rsid w:val="00793BC8"/>
    <w:rsid w:val="0079499D"/>
    <w:rsid w:val="00795F9B"/>
    <w:rsid w:val="007963BD"/>
    <w:rsid w:val="007A3DDD"/>
    <w:rsid w:val="007A497E"/>
    <w:rsid w:val="007A5191"/>
    <w:rsid w:val="007A6069"/>
    <w:rsid w:val="007A637C"/>
    <w:rsid w:val="007A7E4A"/>
    <w:rsid w:val="007B2878"/>
    <w:rsid w:val="007B3AE8"/>
    <w:rsid w:val="007B4418"/>
    <w:rsid w:val="007B5F62"/>
    <w:rsid w:val="007B66B3"/>
    <w:rsid w:val="007C08E8"/>
    <w:rsid w:val="007C0A62"/>
    <w:rsid w:val="007C12F3"/>
    <w:rsid w:val="007D0AD6"/>
    <w:rsid w:val="007D3AA0"/>
    <w:rsid w:val="007D3FE2"/>
    <w:rsid w:val="007D62F1"/>
    <w:rsid w:val="007D762E"/>
    <w:rsid w:val="007D7BE0"/>
    <w:rsid w:val="007E1828"/>
    <w:rsid w:val="007E4294"/>
    <w:rsid w:val="007F1593"/>
    <w:rsid w:val="007F30A8"/>
    <w:rsid w:val="00801ADB"/>
    <w:rsid w:val="008020EA"/>
    <w:rsid w:val="008022A4"/>
    <w:rsid w:val="00810603"/>
    <w:rsid w:val="00817710"/>
    <w:rsid w:val="00820D41"/>
    <w:rsid w:val="00820FEC"/>
    <w:rsid w:val="0082146C"/>
    <w:rsid w:val="00824AD0"/>
    <w:rsid w:val="0083200B"/>
    <w:rsid w:val="0083324D"/>
    <w:rsid w:val="00834888"/>
    <w:rsid w:val="00841733"/>
    <w:rsid w:val="0084226C"/>
    <w:rsid w:val="00844D38"/>
    <w:rsid w:val="00844D85"/>
    <w:rsid w:val="008524BE"/>
    <w:rsid w:val="00853BC2"/>
    <w:rsid w:val="00854278"/>
    <w:rsid w:val="00855F83"/>
    <w:rsid w:val="008601FF"/>
    <w:rsid w:val="0086236A"/>
    <w:rsid w:val="0087035A"/>
    <w:rsid w:val="00873A67"/>
    <w:rsid w:val="00877582"/>
    <w:rsid w:val="00882851"/>
    <w:rsid w:val="00882C82"/>
    <w:rsid w:val="00882DAD"/>
    <w:rsid w:val="008850F3"/>
    <w:rsid w:val="008874BA"/>
    <w:rsid w:val="00890CCF"/>
    <w:rsid w:val="008918F6"/>
    <w:rsid w:val="0089364E"/>
    <w:rsid w:val="008941C9"/>
    <w:rsid w:val="008949B1"/>
    <w:rsid w:val="0089575C"/>
    <w:rsid w:val="0089713E"/>
    <w:rsid w:val="00897CBB"/>
    <w:rsid w:val="00897DB7"/>
    <w:rsid w:val="008A20DB"/>
    <w:rsid w:val="008A23C6"/>
    <w:rsid w:val="008A4521"/>
    <w:rsid w:val="008A4B83"/>
    <w:rsid w:val="008B05D6"/>
    <w:rsid w:val="008B2350"/>
    <w:rsid w:val="008B2942"/>
    <w:rsid w:val="008B3A12"/>
    <w:rsid w:val="008C09C4"/>
    <w:rsid w:val="008C156B"/>
    <w:rsid w:val="008C1F44"/>
    <w:rsid w:val="008C3AE7"/>
    <w:rsid w:val="008C4081"/>
    <w:rsid w:val="008C4C82"/>
    <w:rsid w:val="008C6E0B"/>
    <w:rsid w:val="008E5CF5"/>
    <w:rsid w:val="008E6BCA"/>
    <w:rsid w:val="008E7710"/>
    <w:rsid w:val="00903F34"/>
    <w:rsid w:val="009044CC"/>
    <w:rsid w:val="00905C0A"/>
    <w:rsid w:val="00910D93"/>
    <w:rsid w:val="00913AC4"/>
    <w:rsid w:val="00915634"/>
    <w:rsid w:val="00915C5F"/>
    <w:rsid w:val="00916271"/>
    <w:rsid w:val="00922D8D"/>
    <w:rsid w:val="009247F5"/>
    <w:rsid w:val="00931F2F"/>
    <w:rsid w:val="009339A0"/>
    <w:rsid w:val="00937519"/>
    <w:rsid w:val="00941F6E"/>
    <w:rsid w:val="00942436"/>
    <w:rsid w:val="00946459"/>
    <w:rsid w:val="009530D2"/>
    <w:rsid w:val="00956F46"/>
    <w:rsid w:val="00957A1D"/>
    <w:rsid w:val="0096487B"/>
    <w:rsid w:val="00966362"/>
    <w:rsid w:val="00970641"/>
    <w:rsid w:val="00974ADA"/>
    <w:rsid w:val="009800CF"/>
    <w:rsid w:val="00982969"/>
    <w:rsid w:val="009834BF"/>
    <w:rsid w:val="00983FB0"/>
    <w:rsid w:val="00985537"/>
    <w:rsid w:val="00986693"/>
    <w:rsid w:val="00992D1E"/>
    <w:rsid w:val="0099797A"/>
    <w:rsid w:val="009A049B"/>
    <w:rsid w:val="009A06F5"/>
    <w:rsid w:val="009A0788"/>
    <w:rsid w:val="009A41C2"/>
    <w:rsid w:val="009A5FAF"/>
    <w:rsid w:val="009A7354"/>
    <w:rsid w:val="009B03DF"/>
    <w:rsid w:val="009B201A"/>
    <w:rsid w:val="009B69B9"/>
    <w:rsid w:val="009B6AF0"/>
    <w:rsid w:val="009B7A73"/>
    <w:rsid w:val="009C4747"/>
    <w:rsid w:val="009C55D2"/>
    <w:rsid w:val="009D0908"/>
    <w:rsid w:val="009D1035"/>
    <w:rsid w:val="009D3676"/>
    <w:rsid w:val="009D40A0"/>
    <w:rsid w:val="009D7D33"/>
    <w:rsid w:val="009E59A9"/>
    <w:rsid w:val="009E612F"/>
    <w:rsid w:val="009F0285"/>
    <w:rsid w:val="009F1547"/>
    <w:rsid w:val="009F56D3"/>
    <w:rsid w:val="009F59AA"/>
    <w:rsid w:val="009F5FAD"/>
    <w:rsid w:val="009F6AEB"/>
    <w:rsid w:val="009F7FED"/>
    <w:rsid w:val="00A0220F"/>
    <w:rsid w:val="00A066AE"/>
    <w:rsid w:val="00A1071A"/>
    <w:rsid w:val="00A1086D"/>
    <w:rsid w:val="00A15362"/>
    <w:rsid w:val="00A20F78"/>
    <w:rsid w:val="00A21DA7"/>
    <w:rsid w:val="00A25FC6"/>
    <w:rsid w:val="00A27DEE"/>
    <w:rsid w:val="00A36E74"/>
    <w:rsid w:val="00A3783F"/>
    <w:rsid w:val="00A43B93"/>
    <w:rsid w:val="00A474B0"/>
    <w:rsid w:val="00A47B89"/>
    <w:rsid w:val="00A50E73"/>
    <w:rsid w:val="00A54350"/>
    <w:rsid w:val="00A54AFD"/>
    <w:rsid w:val="00A564D5"/>
    <w:rsid w:val="00A60481"/>
    <w:rsid w:val="00A60F67"/>
    <w:rsid w:val="00A62113"/>
    <w:rsid w:val="00A67923"/>
    <w:rsid w:val="00A714B8"/>
    <w:rsid w:val="00A7600E"/>
    <w:rsid w:val="00A77155"/>
    <w:rsid w:val="00A80A13"/>
    <w:rsid w:val="00A82058"/>
    <w:rsid w:val="00A84F9E"/>
    <w:rsid w:val="00A85D5B"/>
    <w:rsid w:val="00A866F3"/>
    <w:rsid w:val="00A869B0"/>
    <w:rsid w:val="00A90A6A"/>
    <w:rsid w:val="00A90B59"/>
    <w:rsid w:val="00A9123F"/>
    <w:rsid w:val="00A925E0"/>
    <w:rsid w:val="00A92CB8"/>
    <w:rsid w:val="00A933D7"/>
    <w:rsid w:val="00A9375C"/>
    <w:rsid w:val="00A95BC9"/>
    <w:rsid w:val="00AA0150"/>
    <w:rsid w:val="00AA204C"/>
    <w:rsid w:val="00AA2D57"/>
    <w:rsid w:val="00AB143A"/>
    <w:rsid w:val="00AB382E"/>
    <w:rsid w:val="00AC2518"/>
    <w:rsid w:val="00AC4568"/>
    <w:rsid w:val="00AC48BC"/>
    <w:rsid w:val="00AC5CFD"/>
    <w:rsid w:val="00AC62C9"/>
    <w:rsid w:val="00AD3559"/>
    <w:rsid w:val="00AD7E16"/>
    <w:rsid w:val="00AE1A4A"/>
    <w:rsid w:val="00AE1E59"/>
    <w:rsid w:val="00AE33FF"/>
    <w:rsid w:val="00AE4438"/>
    <w:rsid w:val="00AF06D5"/>
    <w:rsid w:val="00AF09DD"/>
    <w:rsid w:val="00AF0B42"/>
    <w:rsid w:val="00AF5BAD"/>
    <w:rsid w:val="00AF7CF0"/>
    <w:rsid w:val="00B02655"/>
    <w:rsid w:val="00B02F48"/>
    <w:rsid w:val="00B05102"/>
    <w:rsid w:val="00B1098D"/>
    <w:rsid w:val="00B14861"/>
    <w:rsid w:val="00B16A34"/>
    <w:rsid w:val="00B250F2"/>
    <w:rsid w:val="00B26840"/>
    <w:rsid w:val="00B315AA"/>
    <w:rsid w:val="00B31B9C"/>
    <w:rsid w:val="00B357C3"/>
    <w:rsid w:val="00B36185"/>
    <w:rsid w:val="00B43826"/>
    <w:rsid w:val="00B45574"/>
    <w:rsid w:val="00B473BC"/>
    <w:rsid w:val="00B47907"/>
    <w:rsid w:val="00B51D01"/>
    <w:rsid w:val="00B52249"/>
    <w:rsid w:val="00B529F3"/>
    <w:rsid w:val="00B5544F"/>
    <w:rsid w:val="00B555F2"/>
    <w:rsid w:val="00B55E5D"/>
    <w:rsid w:val="00B60A36"/>
    <w:rsid w:val="00B62F53"/>
    <w:rsid w:val="00B66867"/>
    <w:rsid w:val="00B713B8"/>
    <w:rsid w:val="00B73E0C"/>
    <w:rsid w:val="00B74A49"/>
    <w:rsid w:val="00B75123"/>
    <w:rsid w:val="00B756AA"/>
    <w:rsid w:val="00B764C3"/>
    <w:rsid w:val="00B76F0B"/>
    <w:rsid w:val="00B83244"/>
    <w:rsid w:val="00B833EA"/>
    <w:rsid w:val="00B910B3"/>
    <w:rsid w:val="00B92275"/>
    <w:rsid w:val="00B94321"/>
    <w:rsid w:val="00B94786"/>
    <w:rsid w:val="00B97916"/>
    <w:rsid w:val="00BA00BE"/>
    <w:rsid w:val="00BA11DB"/>
    <w:rsid w:val="00BA3280"/>
    <w:rsid w:val="00BA57CC"/>
    <w:rsid w:val="00BA63E0"/>
    <w:rsid w:val="00BA7DC2"/>
    <w:rsid w:val="00BB26AD"/>
    <w:rsid w:val="00BB3155"/>
    <w:rsid w:val="00BB3D46"/>
    <w:rsid w:val="00BB5683"/>
    <w:rsid w:val="00BB6F07"/>
    <w:rsid w:val="00BB7BCE"/>
    <w:rsid w:val="00BC113A"/>
    <w:rsid w:val="00BC1AAB"/>
    <w:rsid w:val="00BC1B42"/>
    <w:rsid w:val="00BC5DE0"/>
    <w:rsid w:val="00BC7208"/>
    <w:rsid w:val="00BD0C52"/>
    <w:rsid w:val="00BD42ED"/>
    <w:rsid w:val="00BD4500"/>
    <w:rsid w:val="00BD4847"/>
    <w:rsid w:val="00BD7C68"/>
    <w:rsid w:val="00BE0634"/>
    <w:rsid w:val="00BE726C"/>
    <w:rsid w:val="00BF0685"/>
    <w:rsid w:val="00C0102D"/>
    <w:rsid w:val="00C01C9F"/>
    <w:rsid w:val="00C02808"/>
    <w:rsid w:val="00C03776"/>
    <w:rsid w:val="00C07AE3"/>
    <w:rsid w:val="00C10A65"/>
    <w:rsid w:val="00C10CA2"/>
    <w:rsid w:val="00C13821"/>
    <w:rsid w:val="00C15F73"/>
    <w:rsid w:val="00C2037B"/>
    <w:rsid w:val="00C24F64"/>
    <w:rsid w:val="00C30DA4"/>
    <w:rsid w:val="00C32C70"/>
    <w:rsid w:val="00C34BAC"/>
    <w:rsid w:val="00C3684E"/>
    <w:rsid w:val="00C45052"/>
    <w:rsid w:val="00C50108"/>
    <w:rsid w:val="00C508F9"/>
    <w:rsid w:val="00C515D3"/>
    <w:rsid w:val="00C56696"/>
    <w:rsid w:val="00C57DD5"/>
    <w:rsid w:val="00C616BF"/>
    <w:rsid w:val="00C6631D"/>
    <w:rsid w:val="00C75655"/>
    <w:rsid w:val="00C85ADB"/>
    <w:rsid w:val="00C868F6"/>
    <w:rsid w:val="00C87A74"/>
    <w:rsid w:val="00C9137C"/>
    <w:rsid w:val="00C93F2C"/>
    <w:rsid w:val="00C95CDC"/>
    <w:rsid w:val="00C9663B"/>
    <w:rsid w:val="00C96742"/>
    <w:rsid w:val="00CA62D4"/>
    <w:rsid w:val="00CB2979"/>
    <w:rsid w:val="00CB3362"/>
    <w:rsid w:val="00CB4F7C"/>
    <w:rsid w:val="00CB5BDC"/>
    <w:rsid w:val="00CB7302"/>
    <w:rsid w:val="00CC233F"/>
    <w:rsid w:val="00CC59AD"/>
    <w:rsid w:val="00CD159A"/>
    <w:rsid w:val="00CD75BB"/>
    <w:rsid w:val="00CE0F8F"/>
    <w:rsid w:val="00CE13BE"/>
    <w:rsid w:val="00CE150B"/>
    <w:rsid w:val="00CE15D9"/>
    <w:rsid w:val="00CE3546"/>
    <w:rsid w:val="00CE5D53"/>
    <w:rsid w:val="00CE7599"/>
    <w:rsid w:val="00CE7B7A"/>
    <w:rsid w:val="00CF0BEA"/>
    <w:rsid w:val="00CF3AAF"/>
    <w:rsid w:val="00CF5B47"/>
    <w:rsid w:val="00CF5BBD"/>
    <w:rsid w:val="00CF7CFA"/>
    <w:rsid w:val="00D0670A"/>
    <w:rsid w:val="00D079B3"/>
    <w:rsid w:val="00D16008"/>
    <w:rsid w:val="00D30CA0"/>
    <w:rsid w:val="00D31BE0"/>
    <w:rsid w:val="00D33D87"/>
    <w:rsid w:val="00D37156"/>
    <w:rsid w:val="00D4186D"/>
    <w:rsid w:val="00D46202"/>
    <w:rsid w:val="00D467AC"/>
    <w:rsid w:val="00D5204B"/>
    <w:rsid w:val="00D5226E"/>
    <w:rsid w:val="00D5285C"/>
    <w:rsid w:val="00D5348B"/>
    <w:rsid w:val="00D54C10"/>
    <w:rsid w:val="00D674A2"/>
    <w:rsid w:val="00D722DF"/>
    <w:rsid w:val="00D73190"/>
    <w:rsid w:val="00D75974"/>
    <w:rsid w:val="00D76392"/>
    <w:rsid w:val="00D83FFC"/>
    <w:rsid w:val="00D84675"/>
    <w:rsid w:val="00D967B3"/>
    <w:rsid w:val="00D97B06"/>
    <w:rsid w:val="00DA0215"/>
    <w:rsid w:val="00DA3AF3"/>
    <w:rsid w:val="00DA4724"/>
    <w:rsid w:val="00DA5455"/>
    <w:rsid w:val="00DA57A9"/>
    <w:rsid w:val="00DA5C2B"/>
    <w:rsid w:val="00DA6958"/>
    <w:rsid w:val="00DA7974"/>
    <w:rsid w:val="00DB222B"/>
    <w:rsid w:val="00DB34B3"/>
    <w:rsid w:val="00DB3E58"/>
    <w:rsid w:val="00DB5ABE"/>
    <w:rsid w:val="00DB5EFB"/>
    <w:rsid w:val="00DC2917"/>
    <w:rsid w:val="00DC38F9"/>
    <w:rsid w:val="00DC7E0C"/>
    <w:rsid w:val="00DD5BFE"/>
    <w:rsid w:val="00DE1703"/>
    <w:rsid w:val="00DE2C83"/>
    <w:rsid w:val="00DE3954"/>
    <w:rsid w:val="00DE3BF3"/>
    <w:rsid w:val="00DE4BB8"/>
    <w:rsid w:val="00DE7004"/>
    <w:rsid w:val="00DF1A11"/>
    <w:rsid w:val="00DF2A2E"/>
    <w:rsid w:val="00DF568D"/>
    <w:rsid w:val="00E00CCB"/>
    <w:rsid w:val="00E0270D"/>
    <w:rsid w:val="00E10F65"/>
    <w:rsid w:val="00E1218F"/>
    <w:rsid w:val="00E14145"/>
    <w:rsid w:val="00E16AD9"/>
    <w:rsid w:val="00E175A7"/>
    <w:rsid w:val="00E17713"/>
    <w:rsid w:val="00E20168"/>
    <w:rsid w:val="00E20740"/>
    <w:rsid w:val="00E20E92"/>
    <w:rsid w:val="00E24645"/>
    <w:rsid w:val="00E27722"/>
    <w:rsid w:val="00E30328"/>
    <w:rsid w:val="00E31852"/>
    <w:rsid w:val="00E337BC"/>
    <w:rsid w:val="00E34B99"/>
    <w:rsid w:val="00E350CD"/>
    <w:rsid w:val="00E537E7"/>
    <w:rsid w:val="00E5518C"/>
    <w:rsid w:val="00E56C51"/>
    <w:rsid w:val="00E6159D"/>
    <w:rsid w:val="00E63D10"/>
    <w:rsid w:val="00E65E6C"/>
    <w:rsid w:val="00E6689F"/>
    <w:rsid w:val="00E705B7"/>
    <w:rsid w:val="00E71A89"/>
    <w:rsid w:val="00E74756"/>
    <w:rsid w:val="00E74B7B"/>
    <w:rsid w:val="00E7534A"/>
    <w:rsid w:val="00E8117C"/>
    <w:rsid w:val="00E82F5E"/>
    <w:rsid w:val="00E91948"/>
    <w:rsid w:val="00E92939"/>
    <w:rsid w:val="00E92A0F"/>
    <w:rsid w:val="00E95CF1"/>
    <w:rsid w:val="00EA0F91"/>
    <w:rsid w:val="00EA2CA0"/>
    <w:rsid w:val="00EB055B"/>
    <w:rsid w:val="00EB4245"/>
    <w:rsid w:val="00EB4779"/>
    <w:rsid w:val="00EB62E9"/>
    <w:rsid w:val="00EC04AD"/>
    <w:rsid w:val="00EC1212"/>
    <w:rsid w:val="00EC1ACA"/>
    <w:rsid w:val="00EC1D3D"/>
    <w:rsid w:val="00EC4679"/>
    <w:rsid w:val="00EC5855"/>
    <w:rsid w:val="00EC677E"/>
    <w:rsid w:val="00EC7E67"/>
    <w:rsid w:val="00ED1F57"/>
    <w:rsid w:val="00ED300A"/>
    <w:rsid w:val="00ED4372"/>
    <w:rsid w:val="00EE08F5"/>
    <w:rsid w:val="00EE0B3E"/>
    <w:rsid w:val="00EE51F2"/>
    <w:rsid w:val="00EE5789"/>
    <w:rsid w:val="00EF049C"/>
    <w:rsid w:val="00EF5449"/>
    <w:rsid w:val="00EF67E3"/>
    <w:rsid w:val="00F00CF8"/>
    <w:rsid w:val="00F01C4C"/>
    <w:rsid w:val="00F02912"/>
    <w:rsid w:val="00F06DE5"/>
    <w:rsid w:val="00F06F0D"/>
    <w:rsid w:val="00F12986"/>
    <w:rsid w:val="00F13036"/>
    <w:rsid w:val="00F16786"/>
    <w:rsid w:val="00F2087C"/>
    <w:rsid w:val="00F24D75"/>
    <w:rsid w:val="00F251F0"/>
    <w:rsid w:val="00F261E3"/>
    <w:rsid w:val="00F276AE"/>
    <w:rsid w:val="00F304E4"/>
    <w:rsid w:val="00F30D53"/>
    <w:rsid w:val="00F3104D"/>
    <w:rsid w:val="00F32246"/>
    <w:rsid w:val="00F34F33"/>
    <w:rsid w:val="00F37B6B"/>
    <w:rsid w:val="00F4217A"/>
    <w:rsid w:val="00F46151"/>
    <w:rsid w:val="00F5072C"/>
    <w:rsid w:val="00F514BB"/>
    <w:rsid w:val="00F53B24"/>
    <w:rsid w:val="00F55671"/>
    <w:rsid w:val="00F56DB8"/>
    <w:rsid w:val="00F578A1"/>
    <w:rsid w:val="00F61B10"/>
    <w:rsid w:val="00F61C64"/>
    <w:rsid w:val="00F6480E"/>
    <w:rsid w:val="00F657E5"/>
    <w:rsid w:val="00F708C9"/>
    <w:rsid w:val="00F71283"/>
    <w:rsid w:val="00F715B3"/>
    <w:rsid w:val="00F82D32"/>
    <w:rsid w:val="00F82E85"/>
    <w:rsid w:val="00F904A9"/>
    <w:rsid w:val="00F91EEC"/>
    <w:rsid w:val="00F97B8B"/>
    <w:rsid w:val="00FA3CDB"/>
    <w:rsid w:val="00FA5451"/>
    <w:rsid w:val="00FB0249"/>
    <w:rsid w:val="00FB1EC0"/>
    <w:rsid w:val="00FB2246"/>
    <w:rsid w:val="00FB3DC5"/>
    <w:rsid w:val="00FB5396"/>
    <w:rsid w:val="00FB5DD2"/>
    <w:rsid w:val="00FB7F0C"/>
    <w:rsid w:val="00FC06BA"/>
    <w:rsid w:val="00FD182D"/>
    <w:rsid w:val="00FD3C14"/>
    <w:rsid w:val="00FD4399"/>
    <w:rsid w:val="00FD663A"/>
    <w:rsid w:val="00FD6657"/>
    <w:rsid w:val="00FD68B1"/>
    <w:rsid w:val="00FE63BD"/>
    <w:rsid w:val="00FE640B"/>
    <w:rsid w:val="00FF1A54"/>
    <w:rsid w:val="00FF22AE"/>
    <w:rsid w:val="00FF3773"/>
    <w:rsid w:val="00FF5E28"/>
    <w:rsid w:val="00FF6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508"/>
    <w:pPr>
      <w:tabs>
        <w:tab w:val="center" w:pos="4680"/>
        <w:tab w:val="right" w:pos="9360"/>
      </w:tabs>
    </w:pPr>
  </w:style>
  <w:style w:type="character" w:customStyle="1" w:styleId="HeaderChar">
    <w:name w:val="Header Char"/>
    <w:basedOn w:val="DefaultParagraphFont"/>
    <w:link w:val="Header"/>
    <w:uiPriority w:val="99"/>
    <w:semiHidden/>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table" w:styleId="TableGrid">
    <w:name w:val="Table Grid"/>
    <w:basedOn w:val="TableNormal"/>
    <w:uiPriority w:val="59"/>
    <w:rsid w:val="009A73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F22AE"/>
    <w:pPr>
      <w:spacing w:line="360" w:lineRule="auto"/>
      <w:jc w:val="both"/>
    </w:pPr>
    <w:rPr>
      <w:rFonts w:eastAsia="SimSun"/>
      <w:sz w:val="26"/>
      <w:szCs w:val="20"/>
    </w:rPr>
  </w:style>
  <w:style w:type="character" w:customStyle="1" w:styleId="BodyTextChar">
    <w:name w:val="Body Text Char"/>
    <w:basedOn w:val="DefaultParagraphFont"/>
    <w:link w:val="BodyText"/>
    <w:rsid w:val="00FF22AE"/>
    <w:rPr>
      <w:rFonts w:ascii="Times New Roman" w:eastAsia="SimSun" w:hAnsi="Times New Roman" w:cs="Times New Roman"/>
      <w:sz w:val="26"/>
      <w:szCs w:val="20"/>
    </w:rPr>
  </w:style>
  <w:style w:type="paragraph" w:styleId="FootnoteText">
    <w:name w:val="footnote text"/>
    <w:basedOn w:val="Normal"/>
    <w:link w:val="FootnoteTextChar"/>
    <w:uiPriority w:val="99"/>
    <w:semiHidden/>
    <w:unhideWhenUsed/>
    <w:rsid w:val="008E6BCA"/>
    <w:rPr>
      <w:sz w:val="20"/>
      <w:szCs w:val="20"/>
    </w:rPr>
  </w:style>
  <w:style w:type="character" w:customStyle="1" w:styleId="FootnoteTextChar">
    <w:name w:val="Footnote Text Char"/>
    <w:basedOn w:val="DefaultParagraphFont"/>
    <w:link w:val="FootnoteText"/>
    <w:uiPriority w:val="99"/>
    <w:semiHidden/>
    <w:rsid w:val="008E6B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6BC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9E70-8DE1-4C93-AE99-B457E99CE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joyce marie farner</cp:lastModifiedBy>
  <cp:revision>3</cp:revision>
  <cp:lastPrinted>2011-07-05T13:00:00Z</cp:lastPrinted>
  <dcterms:created xsi:type="dcterms:W3CDTF">2011-06-14T15:02:00Z</dcterms:created>
  <dcterms:modified xsi:type="dcterms:W3CDTF">2011-07-05T13:00:00Z</dcterms:modified>
</cp:coreProperties>
</file>