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9C4823" w:rsidRDefault="009C4823" w:rsidP="003B1503">
      <w:pPr>
        <w:rPr>
          <w:sz w:val="24"/>
          <w:szCs w:val="24"/>
        </w:rPr>
      </w:pPr>
    </w:p>
    <w:p w:rsidR="009C4823" w:rsidRPr="005A0C0F" w:rsidRDefault="009C4823" w:rsidP="009C4823">
      <w:pPr>
        <w:pStyle w:val="NoSpacing"/>
        <w:rPr>
          <w:sz w:val="24"/>
          <w:szCs w:val="24"/>
        </w:rPr>
      </w:pPr>
      <w:r>
        <w:rPr>
          <w:rFonts w:ascii="Times New Roman" w:hAnsi="Times New Roman" w:cs="Times New Roman"/>
          <w:sz w:val="24"/>
          <w:szCs w:val="24"/>
        </w:rPr>
        <w:t>Guntram Weissenberger, et al.</w:t>
      </w:r>
      <w:r>
        <w:rPr>
          <w:sz w:val="24"/>
          <w:szCs w:val="24"/>
        </w:rPr>
        <w:tab/>
      </w:r>
      <w:r>
        <w:rPr>
          <w:sz w:val="24"/>
          <w:szCs w:val="24"/>
        </w:rPr>
        <w:tab/>
      </w:r>
      <w:r>
        <w:rPr>
          <w:sz w:val="24"/>
          <w:szCs w:val="24"/>
        </w:rPr>
        <w:tab/>
      </w:r>
      <w:r w:rsidRPr="005A0C0F">
        <w:rPr>
          <w:sz w:val="24"/>
          <w:szCs w:val="24"/>
        </w:rPr>
        <w:t>:</w:t>
      </w:r>
    </w:p>
    <w:p w:rsidR="009C4823" w:rsidRPr="005A0C0F" w:rsidRDefault="009C4823" w:rsidP="009C4823">
      <w:pPr>
        <w:rPr>
          <w:sz w:val="24"/>
          <w:szCs w:val="24"/>
        </w:rPr>
      </w:pP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Pr>
          <w:sz w:val="24"/>
          <w:szCs w:val="24"/>
        </w:rPr>
        <w:tab/>
      </w:r>
      <w:r>
        <w:rPr>
          <w:sz w:val="24"/>
          <w:szCs w:val="24"/>
        </w:rPr>
        <w:tab/>
      </w:r>
      <w:r w:rsidRPr="005A0C0F">
        <w:rPr>
          <w:sz w:val="24"/>
          <w:szCs w:val="24"/>
        </w:rPr>
        <w:t>:</w:t>
      </w:r>
    </w:p>
    <w:p w:rsidR="009C4823" w:rsidRPr="005A0C0F" w:rsidRDefault="009C4823" w:rsidP="009C4823">
      <w:pPr>
        <w:rPr>
          <w:sz w:val="24"/>
          <w:szCs w:val="24"/>
        </w:rPr>
      </w:pPr>
      <w:r w:rsidRPr="005A0C0F">
        <w:rPr>
          <w:sz w:val="24"/>
          <w:szCs w:val="24"/>
        </w:rPr>
        <w:tab/>
        <w:t>v.</w:t>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t>:</w:t>
      </w:r>
      <w:r w:rsidRPr="005A0C0F">
        <w:rPr>
          <w:sz w:val="24"/>
          <w:szCs w:val="24"/>
        </w:rPr>
        <w:tab/>
        <w:t>Docket No. C-20</w:t>
      </w:r>
      <w:r>
        <w:rPr>
          <w:sz w:val="24"/>
          <w:szCs w:val="24"/>
        </w:rPr>
        <w:t>10</w:t>
      </w:r>
      <w:r w:rsidRPr="005A0C0F">
        <w:rPr>
          <w:sz w:val="24"/>
          <w:szCs w:val="24"/>
        </w:rPr>
        <w:t>-21</w:t>
      </w:r>
      <w:r>
        <w:rPr>
          <w:sz w:val="24"/>
          <w:szCs w:val="24"/>
        </w:rPr>
        <w:t>82281</w:t>
      </w:r>
    </w:p>
    <w:p w:rsidR="009C4823" w:rsidRPr="005A0C0F" w:rsidRDefault="009C4823" w:rsidP="009C4823">
      <w:pPr>
        <w:rPr>
          <w:sz w:val="24"/>
          <w:szCs w:val="24"/>
        </w:rPr>
      </w:pP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r>
      <w:r w:rsidRPr="005A0C0F">
        <w:rPr>
          <w:sz w:val="24"/>
          <w:szCs w:val="24"/>
        </w:rPr>
        <w:tab/>
        <w:t>:</w:t>
      </w:r>
    </w:p>
    <w:p w:rsidR="009C4823" w:rsidRPr="005A0C0F" w:rsidRDefault="009C4823" w:rsidP="009C4823">
      <w:pPr>
        <w:rPr>
          <w:sz w:val="24"/>
          <w:szCs w:val="24"/>
        </w:rPr>
      </w:pPr>
      <w:r w:rsidRPr="005A0C0F">
        <w:rPr>
          <w:sz w:val="24"/>
          <w:szCs w:val="24"/>
        </w:rPr>
        <w:t>P</w:t>
      </w:r>
      <w:r>
        <w:rPr>
          <w:sz w:val="24"/>
          <w:szCs w:val="24"/>
        </w:rPr>
        <w:t>ECO Energy Company</w:t>
      </w:r>
      <w:r>
        <w:rPr>
          <w:sz w:val="24"/>
          <w:szCs w:val="24"/>
        </w:rPr>
        <w:tab/>
      </w:r>
      <w:r w:rsidRPr="005A0C0F">
        <w:rPr>
          <w:sz w:val="24"/>
          <w:szCs w:val="24"/>
        </w:rPr>
        <w:tab/>
      </w:r>
      <w:r w:rsidRPr="005A0C0F">
        <w:rPr>
          <w:sz w:val="24"/>
          <w:szCs w:val="24"/>
        </w:rPr>
        <w:tab/>
      </w:r>
      <w:r w:rsidRPr="005A0C0F">
        <w:rPr>
          <w:sz w:val="24"/>
          <w:szCs w:val="24"/>
        </w:rPr>
        <w:tab/>
        <w:t>:</w:t>
      </w:r>
    </w:p>
    <w:p w:rsidR="009C4823" w:rsidRDefault="009C4823" w:rsidP="003B1503">
      <w:pPr>
        <w:rPr>
          <w:sz w:val="24"/>
          <w:szCs w:val="24"/>
        </w:rPr>
      </w:pPr>
    </w:p>
    <w:p w:rsidR="009C4823" w:rsidRDefault="009C4823" w:rsidP="003B1503">
      <w:pPr>
        <w:rPr>
          <w:sz w:val="24"/>
          <w:szCs w:val="24"/>
        </w:rPr>
      </w:pPr>
    </w:p>
    <w:p w:rsidR="00466F8B" w:rsidRPr="00C81100" w:rsidRDefault="00466F8B" w:rsidP="00C81100">
      <w:pPr>
        <w:rPr>
          <w:sz w:val="24"/>
          <w:szCs w:val="24"/>
        </w:rPr>
      </w:pPr>
    </w:p>
    <w:p w:rsidR="00A01330" w:rsidRDefault="00A01330" w:rsidP="00C81100">
      <w:pPr>
        <w:rPr>
          <w:sz w:val="24"/>
          <w:szCs w:val="24"/>
        </w:rPr>
      </w:pPr>
    </w:p>
    <w:p w:rsidR="00CB60AD" w:rsidRDefault="00E16C06" w:rsidP="00CB60AD">
      <w:pPr>
        <w:jc w:val="center"/>
        <w:rPr>
          <w:b/>
          <w:sz w:val="24"/>
          <w:szCs w:val="24"/>
          <w:u w:val="single"/>
        </w:rPr>
      </w:pPr>
      <w:r w:rsidRPr="00E16C06">
        <w:rPr>
          <w:b/>
          <w:sz w:val="24"/>
          <w:szCs w:val="24"/>
          <w:u w:val="single"/>
        </w:rPr>
        <w:t xml:space="preserve">ORDER </w:t>
      </w:r>
      <w:r w:rsidR="00CB60AD">
        <w:rPr>
          <w:b/>
          <w:sz w:val="24"/>
          <w:szCs w:val="24"/>
          <w:u w:val="single"/>
        </w:rPr>
        <w:t>DENYING IN PART AND GRANTING IN PART</w:t>
      </w:r>
      <w:r w:rsidR="009A01B1">
        <w:rPr>
          <w:b/>
          <w:sz w:val="24"/>
          <w:szCs w:val="24"/>
          <w:u w:val="single"/>
        </w:rPr>
        <w:t xml:space="preserve"> THE</w:t>
      </w:r>
    </w:p>
    <w:p w:rsidR="00E16C06" w:rsidRPr="00E16C06" w:rsidRDefault="00CB60AD" w:rsidP="00CB60AD">
      <w:pPr>
        <w:jc w:val="center"/>
        <w:rPr>
          <w:sz w:val="24"/>
          <w:szCs w:val="24"/>
        </w:rPr>
      </w:pPr>
      <w:r>
        <w:rPr>
          <w:b/>
          <w:sz w:val="24"/>
          <w:szCs w:val="24"/>
          <w:u w:val="single"/>
        </w:rPr>
        <w:t xml:space="preserve"> PETITION TO WITHDRAW COMPLAINT</w:t>
      </w:r>
      <w:r w:rsidR="009A01B1">
        <w:rPr>
          <w:b/>
          <w:sz w:val="24"/>
          <w:szCs w:val="24"/>
          <w:u w:val="single"/>
        </w:rPr>
        <w:t xml:space="preserve"> OF GUNTRAM WEISSENBERGER, ET AL., AND SUSTAINING THE SECOND PRELIMINARY OBJECTION OF PECO ENERGY COMPANY</w:t>
      </w:r>
    </w:p>
    <w:p w:rsidR="00E16C06" w:rsidRPr="00E16C06" w:rsidRDefault="00E16C06" w:rsidP="00E16C06">
      <w:pPr>
        <w:rPr>
          <w:sz w:val="24"/>
          <w:szCs w:val="24"/>
        </w:rPr>
      </w:pPr>
    </w:p>
    <w:p w:rsidR="00CB60AD" w:rsidRDefault="00E16C06" w:rsidP="00E16C06">
      <w:pPr>
        <w:spacing w:line="360" w:lineRule="auto"/>
        <w:rPr>
          <w:sz w:val="24"/>
          <w:szCs w:val="24"/>
        </w:rPr>
      </w:pPr>
      <w:r w:rsidRPr="00E16C06">
        <w:rPr>
          <w:sz w:val="24"/>
          <w:szCs w:val="24"/>
        </w:rPr>
        <w:tab/>
      </w:r>
      <w:r w:rsidRPr="00E16C06">
        <w:rPr>
          <w:sz w:val="24"/>
          <w:szCs w:val="24"/>
        </w:rPr>
        <w:tab/>
      </w:r>
    </w:p>
    <w:p w:rsidR="00827446" w:rsidRPr="00827446" w:rsidRDefault="00827446" w:rsidP="00827446">
      <w:pPr>
        <w:spacing w:line="360" w:lineRule="auto"/>
        <w:jc w:val="center"/>
        <w:rPr>
          <w:sz w:val="24"/>
          <w:szCs w:val="24"/>
          <w:u w:val="single"/>
        </w:rPr>
      </w:pPr>
      <w:r w:rsidRPr="00827446">
        <w:rPr>
          <w:sz w:val="24"/>
          <w:szCs w:val="24"/>
          <w:u w:val="single"/>
        </w:rPr>
        <w:t>HISTORY</w:t>
      </w:r>
    </w:p>
    <w:p w:rsidR="00827446" w:rsidRDefault="00827446" w:rsidP="008514E6">
      <w:pPr>
        <w:spacing w:line="360" w:lineRule="auto"/>
        <w:rPr>
          <w:sz w:val="24"/>
          <w:szCs w:val="24"/>
        </w:rPr>
      </w:pPr>
      <w:r>
        <w:rPr>
          <w:sz w:val="24"/>
          <w:szCs w:val="24"/>
        </w:rPr>
        <w:tab/>
      </w:r>
      <w:r>
        <w:rPr>
          <w:sz w:val="24"/>
          <w:szCs w:val="24"/>
        </w:rPr>
        <w:tab/>
      </w:r>
    </w:p>
    <w:p w:rsidR="00827446" w:rsidRDefault="00827446" w:rsidP="008514E6">
      <w:pPr>
        <w:spacing w:line="360" w:lineRule="auto"/>
        <w:rPr>
          <w:sz w:val="24"/>
          <w:szCs w:val="24"/>
        </w:rPr>
      </w:pPr>
      <w:r>
        <w:rPr>
          <w:sz w:val="24"/>
          <w:szCs w:val="24"/>
        </w:rPr>
        <w:tab/>
      </w:r>
      <w:r>
        <w:rPr>
          <w:sz w:val="24"/>
          <w:szCs w:val="24"/>
        </w:rPr>
        <w:tab/>
        <w:t>To understand this Order, it is necessary to review the somewhat involved History of this proceeding.</w:t>
      </w:r>
    </w:p>
    <w:p w:rsidR="00827446" w:rsidRDefault="00827446" w:rsidP="008514E6">
      <w:pPr>
        <w:spacing w:line="360" w:lineRule="auto"/>
        <w:rPr>
          <w:sz w:val="24"/>
          <w:szCs w:val="24"/>
        </w:rPr>
      </w:pPr>
    </w:p>
    <w:p w:rsidR="00D70DCE" w:rsidRPr="00D70DCE" w:rsidRDefault="00827446" w:rsidP="008514E6">
      <w:pPr>
        <w:spacing w:line="360" w:lineRule="auto"/>
        <w:rPr>
          <w:sz w:val="24"/>
          <w:szCs w:val="24"/>
        </w:rPr>
      </w:pPr>
      <w:r>
        <w:rPr>
          <w:sz w:val="24"/>
          <w:szCs w:val="24"/>
        </w:rPr>
        <w:tab/>
      </w:r>
      <w:r>
        <w:rPr>
          <w:sz w:val="24"/>
          <w:szCs w:val="24"/>
        </w:rPr>
        <w:tab/>
      </w:r>
      <w:r w:rsidR="00D70DCE" w:rsidRPr="00D70DCE">
        <w:rPr>
          <w:sz w:val="24"/>
          <w:szCs w:val="24"/>
        </w:rPr>
        <w:t>This matter had its genesis in a civil complaint filed in the Court of Common Pleas of Delaware County by Guntram Weissenberger, Panonia Associates, L.P. and 27 Summit Trace, LLC (Complainants) against PECO Energy Company (PECO) on May 30, 2008.  PECO filed preliminary objections to the civil complaint on jurisdictional grounds and asked that all liability issues be brought before the Pennsylvania Public Utility Commission (Commission).</w:t>
      </w:r>
    </w:p>
    <w:p w:rsidR="00D70DCE" w:rsidRPr="00D70DCE" w:rsidRDefault="00D70DCE" w:rsidP="008514E6">
      <w:pPr>
        <w:spacing w:line="360" w:lineRule="auto"/>
        <w:rPr>
          <w:sz w:val="24"/>
          <w:szCs w:val="24"/>
        </w:rPr>
      </w:pPr>
    </w:p>
    <w:p w:rsidR="00D70DCE" w:rsidRPr="00D70DCE" w:rsidRDefault="00D70DCE" w:rsidP="00D70DCE">
      <w:pPr>
        <w:spacing w:line="360" w:lineRule="auto"/>
        <w:rPr>
          <w:sz w:val="24"/>
          <w:szCs w:val="24"/>
        </w:rPr>
      </w:pPr>
      <w:r w:rsidRPr="00D70DCE">
        <w:rPr>
          <w:sz w:val="24"/>
          <w:szCs w:val="24"/>
        </w:rPr>
        <w:tab/>
      </w:r>
      <w:r w:rsidRPr="00D70DCE">
        <w:rPr>
          <w:sz w:val="24"/>
          <w:szCs w:val="24"/>
        </w:rPr>
        <w:tab/>
        <w:t>On January 26, 2010, the Delaware County Court of Common Pleas issued an Interlocutory Order sustaining PECO’s preliminary objections and bifurcating liability issues and issues related to damages and stayed all other issues until the Commission rules on the liability issues in this case.</w:t>
      </w:r>
    </w:p>
    <w:p w:rsidR="00D70DCE" w:rsidRPr="00D70DCE" w:rsidRDefault="00D70DCE" w:rsidP="00D70DCE">
      <w:pPr>
        <w:spacing w:line="360" w:lineRule="auto"/>
        <w:rPr>
          <w:sz w:val="24"/>
          <w:szCs w:val="24"/>
        </w:rPr>
      </w:pPr>
    </w:p>
    <w:p w:rsidR="00D70DCE" w:rsidRPr="00D70DCE" w:rsidRDefault="00D70DCE" w:rsidP="00D70DCE">
      <w:pPr>
        <w:spacing w:line="360" w:lineRule="auto"/>
        <w:rPr>
          <w:sz w:val="24"/>
          <w:szCs w:val="24"/>
        </w:rPr>
      </w:pPr>
      <w:r w:rsidRPr="00D70DCE">
        <w:rPr>
          <w:sz w:val="24"/>
          <w:szCs w:val="24"/>
        </w:rPr>
        <w:lastRenderedPageBreak/>
        <w:tab/>
      </w:r>
      <w:r w:rsidRPr="00D70DCE">
        <w:rPr>
          <w:sz w:val="24"/>
          <w:szCs w:val="24"/>
        </w:rPr>
        <w:tab/>
        <w:t xml:space="preserve">On February 24, 2010, the Complainants filed a Motion in the Delaware County Court of Common Pleas asking that </w:t>
      </w:r>
      <w:r w:rsidR="00827446">
        <w:rPr>
          <w:sz w:val="24"/>
          <w:szCs w:val="24"/>
        </w:rPr>
        <w:t>C</w:t>
      </w:r>
      <w:r w:rsidRPr="00D70DCE">
        <w:rPr>
          <w:sz w:val="24"/>
          <w:szCs w:val="24"/>
        </w:rPr>
        <w:t>ourt to amend its January 26, 2010 order to certify to the Pennsylvania Commonwealth Court that the January 26, 2010 order involved a controlling question of law and that an immediate appeal from that order would materially advance the ultimate termination of the case under Section 702(b) of the Judicial Code, 42 Pa. C.S. § 702(b).</w:t>
      </w:r>
    </w:p>
    <w:p w:rsidR="00D70DCE" w:rsidRPr="00D70DCE" w:rsidRDefault="00D70DCE" w:rsidP="00D70DCE">
      <w:pPr>
        <w:spacing w:line="360" w:lineRule="auto"/>
        <w:rPr>
          <w:sz w:val="24"/>
          <w:szCs w:val="24"/>
        </w:rPr>
      </w:pPr>
    </w:p>
    <w:p w:rsidR="00D70DCE" w:rsidRPr="00D70DCE" w:rsidRDefault="00D70DCE" w:rsidP="00D70DCE">
      <w:pPr>
        <w:spacing w:line="360" w:lineRule="auto"/>
        <w:rPr>
          <w:sz w:val="24"/>
          <w:szCs w:val="24"/>
        </w:rPr>
      </w:pPr>
      <w:r w:rsidRPr="00D70DCE">
        <w:rPr>
          <w:sz w:val="24"/>
          <w:szCs w:val="24"/>
        </w:rPr>
        <w:tab/>
      </w:r>
      <w:r w:rsidRPr="00D70DCE">
        <w:rPr>
          <w:sz w:val="24"/>
          <w:szCs w:val="24"/>
        </w:rPr>
        <w:tab/>
      </w:r>
      <w:r w:rsidR="00F765A5">
        <w:rPr>
          <w:sz w:val="24"/>
          <w:szCs w:val="24"/>
        </w:rPr>
        <w:t>On March 26, 2010, the C</w:t>
      </w:r>
      <w:r w:rsidRPr="00D70DCE">
        <w:rPr>
          <w:sz w:val="24"/>
          <w:szCs w:val="24"/>
        </w:rPr>
        <w:t>ourt granted Complainants’ Motion, and on April 29, 2010, the Complainants filed a Petition for Permission to Appeal an Interlocutory Order with the Commonwealth Court at Docket No. 774, CD 2010.</w:t>
      </w:r>
      <w:r w:rsidRPr="00D70DCE">
        <w:rPr>
          <w:sz w:val="24"/>
          <w:szCs w:val="24"/>
          <w:vertAlign w:val="superscript"/>
        </w:rPr>
        <w:footnoteReference w:id="1"/>
      </w:r>
    </w:p>
    <w:p w:rsidR="00D70DCE" w:rsidRPr="00D70DCE" w:rsidRDefault="00D70DCE" w:rsidP="00D70DCE">
      <w:pPr>
        <w:spacing w:line="360" w:lineRule="auto"/>
        <w:rPr>
          <w:sz w:val="24"/>
          <w:szCs w:val="24"/>
        </w:rPr>
      </w:pPr>
    </w:p>
    <w:p w:rsidR="00D70DCE" w:rsidRPr="00D70DCE" w:rsidRDefault="00D70DCE" w:rsidP="00D70DCE">
      <w:pPr>
        <w:spacing w:line="360" w:lineRule="auto"/>
        <w:rPr>
          <w:sz w:val="24"/>
          <w:szCs w:val="24"/>
        </w:rPr>
      </w:pPr>
      <w:r w:rsidRPr="00D70DCE">
        <w:rPr>
          <w:sz w:val="24"/>
          <w:szCs w:val="24"/>
        </w:rPr>
        <w:tab/>
      </w:r>
      <w:r w:rsidRPr="00D70DCE">
        <w:rPr>
          <w:sz w:val="24"/>
          <w:szCs w:val="24"/>
        </w:rPr>
        <w:tab/>
        <w:t>On May 13, 2010, the Commonwealth Court entered an Order denying the Complainants’ Petition for Allowance of Appeal.</w:t>
      </w:r>
    </w:p>
    <w:p w:rsidR="00D70DCE" w:rsidRPr="00D70DCE" w:rsidRDefault="00D70DCE" w:rsidP="00D70DCE">
      <w:pPr>
        <w:spacing w:line="360" w:lineRule="auto"/>
        <w:rPr>
          <w:sz w:val="24"/>
          <w:szCs w:val="24"/>
        </w:rPr>
      </w:pPr>
    </w:p>
    <w:p w:rsidR="00D70DCE" w:rsidRPr="00D70DCE" w:rsidRDefault="00D70DCE" w:rsidP="00D70DCE">
      <w:pPr>
        <w:spacing w:line="360" w:lineRule="auto"/>
        <w:rPr>
          <w:sz w:val="24"/>
          <w:szCs w:val="24"/>
        </w:rPr>
      </w:pPr>
      <w:r w:rsidRPr="00D70DCE">
        <w:rPr>
          <w:sz w:val="24"/>
          <w:szCs w:val="24"/>
        </w:rPr>
        <w:tab/>
      </w:r>
      <w:r w:rsidRPr="00D70DCE">
        <w:rPr>
          <w:sz w:val="24"/>
          <w:szCs w:val="24"/>
        </w:rPr>
        <w:tab/>
        <w:t>On June 14, 2010, the Complainants filed a formal Complaint with the Commission against PECO.  In that Complaint, the Complainants’ stated that the issue of law to be determined is whether the Complainants are “Landlord Ratepayers” under the provisions of the Pennsylvania Public Utility Code at 66 Pa. C.S. § 1521.  In that Complaint, the Complainants provide</w:t>
      </w:r>
      <w:r w:rsidR="00F765A5">
        <w:rPr>
          <w:sz w:val="24"/>
          <w:szCs w:val="24"/>
        </w:rPr>
        <w:t>d</w:t>
      </w:r>
      <w:r w:rsidRPr="00D70DCE">
        <w:rPr>
          <w:sz w:val="24"/>
          <w:szCs w:val="24"/>
        </w:rPr>
        <w:t xml:space="preserve"> an extended narration of the facts in this case as Complainants see them.  Complainants ask</w:t>
      </w:r>
      <w:r w:rsidR="00F765A5">
        <w:rPr>
          <w:sz w:val="24"/>
          <w:szCs w:val="24"/>
        </w:rPr>
        <w:t>ed</w:t>
      </w:r>
      <w:r w:rsidRPr="00D70DCE">
        <w:rPr>
          <w:sz w:val="24"/>
          <w:szCs w:val="24"/>
        </w:rPr>
        <w:t xml:space="preserve"> that liability issues in this case be determined by the Commission.</w:t>
      </w:r>
    </w:p>
    <w:p w:rsidR="00D70DCE" w:rsidRPr="00D70DCE" w:rsidRDefault="00D70DCE" w:rsidP="00D70DCE">
      <w:pPr>
        <w:spacing w:line="360" w:lineRule="auto"/>
        <w:rPr>
          <w:sz w:val="24"/>
          <w:szCs w:val="24"/>
        </w:rPr>
      </w:pPr>
    </w:p>
    <w:p w:rsidR="00D70DCE" w:rsidRPr="00D70DCE" w:rsidRDefault="00D70DCE" w:rsidP="00D70DCE">
      <w:pPr>
        <w:spacing w:line="360" w:lineRule="auto"/>
        <w:rPr>
          <w:sz w:val="24"/>
          <w:szCs w:val="24"/>
        </w:rPr>
      </w:pPr>
      <w:r w:rsidRPr="00D70DCE">
        <w:rPr>
          <w:sz w:val="24"/>
          <w:szCs w:val="24"/>
        </w:rPr>
        <w:tab/>
      </w:r>
      <w:r w:rsidRPr="00D70DCE">
        <w:rPr>
          <w:sz w:val="24"/>
          <w:szCs w:val="24"/>
        </w:rPr>
        <w:tab/>
        <w:t>On July 7, 2010, PECO filed a Preliminary Objection to the Complaint claiming insufficient specificity of the pleading.  PECO allege</w:t>
      </w:r>
      <w:r w:rsidR="00F765A5">
        <w:rPr>
          <w:sz w:val="24"/>
          <w:szCs w:val="24"/>
        </w:rPr>
        <w:t>d</w:t>
      </w:r>
      <w:r w:rsidRPr="00D70DCE">
        <w:rPr>
          <w:sz w:val="24"/>
          <w:szCs w:val="24"/>
        </w:rPr>
        <w:t xml:space="preserve"> that there is a significant mismatch between the liability issues raised in the civil complaint and the issues pled in the formal Complaint filed with the Commission.  PECO assert</w:t>
      </w:r>
      <w:r w:rsidR="00F765A5">
        <w:rPr>
          <w:sz w:val="24"/>
          <w:szCs w:val="24"/>
        </w:rPr>
        <w:t>ed</w:t>
      </w:r>
      <w:r w:rsidRPr="00D70DCE">
        <w:rPr>
          <w:sz w:val="24"/>
          <w:szCs w:val="24"/>
        </w:rPr>
        <w:t xml:space="preserve"> that the Complainants have failed to include in their formal Complainant to the Commission specific allegations of unreasonable utility service, including allegations of overcharging, improper billing, breach of duty to disclose, negligence, or misapplication of PECO’s tariff.</w:t>
      </w:r>
      <w:r w:rsidRPr="00D70DCE">
        <w:rPr>
          <w:sz w:val="24"/>
          <w:szCs w:val="24"/>
          <w:vertAlign w:val="superscript"/>
        </w:rPr>
        <w:footnoteReference w:id="2"/>
      </w:r>
      <w:r w:rsidRPr="00D70DCE">
        <w:rPr>
          <w:sz w:val="24"/>
          <w:szCs w:val="24"/>
        </w:rPr>
        <w:t xml:space="preserve">  PECO ask</w:t>
      </w:r>
      <w:r w:rsidR="00F765A5">
        <w:rPr>
          <w:sz w:val="24"/>
          <w:szCs w:val="24"/>
        </w:rPr>
        <w:t>ed</w:t>
      </w:r>
      <w:r w:rsidRPr="00D70DCE">
        <w:rPr>
          <w:sz w:val="24"/>
          <w:szCs w:val="24"/>
        </w:rPr>
        <w:t xml:space="preserve"> that the Commission order the </w:t>
      </w:r>
      <w:r w:rsidRPr="00D70DCE">
        <w:rPr>
          <w:sz w:val="24"/>
          <w:szCs w:val="24"/>
        </w:rPr>
        <w:lastRenderedPageBreak/>
        <w:t>Complainants to file a Complaint that sets forth, with specificity, each and every issue that the Complainants intend to pursue before the Commission.</w:t>
      </w:r>
      <w:r w:rsidRPr="00D70DCE">
        <w:rPr>
          <w:sz w:val="24"/>
          <w:szCs w:val="24"/>
          <w:vertAlign w:val="superscript"/>
        </w:rPr>
        <w:footnoteReference w:id="3"/>
      </w:r>
      <w:r w:rsidRPr="00D70DCE">
        <w:rPr>
          <w:sz w:val="24"/>
          <w:szCs w:val="24"/>
        </w:rPr>
        <w:t xml:space="preserve">  Alternatively, and if Complainants’ do not provide a specific pleading, then PECO ask</w:t>
      </w:r>
      <w:r w:rsidR="00F765A5">
        <w:rPr>
          <w:sz w:val="24"/>
          <w:szCs w:val="24"/>
        </w:rPr>
        <w:t>ed</w:t>
      </w:r>
      <w:r w:rsidRPr="00D70DCE">
        <w:rPr>
          <w:sz w:val="24"/>
          <w:szCs w:val="24"/>
        </w:rPr>
        <w:t xml:space="preserve"> that the Commission dismiss the Complaint with prejudice.</w:t>
      </w:r>
    </w:p>
    <w:p w:rsidR="00D70DCE" w:rsidRPr="00D70DCE" w:rsidRDefault="00D70DCE" w:rsidP="00D70DCE">
      <w:pPr>
        <w:spacing w:line="360" w:lineRule="auto"/>
        <w:rPr>
          <w:sz w:val="24"/>
          <w:szCs w:val="24"/>
        </w:rPr>
      </w:pPr>
    </w:p>
    <w:p w:rsidR="00D70DCE" w:rsidRPr="00D70DCE" w:rsidRDefault="00D70DCE" w:rsidP="00D70DCE">
      <w:pPr>
        <w:spacing w:line="360" w:lineRule="auto"/>
        <w:rPr>
          <w:sz w:val="24"/>
          <w:szCs w:val="24"/>
        </w:rPr>
      </w:pPr>
      <w:r w:rsidRPr="00D70DCE">
        <w:rPr>
          <w:sz w:val="24"/>
          <w:szCs w:val="24"/>
        </w:rPr>
        <w:tab/>
      </w:r>
      <w:r w:rsidRPr="00D70DCE">
        <w:rPr>
          <w:sz w:val="24"/>
          <w:szCs w:val="24"/>
        </w:rPr>
        <w:tab/>
        <w:t>On July 15, 2010, the Complainants filed an Amended Complaint.  That Amended Complaint consists of 77 separate paragraphs including extensive factual averments.  The Amended Complaint lists several additional business entities, all of whom own properties served by PECO, and all of whom conduct business along with the Complainants under the fictitious name, the “Westover Companies.”</w:t>
      </w:r>
      <w:r w:rsidRPr="00D70DCE">
        <w:rPr>
          <w:sz w:val="24"/>
          <w:szCs w:val="24"/>
          <w:vertAlign w:val="superscript"/>
        </w:rPr>
        <w:footnoteReference w:id="4"/>
      </w:r>
      <w:r w:rsidRPr="00D70DCE">
        <w:rPr>
          <w:sz w:val="24"/>
          <w:szCs w:val="24"/>
        </w:rPr>
        <w:t xml:space="preserve">   The Amended Complaint provides statements with respect to the Utility Services Agreement between the Complainants and ConServe Corporation.</w:t>
      </w:r>
      <w:r w:rsidRPr="00D70DCE">
        <w:rPr>
          <w:sz w:val="24"/>
          <w:szCs w:val="24"/>
          <w:vertAlign w:val="superscript"/>
        </w:rPr>
        <w:footnoteReference w:id="5"/>
      </w:r>
      <w:r w:rsidRPr="00D70DCE">
        <w:rPr>
          <w:sz w:val="24"/>
          <w:szCs w:val="24"/>
        </w:rPr>
        <w:t xml:space="preserve">  Complainants assert that by an agreement between PECO and ConServe, ConServe was the utility account ratepayer for Complainants’ properties, but at some point in 2007, ConServe failed to make payments to PECO and modified its service agreement with PECO to substitute the Complainants as ratepayers without Complainants’ consent or knowledge.</w:t>
      </w:r>
      <w:r w:rsidRPr="00D70DCE">
        <w:rPr>
          <w:sz w:val="24"/>
          <w:szCs w:val="24"/>
          <w:vertAlign w:val="superscript"/>
        </w:rPr>
        <w:footnoteReference w:id="6"/>
      </w:r>
    </w:p>
    <w:p w:rsidR="00D70DCE" w:rsidRPr="00D70DCE" w:rsidRDefault="00D70DCE" w:rsidP="00D70DCE">
      <w:pPr>
        <w:spacing w:line="360" w:lineRule="auto"/>
        <w:rPr>
          <w:sz w:val="24"/>
          <w:szCs w:val="24"/>
        </w:rPr>
      </w:pPr>
    </w:p>
    <w:p w:rsidR="00D70DCE" w:rsidRPr="00D70DCE" w:rsidRDefault="00D70DCE" w:rsidP="00D70DCE">
      <w:pPr>
        <w:spacing w:line="360" w:lineRule="auto"/>
        <w:rPr>
          <w:sz w:val="24"/>
          <w:szCs w:val="24"/>
        </w:rPr>
      </w:pPr>
      <w:r w:rsidRPr="00D70DCE">
        <w:rPr>
          <w:sz w:val="24"/>
          <w:szCs w:val="24"/>
        </w:rPr>
        <w:tab/>
      </w:r>
      <w:r w:rsidRPr="00D70DCE">
        <w:rPr>
          <w:sz w:val="24"/>
          <w:szCs w:val="24"/>
        </w:rPr>
        <w:tab/>
        <w:t>On August 12, 2010, PECO filed a Second Preliminary Objection, this time to the Amended Complaint, again claiming insufficient specificity of the pleading.  Specifically, PECO argues that the Complainants still have not stated with specificity which tariff or rates PECO should have applied to the Complainants,</w:t>
      </w:r>
      <w:r w:rsidRPr="00D70DCE">
        <w:rPr>
          <w:sz w:val="24"/>
          <w:szCs w:val="24"/>
          <w:vertAlign w:val="superscript"/>
        </w:rPr>
        <w:footnoteReference w:id="7"/>
      </w:r>
      <w:r w:rsidRPr="00D70DCE">
        <w:rPr>
          <w:sz w:val="24"/>
          <w:szCs w:val="24"/>
        </w:rPr>
        <w:t xml:space="preserve"> information or discussion regarding the periodicity of PECO billing,</w:t>
      </w:r>
      <w:r w:rsidRPr="00D70DCE">
        <w:rPr>
          <w:sz w:val="24"/>
          <w:szCs w:val="24"/>
          <w:vertAlign w:val="superscript"/>
        </w:rPr>
        <w:footnoteReference w:id="8"/>
      </w:r>
      <w:r w:rsidRPr="00D70DCE">
        <w:rPr>
          <w:sz w:val="24"/>
          <w:szCs w:val="24"/>
        </w:rPr>
        <w:t xml:space="preserve"> or specificity as to how PECO’s billing and notifications to </w:t>
      </w:r>
      <w:proofErr w:type="gramStart"/>
      <w:r w:rsidRPr="00D70DCE">
        <w:rPr>
          <w:sz w:val="24"/>
          <w:szCs w:val="24"/>
        </w:rPr>
        <w:t>ConServe</w:t>
      </w:r>
      <w:proofErr w:type="gramEnd"/>
      <w:r w:rsidRPr="00D70DCE">
        <w:rPr>
          <w:sz w:val="24"/>
          <w:szCs w:val="24"/>
        </w:rPr>
        <w:t xml:space="preserve"> violated a specific tariff, rule or rate.</w:t>
      </w:r>
      <w:r w:rsidRPr="00D70DCE">
        <w:rPr>
          <w:sz w:val="24"/>
          <w:szCs w:val="24"/>
          <w:vertAlign w:val="superscript"/>
        </w:rPr>
        <w:footnoteReference w:id="9"/>
      </w:r>
    </w:p>
    <w:p w:rsidR="00D70DCE" w:rsidRPr="00D70DCE" w:rsidRDefault="00D70DCE" w:rsidP="00D70DCE">
      <w:pPr>
        <w:spacing w:line="360" w:lineRule="auto"/>
        <w:rPr>
          <w:sz w:val="24"/>
          <w:szCs w:val="24"/>
        </w:rPr>
      </w:pPr>
    </w:p>
    <w:p w:rsidR="00D70DCE" w:rsidRPr="00D70DCE" w:rsidRDefault="00D70DCE" w:rsidP="00D70DCE">
      <w:pPr>
        <w:spacing w:line="360" w:lineRule="auto"/>
        <w:rPr>
          <w:sz w:val="24"/>
          <w:szCs w:val="24"/>
        </w:rPr>
      </w:pPr>
      <w:r w:rsidRPr="00D70DCE">
        <w:rPr>
          <w:sz w:val="24"/>
          <w:szCs w:val="24"/>
        </w:rPr>
        <w:tab/>
      </w:r>
      <w:r w:rsidRPr="00D70DCE">
        <w:rPr>
          <w:sz w:val="24"/>
          <w:szCs w:val="24"/>
        </w:rPr>
        <w:tab/>
        <w:t>On August 26, 2010, the Complainants filed a Response to the Second Preliminary Objection.  In sum, the Complainants argue that they have stated, in material and summary form, the facts on which their cause of action is based, and assert that in their Amended Complaint they have placed PECO on notice through specific allegations with respect to alleged failures by PECO to properly issue bills, assess late fees and to utilize proper utility rates.</w:t>
      </w:r>
      <w:r w:rsidRPr="00D70DCE">
        <w:rPr>
          <w:sz w:val="24"/>
          <w:szCs w:val="24"/>
          <w:vertAlign w:val="superscript"/>
        </w:rPr>
        <w:footnoteReference w:id="10"/>
      </w:r>
    </w:p>
    <w:p w:rsidR="00D70DCE" w:rsidRPr="00D70DCE" w:rsidRDefault="00D70DCE" w:rsidP="00D70DCE">
      <w:pPr>
        <w:spacing w:line="360" w:lineRule="auto"/>
        <w:rPr>
          <w:sz w:val="24"/>
          <w:szCs w:val="24"/>
        </w:rPr>
      </w:pPr>
    </w:p>
    <w:p w:rsidR="00D70DCE" w:rsidRDefault="00D70DCE" w:rsidP="00D70DCE">
      <w:pPr>
        <w:spacing w:line="360" w:lineRule="auto"/>
        <w:rPr>
          <w:sz w:val="24"/>
          <w:szCs w:val="24"/>
        </w:rPr>
      </w:pPr>
      <w:r w:rsidRPr="00D70DCE">
        <w:rPr>
          <w:sz w:val="24"/>
          <w:szCs w:val="24"/>
        </w:rPr>
        <w:tab/>
      </w:r>
      <w:r w:rsidRPr="00D70DCE">
        <w:rPr>
          <w:sz w:val="24"/>
          <w:szCs w:val="24"/>
        </w:rPr>
        <w:tab/>
        <w:t>On December 23, 2010, this matter was assigned to me as Presiding Officer.</w:t>
      </w:r>
    </w:p>
    <w:p w:rsidR="004A733A" w:rsidRPr="00D70DCE" w:rsidRDefault="004A733A" w:rsidP="00D70DCE">
      <w:pPr>
        <w:spacing w:line="360" w:lineRule="auto"/>
        <w:rPr>
          <w:sz w:val="24"/>
          <w:szCs w:val="24"/>
        </w:rPr>
      </w:pPr>
    </w:p>
    <w:p w:rsidR="00D70DCE" w:rsidRDefault="004A733A" w:rsidP="00E16C06">
      <w:pPr>
        <w:spacing w:line="360" w:lineRule="auto"/>
        <w:rPr>
          <w:sz w:val="24"/>
          <w:szCs w:val="24"/>
        </w:rPr>
      </w:pPr>
      <w:r>
        <w:rPr>
          <w:sz w:val="24"/>
          <w:szCs w:val="24"/>
        </w:rPr>
        <w:tab/>
      </w:r>
      <w:r>
        <w:rPr>
          <w:sz w:val="24"/>
          <w:szCs w:val="24"/>
        </w:rPr>
        <w:tab/>
        <w:t>On February 16, 2011, an Initial Hearing was held at the Philadelphia Office of the Commission</w:t>
      </w:r>
      <w:r w:rsidR="008514E6">
        <w:rPr>
          <w:sz w:val="24"/>
          <w:szCs w:val="24"/>
        </w:rPr>
        <w:t xml:space="preserve"> at the conclusion of which the Preliminary Objections of PECO were held in abeyance pending the outcome of discovery</w:t>
      </w:r>
      <w:r>
        <w:rPr>
          <w:sz w:val="24"/>
          <w:szCs w:val="24"/>
        </w:rPr>
        <w:t xml:space="preserve"> </w:t>
      </w:r>
      <w:r w:rsidR="008514E6">
        <w:rPr>
          <w:sz w:val="24"/>
          <w:szCs w:val="24"/>
        </w:rPr>
        <w:t>and further discussions between the Parties.</w:t>
      </w:r>
    </w:p>
    <w:p w:rsidR="00D70DCE" w:rsidRDefault="00D70DCE" w:rsidP="00E16C06">
      <w:pPr>
        <w:spacing w:line="360" w:lineRule="auto"/>
        <w:rPr>
          <w:sz w:val="24"/>
          <w:szCs w:val="24"/>
        </w:rPr>
      </w:pPr>
    </w:p>
    <w:p w:rsidR="009C4823" w:rsidRDefault="008514E6" w:rsidP="00E16C06">
      <w:pPr>
        <w:spacing w:line="360" w:lineRule="auto"/>
        <w:rPr>
          <w:sz w:val="24"/>
          <w:szCs w:val="24"/>
        </w:rPr>
      </w:pPr>
      <w:r>
        <w:rPr>
          <w:sz w:val="24"/>
          <w:szCs w:val="24"/>
        </w:rPr>
        <w:tab/>
      </w:r>
      <w:r>
        <w:rPr>
          <w:sz w:val="24"/>
          <w:szCs w:val="24"/>
        </w:rPr>
        <w:tab/>
      </w:r>
      <w:r w:rsidR="009C4823">
        <w:rPr>
          <w:sz w:val="24"/>
          <w:szCs w:val="24"/>
        </w:rPr>
        <w:t xml:space="preserve">On April 15, 2011, the Complainants filed a Petition for Leave to Withdraw their formal Complaint </w:t>
      </w:r>
      <w:r w:rsidR="00E10271">
        <w:rPr>
          <w:sz w:val="24"/>
          <w:szCs w:val="24"/>
        </w:rPr>
        <w:t>pursuant to 52 Pa. Code § 5.94</w:t>
      </w:r>
      <w:r w:rsidR="00AB18C4">
        <w:rPr>
          <w:sz w:val="24"/>
          <w:szCs w:val="24"/>
        </w:rPr>
        <w:t>(a)</w:t>
      </w:r>
      <w:r w:rsidR="00E10271">
        <w:rPr>
          <w:sz w:val="24"/>
          <w:szCs w:val="24"/>
        </w:rPr>
        <w:t>.</w:t>
      </w:r>
    </w:p>
    <w:p w:rsidR="00E10271" w:rsidRDefault="00E10271" w:rsidP="00E16C06">
      <w:pPr>
        <w:spacing w:line="360" w:lineRule="auto"/>
        <w:rPr>
          <w:sz w:val="24"/>
          <w:szCs w:val="24"/>
        </w:rPr>
      </w:pPr>
    </w:p>
    <w:p w:rsidR="00E10271" w:rsidRDefault="00E10271" w:rsidP="00E16C06">
      <w:pPr>
        <w:spacing w:line="360" w:lineRule="auto"/>
        <w:rPr>
          <w:sz w:val="24"/>
          <w:szCs w:val="24"/>
        </w:rPr>
      </w:pPr>
      <w:r>
        <w:rPr>
          <w:sz w:val="24"/>
          <w:szCs w:val="24"/>
        </w:rPr>
        <w:tab/>
      </w:r>
      <w:r>
        <w:rPr>
          <w:sz w:val="24"/>
          <w:szCs w:val="24"/>
        </w:rPr>
        <w:tab/>
        <w:t>On April 18, 2011, PECO Energy Company</w:t>
      </w:r>
      <w:r w:rsidR="00AF4CC4">
        <w:rPr>
          <w:sz w:val="24"/>
          <w:szCs w:val="24"/>
        </w:rPr>
        <w:t xml:space="preserve"> </w:t>
      </w:r>
      <w:r>
        <w:rPr>
          <w:sz w:val="24"/>
          <w:szCs w:val="24"/>
        </w:rPr>
        <w:t xml:space="preserve">filed a Reply to the Petition to Withdraw which, in substance, </w:t>
      </w:r>
      <w:r w:rsidR="000F5192">
        <w:rPr>
          <w:sz w:val="24"/>
          <w:szCs w:val="24"/>
        </w:rPr>
        <w:t xml:space="preserve">constituted </w:t>
      </w:r>
      <w:r>
        <w:rPr>
          <w:sz w:val="24"/>
          <w:szCs w:val="24"/>
        </w:rPr>
        <w:t xml:space="preserve">an objection </w:t>
      </w:r>
      <w:r w:rsidR="00AB18C4">
        <w:rPr>
          <w:sz w:val="24"/>
          <w:szCs w:val="24"/>
        </w:rPr>
        <w:t xml:space="preserve">in part </w:t>
      </w:r>
      <w:r>
        <w:rPr>
          <w:sz w:val="24"/>
          <w:szCs w:val="24"/>
        </w:rPr>
        <w:t>to that Petition within the meaning of 52 Pa. Code § 5.94(a).</w:t>
      </w:r>
    </w:p>
    <w:p w:rsidR="00292054" w:rsidRDefault="00292054" w:rsidP="00E16C06">
      <w:pPr>
        <w:spacing w:line="360" w:lineRule="auto"/>
        <w:rPr>
          <w:sz w:val="24"/>
          <w:szCs w:val="24"/>
        </w:rPr>
      </w:pPr>
    </w:p>
    <w:p w:rsidR="00AF4CC4" w:rsidRDefault="00292054" w:rsidP="00E16C06">
      <w:pPr>
        <w:spacing w:line="360" w:lineRule="auto"/>
        <w:rPr>
          <w:sz w:val="24"/>
          <w:szCs w:val="24"/>
        </w:rPr>
      </w:pPr>
      <w:r>
        <w:rPr>
          <w:sz w:val="24"/>
          <w:szCs w:val="24"/>
        </w:rPr>
        <w:tab/>
      </w:r>
      <w:r>
        <w:rPr>
          <w:sz w:val="24"/>
          <w:szCs w:val="24"/>
        </w:rPr>
        <w:tab/>
      </w:r>
      <w:r w:rsidR="00AF4CC4">
        <w:rPr>
          <w:sz w:val="24"/>
          <w:szCs w:val="24"/>
        </w:rPr>
        <w:t>There was to have been a hearing in this case on April 19, 2011, but the closure of the Harrisburg office of the Commission due to the water supply emergency in Harrisburg necessitated the continuance of that hearing until June 2, 2011.</w:t>
      </w:r>
    </w:p>
    <w:p w:rsidR="00AF4CC4" w:rsidRDefault="00AF4CC4" w:rsidP="00E16C06">
      <w:pPr>
        <w:spacing w:line="360" w:lineRule="auto"/>
        <w:rPr>
          <w:sz w:val="24"/>
          <w:szCs w:val="24"/>
        </w:rPr>
      </w:pPr>
    </w:p>
    <w:p w:rsidR="00292054" w:rsidRDefault="00AF4CC4" w:rsidP="00E16C06">
      <w:pPr>
        <w:spacing w:line="360" w:lineRule="auto"/>
        <w:rPr>
          <w:sz w:val="24"/>
          <w:szCs w:val="24"/>
        </w:rPr>
      </w:pPr>
      <w:r>
        <w:rPr>
          <w:sz w:val="24"/>
          <w:szCs w:val="24"/>
        </w:rPr>
        <w:tab/>
      </w:r>
      <w:r>
        <w:rPr>
          <w:sz w:val="24"/>
          <w:szCs w:val="24"/>
        </w:rPr>
        <w:tab/>
      </w:r>
      <w:r w:rsidR="00292054">
        <w:rPr>
          <w:sz w:val="24"/>
          <w:szCs w:val="24"/>
        </w:rPr>
        <w:t xml:space="preserve">On June 2, 2011, a hearing was held at the office of the Commission in Harrisburg, Pennsylvania, to hear oral argument with respect to the </w:t>
      </w:r>
      <w:r w:rsidR="00D717C3">
        <w:rPr>
          <w:sz w:val="24"/>
          <w:szCs w:val="24"/>
        </w:rPr>
        <w:t xml:space="preserve">Complainants’ </w:t>
      </w:r>
      <w:r w:rsidR="00292054">
        <w:rPr>
          <w:sz w:val="24"/>
          <w:szCs w:val="24"/>
        </w:rPr>
        <w:t xml:space="preserve">Petition to Withdraw and the </w:t>
      </w:r>
      <w:r w:rsidR="00D717C3">
        <w:rPr>
          <w:sz w:val="24"/>
          <w:szCs w:val="24"/>
        </w:rPr>
        <w:t xml:space="preserve">Respondent’s </w:t>
      </w:r>
      <w:r w:rsidR="00292054">
        <w:rPr>
          <w:sz w:val="24"/>
          <w:szCs w:val="24"/>
        </w:rPr>
        <w:t>Objection thereto.</w:t>
      </w:r>
    </w:p>
    <w:p w:rsidR="00D717C3" w:rsidRDefault="00D717C3" w:rsidP="00E16C06">
      <w:pPr>
        <w:spacing w:line="360" w:lineRule="auto"/>
        <w:rPr>
          <w:sz w:val="24"/>
          <w:szCs w:val="24"/>
        </w:rPr>
      </w:pPr>
    </w:p>
    <w:p w:rsidR="00123B64" w:rsidRDefault="00123B64" w:rsidP="00E16C06">
      <w:pPr>
        <w:spacing w:line="360" w:lineRule="auto"/>
        <w:rPr>
          <w:sz w:val="24"/>
          <w:szCs w:val="24"/>
        </w:rPr>
      </w:pPr>
    </w:p>
    <w:p w:rsidR="00123B64" w:rsidRDefault="00123B64" w:rsidP="00123B64">
      <w:pPr>
        <w:jc w:val="center"/>
        <w:rPr>
          <w:sz w:val="24"/>
          <w:szCs w:val="24"/>
          <w:u w:val="single"/>
        </w:rPr>
      </w:pPr>
      <w:r w:rsidRPr="005A0C0F">
        <w:rPr>
          <w:sz w:val="24"/>
          <w:szCs w:val="24"/>
          <w:u w:val="single"/>
        </w:rPr>
        <w:lastRenderedPageBreak/>
        <w:t>CONCLUSIONS OF LAW</w:t>
      </w:r>
    </w:p>
    <w:p w:rsidR="00123B64" w:rsidRDefault="00123B64" w:rsidP="00123B64">
      <w:pPr>
        <w:rPr>
          <w:sz w:val="24"/>
          <w:szCs w:val="24"/>
          <w:u w:val="single"/>
        </w:rPr>
      </w:pPr>
    </w:p>
    <w:p w:rsidR="00123B64" w:rsidRDefault="00123B64" w:rsidP="00123B64">
      <w:pPr>
        <w:rPr>
          <w:sz w:val="24"/>
          <w:szCs w:val="24"/>
          <w:u w:val="single"/>
        </w:rPr>
      </w:pPr>
    </w:p>
    <w:p w:rsidR="00123B64" w:rsidRDefault="00123B64" w:rsidP="00123B64">
      <w:pPr>
        <w:spacing w:line="360" w:lineRule="auto"/>
        <w:rPr>
          <w:spacing w:val="-3"/>
          <w:sz w:val="24"/>
          <w:szCs w:val="24"/>
        </w:rPr>
      </w:pPr>
      <w:r>
        <w:rPr>
          <w:sz w:val="24"/>
          <w:szCs w:val="24"/>
        </w:rPr>
        <w:tab/>
      </w:r>
      <w:r>
        <w:rPr>
          <w:sz w:val="24"/>
          <w:szCs w:val="24"/>
        </w:rPr>
        <w:tab/>
      </w:r>
      <w:r w:rsidRPr="005A0C0F">
        <w:rPr>
          <w:sz w:val="24"/>
          <w:szCs w:val="24"/>
        </w:rPr>
        <w:t xml:space="preserve">1. </w:t>
      </w:r>
      <w:r w:rsidRPr="005A0C0F">
        <w:rPr>
          <w:sz w:val="24"/>
          <w:szCs w:val="24"/>
        </w:rPr>
        <w:tab/>
        <w:t xml:space="preserve">The Commission has jurisdiction over the parties in this proceeding.  </w:t>
      </w:r>
      <w:proofErr w:type="gramStart"/>
      <w:r w:rsidRPr="005A0C0F">
        <w:rPr>
          <w:spacing w:val="-3"/>
          <w:sz w:val="24"/>
          <w:szCs w:val="24"/>
        </w:rPr>
        <w:t>66 Pa. C.S. § 701.</w:t>
      </w:r>
      <w:proofErr w:type="gramEnd"/>
    </w:p>
    <w:p w:rsidR="00123B64" w:rsidRDefault="00123B64" w:rsidP="00123B64">
      <w:pPr>
        <w:spacing w:line="360" w:lineRule="auto"/>
        <w:rPr>
          <w:spacing w:val="-3"/>
          <w:sz w:val="24"/>
          <w:szCs w:val="24"/>
        </w:rPr>
      </w:pPr>
    </w:p>
    <w:p w:rsidR="00123B64" w:rsidRDefault="00123B64" w:rsidP="00123B64">
      <w:pPr>
        <w:spacing w:line="360" w:lineRule="auto"/>
        <w:rPr>
          <w:sz w:val="24"/>
          <w:szCs w:val="24"/>
        </w:rPr>
      </w:pPr>
      <w:r>
        <w:rPr>
          <w:spacing w:val="-3"/>
          <w:sz w:val="24"/>
          <w:szCs w:val="24"/>
        </w:rPr>
        <w:tab/>
      </w:r>
      <w:r>
        <w:rPr>
          <w:spacing w:val="-3"/>
          <w:sz w:val="24"/>
          <w:szCs w:val="24"/>
        </w:rPr>
        <w:tab/>
        <w:t>2.</w:t>
      </w:r>
      <w:r>
        <w:rPr>
          <w:spacing w:val="-3"/>
          <w:sz w:val="24"/>
          <w:szCs w:val="24"/>
        </w:rPr>
        <w:tab/>
      </w:r>
      <w:r>
        <w:rPr>
          <w:sz w:val="24"/>
          <w:szCs w:val="24"/>
        </w:rPr>
        <w:t>A</w:t>
      </w:r>
      <w:r w:rsidRPr="00343E99">
        <w:rPr>
          <w:sz w:val="24"/>
          <w:szCs w:val="24"/>
        </w:rPr>
        <w:t xml:space="preserve">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w:t>
      </w:r>
      <w:r>
        <w:rPr>
          <w:sz w:val="24"/>
          <w:szCs w:val="24"/>
        </w:rPr>
        <w:t xml:space="preserve">.  </w:t>
      </w:r>
      <w:proofErr w:type="gramStart"/>
      <w:r>
        <w:rPr>
          <w:sz w:val="24"/>
          <w:szCs w:val="24"/>
        </w:rPr>
        <w:t>52 Pa. Code §5.94(a).</w:t>
      </w:r>
      <w:proofErr w:type="gramEnd"/>
    </w:p>
    <w:p w:rsidR="00123B64" w:rsidRDefault="00123B64" w:rsidP="00123B64">
      <w:pPr>
        <w:spacing w:line="360" w:lineRule="auto"/>
        <w:rPr>
          <w:sz w:val="24"/>
          <w:szCs w:val="24"/>
        </w:rPr>
      </w:pPr>
    </w:p>
    <w:p w:rsidR="00123B64" w:rsidRPr="00123B64" w:rsidRDefault="00123B64" w:rsidP="00123B64">
      <w:pPr>
        <w:spacing w:line="360" w:lineRule="auto"/>
        <w:rPr>
          <w:sz w:val="24"/>
          <w:szCs w:val="24"/>
        </w:rPr>
      </w:pPr>
      <w:r>
        <w:rPr>
          <w:sz w:val="24"/>
          <w:szCs w:val="24"/>
        </w:rPr>
        <w:tab/>
      </w:r>
      <w:r>
        <w:rPr>
          <w:sz w:val="24"/>
          <w:szCs w:val="24"/>
        </w:rPr>
        <w:tab/>
        <w:t>3.</w:t>
      </w:r>
      <w:r>
        <w:rPr>
          <w:sz w:val="24"/>
          <w:szCs w:val="24"/>
        </w:rPr>
        <w:tab/>
      </w:r>
      <w:r w:rsidRPr="00123B64">
        <w:rPr>
          <w:sz w:val="24"/>
          <w:szCs w:val="24"/>
        </w:rPr>
        <w:t xml:space="preserve">After considering the </w:t>
      </w:r>
      <w:r>
        <w:rPr>
          <w:sz w:val="24"/>
          <w:szCs w:val="24"/>
        </w:rPr>
        <w:t>p</w:t>
      </w:r>
      <w:r w:rsidRPr="00123B64">
        <w:rPr>
          <w:sz w:val="24"/>
          <w:szCs w:val="24"/>
        </w:rPr>
        <w:t>etition</w:t>
      </w:r>
      <w:r>
        <w:rPr>
          <w:sz w:val="24"/>
          <w:szCs w:val="24"/>
        </w:rPr>
        <w:t xml:space="preserve"> for leave to withdraw</w:t>
      </w:r>
      <w:r w:rsidRPr="00123B64">
        <w:rPr>
          <w:sz w:val="24"/>
          <w:szCs w:val="24"/>
        </w:rPr>
        <w:t>, an</w:t>
      </w:r>
      <w:r w:rsidR="00D717C3">
        <w:rPr>
          <w:sz w:val="24"/>
          <w:szCs w:val="24"/>
        </w:rPr>
        <w:t>y</w:t>
      </w:r>
      <w:r w:rsidRPr="00123B64">
        <w:rPr>
          <w:sz w:val="24"/>
          <w:szCs w:val="24"/>
        </w:rPr>
        <w:t xml:space="preserve"> objection thereto and the public interest, the presiding officer or the Commission will determine whether the withdrawal will be permitted. </w:t>
      </w:r>
      <w:r>
        <w:rPr>
          <w:sz w:val="24"/>
          <w:szCs w:val="24"/>
        </w:rPr>
        <w:t xml:space="preserve"> </w:t>
      </w:r>
      <w:proofErr w:type="gramStart"/>
      <w:r>
        <w:rPr>
          <w:sz w:val="24"/>
          <w:szCs w:val="24"/>
        </w:rPr>
        <w:t>52 Pa. Code §5.94(a).</w:t>
      </w:r>
      <w:proofErr w:type="gramEnd"/>
    </w:p>
    <w:p w:rsidR="00123B64" w:rsidRDefault="00123B64" w:rsidP="00123B64">
      <w:pPr>
        <w:spacing w:line="360" w:lineRule="auto"/>
        <w:rPr>
          <w:spacing w:val="-3"/>
          <w:sz w:val="24"/>
          <w:szCs w:val="24"/>
        </w:rPr>
      </w:pPr>
    </w:p>
    <w:p w:rsidR="00123B64" w:rsidRDefault="00123B64" w:rsidP="00123B64">
      <w:pPr>
        <w:spacing w:line="360" w:lineRule="auto"/>
        <w:rPr>
          <w:spacing w:val="-3"/>
          <w:sz w:val="24"/>
          <w:szCs w:val="24"/>
        </w:rPr>
      </w:pPr>
      <w:r>
        <w:rPr>
          <w:spacing w:val="-3"/>
          <w:sz w:val="24"/>
          <w:szCs w:val="24"/>
        </w:rPr>
        <w:tab/>
      </w:r>
      <w:r>
        <w:rPr>
          <w:spacing w:val="-3"/>
          <w:sz w:val="24"/>
          <w:szCs w:val="24"/>
        </w:rPr>
        <w:tab/>
        <w:t>4.</w:t>
      </w:r>
      <w:r>
        <w:rPr>
          <w:spacing w:val="-3"/>
          <w:sz w:val="24"/>
          <w:szCs w:val="24"/>
        </w:rPr>
        <w:tab/>
      </w:r>
      <w:r w:rsidRPr="00027F82">
        <w:rPr>
          <w:spacing w:val="-3"/>
          <w:sz w:val="24"/>
          <w:szCs w:val="24"/>
        </w:rPr>
        <w:t xml:space="preserve">Commission regulations permit the filing of preliminary objections. </w:t>
      </w:r>
      <w:r>
        <w:rPr>
          <w:spacing w:val="-3"/>
          <w:sz w:val="24"/>
          <w:szCs w:val="24"/>
        </w:rPr>
        <w:t xml:space="preserve"> </w:t>
      </w:r>
      <w:proofErr w:type="gramStart"/>
      <w:r w:rsidRPr="00027F82">
        <w:rPr>
          <w:spacing w:val="-3"/>
          <w:sz w:val="24"/>
          <w:szCs w:val="24"/>
        </w:rPr>
        <w:t>52 Pa.Code § 5.101(a).</w:t>
      </w:r>
      <w:proofErr w:type="gramEnd"/>
      <w:r w:rsidRPr="00027F82">
        <w:rPr>
          <w:spacing w:val="-3"/>
          <w:sz w:val="24"/>
          <w:szCs w:val="24"/>
        </w:rPr>
        <w:br/>
      </w:r>
      <w:r w:rsidRPr="00027F82">
        <w:rPr>
          <w:spacing w:val="-3"/>
          <w:sz w:val="24"/>
          <w:szCs w:val="24"/>
        </w:rPr>
        <w:br/>
      </w:r>
      <w:r>
        <w:rPr>
          <w:spacing w:val="-3"/>
          <w:sz w:val="24"/>
          <w:szCs w:val="24"/>
        </w:rPr>
        <w:tab/>
      </w:r>
      <w:r>
        <w:rPr>
          <w:spacing w:val="-3"/>
          <w:sz w:val="24"/>
          <w:szCs w:val="24"/>
        </w:rPr>
        <w:tab/>
        <w:t>5</w:t>
      </w:r>
      <w:r w:rsidRPr="00027F82">
        <w:rPr>
          <w:spacing w:val="-3"/>
          <w:sz w:val="24"/>
          <w:szCs w:val="24"/>
        </w:rPr>
        <w:t xml:space="preserve">. </w:t>
      </w:r>
      <w:r>
        <w:rPr>
          <w:spacing w:val="-3"/>
          <w:sz w:val="24"/>
          <w:szCs w:val="24"/>
        </w:rPr>
        <w:tab/>
      </w:r>
      <w:r w:rsidRPr="00027F82">
        <w:rPr>
          <w:spacing w:val="-3"/>
          <w:sz w:val="24"/>
          <w:szCs w:val="24"/>
        </w:rPr>
        <w:t>Preliminary objection practice before the Commission is similar to Pennsylvania civil practice respecting preliminary objections.</w:t>
      </w:r>
      <w:r w:rsidRPr="00027F82">
        <w:rPr>
          <w:spacing w:val="-3"/>
          <w:sz w:val="24"/>
          <w:szCs w:val="24"/>
        </w:rPr>
        <w:br/>
      </w:r>
      <w:r w:rsidRPr="00027F82">
        <w:rPr>
          <w:spacing w:val="-3"/>
          <w:sz w:val="24"/>
          <w:szCs w:val="24"/>
        </w:rPr>
        <w:br/>
      </w:r>
      <w:r>
        <w:rPr>
          <w:spacing w:val="-3"/>
          <w:sz w:val="24"/>
          <w:szCs w:val="24"/>
        </w:rPr>
        <w:tab/>
      </w:r>
      <w:r>
        <w:rPr>
          <w:spacing w:val="-3"/>
          <w:sz w:val="24"/>
          <w:szCs w:val="24"/>
        </w:rPr>
        <w:tab/>
        <w:t>6</w:t>
      </w:r>
      <w:r w:rsidRPr="00027F82">
        <w:rPr>
          <w:spacing w:val="-3"/>
          <w:sz w:val="24"/>
          <w:szCs w:val="24"/>
        </w:rPr>
        <w:t>.</w:t>
      </w:r>
      <w:r>
        <w:rPr>
          <w:spacing w:val="-3"/>
          <w:sz w:val="24"/>
          <w:szCs w:val="24"/>
        </w:rPr>
        <w:tab/>
      </w:r>
      <w:r w:rsidRPr="00027F82">
        <w:rPr>
          <w:spacing w:val="-3"/>
          <w:sz w:val="24"/>
          <w:szCs w:val="24"/>
        </w:rPr>
        <w:t xml:space="preserve">In deciding the preliminary objections, the Commission must determine whether, based on well-pleaded factual averments of the complainant, recovery or relief is possible. </w:t>
      </w:r>
      <w:proofErr w:type="gramStart"/>
      <w:r w:rsidRPr="00214AA5">
        <w:rPr>
          <w:i/>
          <w:spacing w:val="-3"/>
          <w:sz w:val="24"/>
          <w:szCs w:val="24"/>
        </w:rPr>
        <w:t>Dep't of Auditor General, et al v. SERS, et al.</w:t>
      </w:r>
      <w:r w:rsidRPr="00214AA5">
        <w:rPr>
          <w:spacing w:val="-3"/>
          <w:sz w:val="24"/>
          <w:szCs w:val="24"/>
        </w:rPr>
        <w:t>, 836 A.2d 1053, 1064 (Pa.Cmwlth. 2003);</w:t>
      </w:r>
      <w:r w:rsidRPr="00027F82">
        <w:rPr>
          <w:spacing w:val="-3"/>
          <w:sz w:val="24"/>
          <w:szCs w:val="24"/>
        </w:rPr>
        <w:t xml:space="preserve"> </w:t>
      </w:r>
      <w:r w:rsidRPr="00214AA5">
        <w:rPr>
          <w:i/>
          <w:spacing w:val="-3"/>
          <w:sz w:val="24"/>
          <w:szCs w:val="24"/>
        </w:rPr>
        <w:t>P.J.S. v. Pa. State Ethics Comm'n</w:t>
      </w:r>
      <w:r w:rsidRPr="00214AA5">
        <w:rPr>
          <w:spacing w:val="-3"/>
          <w:sz w:val="24"/>
          <w:szCs w:val="24"/>
        </w:rPr>
        <w:t>, 669 A.2d 1105 (Pa.Cmwlth. 1996).</w:t>
      </w:r>
      <w:proofErr w:type="gramEnd"/>
      <w:r w:rsidRPr="00027F82">
        <w:rPr>
          <w:spacing w:val="-3"/>
          <w:sz w:val="24"/>
          <w:szCs w:val="24"/>
        </w:rPr>
        <w:br/>
      </w:r>
      <w:r w:rsidRPr="00027F82">
        <w:rPr>
          <w:spacing w:val="-3"/>
          <w:sz w:val="24"/>
          <w:szCs w:val="24"/>
        </w:rPr>
        <w:br/>
      </w:r>
      <w:r>
        <w:rPr>
          <w:spacing w:val="-3"/>
          <w:sz w:val="24"/>
          <w:szCs w:val="24"/>
        </w:rPr>
        <w:tab/>
      </w:r>
      <w:r>
        <w:rPr>
          <w:spacing w:val="-3"/>
          <w:sz w:val="24"/>
          <w:szCs w:val="24"/>
        </w:rPr>
        <w:tab/>
        <w:t>7</w:t>
      </w:r>
      <w:r w:rsidRPr="00027F82">
        <w:rPr>
          <w:spacing w:val="-3"/>
          <w:sz w:val="24"/>
          <w:szCs w:val="24"/>
        </w:rPr>
        <w:t>.</w:t>
      </w:r>
      <w:r>
        <w:rPr>
          <w:spacing w:val="-3"/>
          <w:sz w:val="24"/>
          <w:szCs w:val="24"/>
        </w:rPr>
        <w:tab/>
      </w:r>
      <w:r w:rsidRPr="00027F82">
        <w:rPr>
          <w:spacing w:val="-3"/>
          <w:sz w:val="24"/>
          <w:szCs w:val="24"/>
        </w:rPr>
        <w:t xml:space="preserve">Any doubt must be resolved in favor of the non-moving party by refusing to sustain the preliminary objections. </w:t>
      </w:r>
      <w:proofErr w:type="gramStart"/>
      <w:r w:rsidRPr="00214AA5">
        <w:rPr>
          <w:i/>
          <w:spacing w:val="-3"/>
          <w:sz w:val="24"/>
          <w:szCs w:val="24"/>
        </w:rPr>
        <w:t>Boyd v. Ward</w:t>
      </w:r>
      <w:r w:rsidRPr="00214AA5">
        <w:rPr>
          <w:spacing w:val="-3"/>
          <w:sz w:val="24"/>
          <w:szCs w:val="24"/>
        </w:rPr>
        <w:t>, 802 A.2d 705 (Pa.Cmwlth. 2002).</w:t>
      </w:r>
      <w:proofErr w:type="gramEnd"/>
      <w:r w:rsidRPr="00027F82">
        <w:rPr>
          <w:spacing w:val="-3"/>
          <w:sz w:val="24"/>
          <w:szCs w:val="24"/>
        </w:rPr>
        <w:br/>
      </w:r>
      <w:r w:rsidRPr="00027F82">
        <w:rPr>
          <w:spacing w:val="-3"/>
          <w:sz w:val="24"/>
          <w:szCs w:val="24"/>
        </w:rPr>
        <w:br/>
      </w:r>
      <w:r>
        <w:rPr>
          <w:spacing w:val="-3"/>
          <w:sz w:val="24"/>
          <w:szCs w:val="24"/>
        </w:rPr>
        <w:tab/>
      </w:r>
      <w:r>
        <w:rPr>
          <w:spacing w:val="-3"/>
          <w:sz w:val="24"/>
          <w:szCs w:val="24"/>
        </w:rPr>
        <w:tab/>
        <w:t>8</w:t>
      </w:r>
      <w:r w:rsidRPr="00027F82">
        <w:rPr>
          <w:spacing w:val="-3"/>
          <w:sz w:val="24"/>
          <w:szCs w:val="24"/>
        </w:rPr>
        <w:t>.</w:t>
      </w:r>
      <w:r>
        <w:rPr>
          <w:spacing w:val="-3"/>
          <w:sz w:val="24"/>
          <w:szCs w:val="24"/>
        </w:rPr>
        <w:tab/>
      </w:r>
      <w:r w:rsidRPr="00027F82">
        <w:rPr>
          <w:spacing w:val="-3"/>
          <w:sz w:val="24"/>
          <w:szCs w:val="24"/>
        </w:rPr>
        <w:t xml:space="preserve">All of the non-moving party's averments in the </w:t>
      </w:r>
      <w:r w:rsidRPr="00214AA5">
        <w:rPr>
          <w:bCs/>
          <w:spacing w:val="-3"/>
          <w:sz w:val="24"/>
          <w:szCs w:val="24"/>
        </w:rPr>
        <w:t>complaint</w:t>
      </w:r>
      <w:r w:rsidRPr="00027F82">
        <w:rPr>
          <w:spacing w:val="-3"/>
          <w:sz w:val="24"/>
          <w:szCs w:val="24"/>
        </w:rPr>
        <w:t xml:space="preserve"> must be viewed as true for purposes of deciding the preliminary objections, and only those facts specifically admitted </w:t>
      </w:r>
      <w:r w:rsidRPr="00027F82">
        <w:rPr>
          <w:spacing w:val="-3"/>
          <w:sz w:val="24"/>
          <w:szCs w:val="24"/>
        </w:rPr>
        <w:lastRenderedPageBreak/>
        <w:t xml:space="preserve">may be considered against the non-moving party. </w:t>
      </w:r>
      <w:r>
        <w:rPr>
          <w:spacing w:val="-3"/>
          <w:sz w:val="24"/>
          <w:szCs w:val="24"/>
        </w:rPr>
        <w:t xml:space="preserve"> </w:t>
      </w:r>
      <w:proofErr w:type="gramStart"/>
      <w:r w:rsidRPr="00214AA5">
        <w:rPr>
          <w:i/>
          <w:spacing w:val="-3"/>
          <w:sz w:val="24"/>
          <w:szCs w:val="24"/>
        </w:rPr>
        <w:t>Ridge v. State Employees' Retirement Bd.</w:t>
      </w:r>
      <w:r w:rsidRPr="00214AA5">
        <w:rPr>
          <w:spacing w:val="-3"/>
          <w:sz w:val="24"/>
          <w:szCs w:val="24"/>
        </w:rPr>
        <w:t>, 690 A.2d 1312 (Pa.Cmwlth. 1997).</w:t>
      </w:r>
      <w:proofErr w:type="gramEnd"/>
    </w:p>
    <w:p w:rsidR="00AB18C4" w:rsidRDefault="00AB18C4" w:rsidP="00123B64">
      <w:pPr>
        <w:spacing w:line="360" w:lineRule="auto"/>
        <w:rPr>
          <w:spacing w:val="-3"/>
          <w:sz w:val="24"/>
          <w:szCs w:val="24"/>
        </w:rPr>
      </w:pPr>
    </w:p>
    <w:p w:rsidR="00AB18C4" w:rsidRDefault="00AB18C4" w:rsidP="00123B64">
      <w:pPr>
        <w:spacing w:line="360" w:lineRule="auto"/>
        <w:rPr>
          <w:sz w:val="24"/>
          <w:szCs w:val="24"/>
        </w:rPr>
      </w:pPr>
      <w:r>
        <w:rPr>
          <w:spacing w:val="-3"/>
          <w:sz w:val="24"/>
          <w:szCs w:val="24"/>
        </w:rPr>
        <w:tab/>
      </w:r>
      <w:r>
        <w:rPr>
          <w:spacing w:val="-3"/>
          <w:sz w:val="24"/>
          <w:szCs w:val="24"/>
        </w:rPr>
        <w:tab/>
        <w:t>9.</w:t>
      </w:r>
      <w:r>
        <w:rPr>
          <w:spacing w:val="-3"/>
          <w:sz w:val="24"/>
          <w:szCs w:val="24"/>
        </w:rPr>
        <w:tab/>
      </w:r>
      <w:r w:rsidRPr="00C6607C">
        <w:rPr>
          <w:sz w:val="24"/>
          <w:szCs w:val="24"/>
        </w:rPr>
        <w:t xml:space="preserve">A formal </w:t>
      </w:r>
      <w:r>
        <w:rPr>
          <w:bCs/>
          <w:sz w:val="24"/>
          <w:szCs w:val="24"/>
        </w:rPr>
        <w:t>c</w:t>
      </w:r>
      <w:r w:rsidRPr="00C6607C">
        <w:rPr>
          <w:bCs/>
          <w:sz w:val="24"/>
          <w:szCs w:val="24"/>
        </w:rPr>
        <w:t>omplaint</w:t>
      </w:r>
      <w:r w:rsidRPr="00C6607C">
        <w:rPr>
          <w:sz w:val="24"/>
          <w:szCs w:val="24"/>
        </w:rPr>
        <w:t xml:space="preserve"> must set forth "the act or thing done or omitted to be done" by a public utility "in violation, or claimed violation, of any law which the commission has jurisdiction to administer, or of any regulation or order of the commission." 66 Pa. C.S. § 701; 52 Pa. Code § 5.22(a</w:t>
      </w:r>
      <w:proofErr w:type="gramStart"/>
      <w:r w:rsidRPr="00C6607C">
        <w:rPr>
          <w:sz w:val="24"/>
          <w:szCs w:val="24"/>
        </w:rPr>
        <w:t>)(</w:t>
      </w:r>
      <w:proofErr w:type="gramEnd"/>
      <w:r w:rsidRPr="00C6607C">
        <w:rPr>
          <w:sz w:val="24"/>
          <w:szCs w:val="24"/>
        </w:rPr>
        <w:t>4).</w:t>
      </w:r>
    </w:p>
    <w:p w:rsidR="00123B64" w:rsidRDefault="00123B64" w:rsidP="00E16C06">
      <w:pPr>
        <w:spacing w:line="360" w:lineRule="auto"/>
        <w:rPr>
          <w:sz w:val="24"/>
          <w:szCs w:val="24"/>
        </w:rPr>
      </w:pPr>
    </w:p>
    <w:p w:rsidR="00C2737B" w:rsidRPr="00C2737B" w:rsidRDefault="00C2737B" w:rsidP="00C2737B">
      <w:pPr>
        <w:spacing w:line="360" w:lineRule="auto"/>
        <w:jc w:val="center"/>
        <w:rPr>
          <w:sz w:val="24"/>
          <w:szCs w:val="24"/>
          <w:u w:val="single"/>
        </w:rPr>
      </w:pPr>
      <w:r>
        <w:rPr>
          <w:sz w:val="24"/>
          <w:szCs w:val="24"/>
          <w:u w:val="single"/>
        </w:rPr>
        <w:t>DISCUSSION</w:t>
      </w:r>
    </w:p>
    <w:p w:rsidR="00275341" w:rsidRDefault="00275341" w:rsidP="00E16C06">
      <w:pPr>
        <w:spacing w:line="360" w:lineRule="auto"/>
        <w:rPr>
          <w:sz w:val="24"/>
          <w:szCs w:val="24"/>
        </w:rPr>
      </w:pPr>
    </w:p>
    <w:p w:rsidR="00292054" w:rsidRDefault="00275341" w:rsidP="00E16C06">
      <w:pPr>
        <w:spacing w:line="360" w:lineRule="auto"/>
        <w:rPr>
          <w:sz w:val="24"/>
          <w:szCs w:val="24"/>
        </w:rPr>
      </w:pPr>
      <w:r>
        <w:rPr>
          <w:b/>
          <w:sz w:val="24"/>
          <w:szCs w:val="24"/>
        </w:rPr>
        <w:t xml:space="preserve">The </w:t>
      </w:r>
      <w:r w:rsidR="00123B64">
        <w:rPr>
          <w:b/>
          <w:sz w:val="24"/>
          <w:szCs w:val="24"/>
        </w:rPr>
        <w:t xml:space="preserve">Westover Companies’ </w:t>
      </w:r>
      <w:r>
        <w:rPr>
          <w:b/>
          <w:sz w:val="24"/>
          <w:szCs w:val="24"/>
        </w:rPr>
        <w:t>Petition to Withdraw the Complaint</w:t>
      </w:r>
    </w:p>
    <w:p w:rsidR="00275341" w:rsidRPr="00275341" w:rsidRDefault="00275341" w:rsidP="00E16C06">
      <w:pPr>
        <w:spacing w:line="360" w:lineRule="auto"/>
        <w:rPr>
          <w:sz w:val="24"/>
          <w:szCs w:val="24"/>
        </w:rPr>
      </w:pPr>
    </w:p>
    <w:p w:rsidR="00343E99" w:rsidRDefault="00343E99" w:rsidP="00E16C06">
      <w:pPr>
        <w:spacing w:line="360" w:lineRule="auto"/>
        <w:rPr>
          <w:sz w:val="24"/>
          <w:szCs w:val="24"/>
        </w:rPr>
      </w:pPr>
      <w:r>
        <w:rPr>
          <w:sz w:val="24"/>
          <w:szCs w:val="24"/>
        </w:rPr>
        <w:tab/>
      </w:r>
      <w:r>
        <w:rPr>
          <w:sz w:val="24"/>
          <w:szCs w:val="24"/>
        </w:rPr>
        <w:tab/>
        <w:t>The Commission’s procedural rule with respect to the withdrawal of a plea</w:t>
      </w:r>
      <w:r w:rsidR="00C25D50">
        <w:rPr>
          <w:sz w:val="24"/>
          <w:szCs w:val="24"/>
        </w:rPr>
        <w:t>d</w:t>
      </w:r>
      <w:r>
        <w:rPr>
          <w:sz w:val="24"/>
          <w:szCs w:val="24"/>
        </w:rPr>
        <w:t>ing in a contested proceeding</w:t>
      </w:r>
      <w:r w:rsidR="00C25D50">
        <w:rPr>
          <w:sz w:val="24"/>
          <w:szCs w:val="24"/>
        </w:rPr>
        <w:t xml:space="preserve"> may be found at 52 Pa. Code §5.94(a)</w:t>
      </w:r>
      <w:r w:rsidR="003151F9">
        <w:rPr>
          <w:sz w:val="24"/>
          <w:szCs w:val="24"/>
        </w:rPr>
        <w:t>,</w:t>
      </w:r>
      <w:r w:rsidR="00C25D50">
        <w:rPr>
          <w:sz w:val="24"/>
          <w:szCs w:val="24"/>
        </w:rPr>
        <w:t xml:space="preserve"> and </w:t>
      </w:r>
      <w:r>
        <w:rPr>
          <w:sz w:val="24"/>
          <w:szCs w:val="24"/>
        </w:rPr>
        <w:t>states:</w:t>
      </w:r>
    </w:p>
    <w:p w:rsidR="00343E99" w:rsidRDefault="00343E99" w:rsidP="00E16C06">
      <w:pPr>
        <w:spacing w:line="360" w:lineRule="auto"/>
        <w:rPr>
          <w:sz w:val="24"/>
          <w:szCs w:val="24"/>
        </w:rPr>
      </w:pPr>
    </w:p>
    <w:p w:rsidR="00343E99" w:rsidRPr="00343E99" w:rsidRDefault="00343E99" w:rsidP="00C25D50">
      <w:pPr>
        <w:ind w:left="1440" w:right="1440"/>
        <w:rPr>
          <w:b/>
          <w:bCs/>
          <w:sz w:val="24"/>
          <w:szCs w:val="24"/>
        </w:rPr>
      </w:pPr>
      <w:bookmarkStart w:id="0" w:name="5.94."/>
      <w:r w:rsidRPr="00343E99">
        <w:rPr>
          <w:b/>
          <w:bCs/>
          <w:sz w:val="24"/>
          <w:szCs w:val="24"/>
        </w:rPr>
        <w:t>§ 5.94. </w:t>
      </w:r>
      <w:proofErr w:type="gramStart"/>
      <w:r w:rsidRPr="00343E99">
        <w:rPr>
          <w:b/>
          <w:bCs/>
          <w:sz w:val="24"/>
          <w:szCs w:val="24"/>
        </w:rPr>
        <w:t>Withdrawal of pleadings in a contested proceeding.</w:t>
      </w:r>
      <w:proofErr w:type="gramEnd"/>
    </w:p>
    <w:p w:rsidR="00275341" w:rsidRDefault="00343E99" w:rsidP="00C25D50">
      <w:pPr>
        <w:ind w:left="1440" w:right="1440"/>
        <w:rPr>
          <w:sz w:val="24"/>
          <w:szCs w:val="24"/>
        </w:rPr>
      </w:pPr>
      <w:r w:rsidRPr="00343E99">
        <w:rPr>
          <w:sz w:val="24"/>
          <w:szCs w:val="24"/>
        </w:rPr>
        <w:t> </w:t>
      </w:r>
    </w:p>
    <w:p w:rsidR="00343E99" w:rsidRPr="00343E99" w:rsidRDefault="00343E99" w:rsidP="00C25D50">
      <w:pPr>
        <w:ind w:left="1440" w:right="1440"/>
        <w:rPr>
          <w:sz w:val="24"/>
          <w:szCs w:val="24"/>
        </w:rPr>
      </w:pPr>
      <w:r w:rsidRPr="00343E99">
        <w:rPr>
          <w:sz w:val="24"/>
          <w:szCs w:val="24"/>
        </w:rPr>
        <w:t xml:space="preserve">(a)  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20 days of service. After considering the petition, an objection thereto and the public interest, the presiding officer or the Commission will determine whether the withdrawal will be permitted. </w:t>
      </w:r>
    </w:p>
    <w:bookmarkEnd w:id="0"/>
    <w:p w:rsidR="00343E99" w:rsidRDefault="00343E99" w:rsidP="00E16C06">
      <w:pPr>
        <w:spacing w:line="360" w:lineRule="auto"/>
        <w:rPr>
          <w:sz w:val="24"/>
          <w:szCs w:val="24"/>
        </w:rPr>
      </w:pPr>
    </w:p>
    <w:p w:rsidR="00D27B46" w:rsidRDefault="00292054" w:rsidP="00E16C06">
      <w:pPr>
        <w:spacing w:line="360" w:lineRule="auto"/>
        <w:rPr>
          <w:sz w:val="24"/>
          <w:szCs w:val="24"/>
        </w:rPr>
      </w:pPr>
      <w:r>
        <w:rPr>
          <w:sz w:val="24"/>
          <w:szCs w:val="24"/>
        </w:rPr>
        <w:tab/>
      </w:r>
      <w:r>
        <w:rPr>
          <w:sz w:val="24"/>
          <w:szCs w:val="24"/>
        </w:rPr>
        <w:tab/>
      </w:r>
      <w:r w:rsidR="00E23E84">
        <w:rPr>
          <w:sz w:val="24"/>
          <w:szCs w:val="24"/>
        </w:rPr>
        <w:t xml:space="preserve">Complainants’ </w:t>
      </w:r>
      <w:r w:rsidR="00D127BB">
        <w:rPr>
          <w:sz w:val="24"/>
          <w:szCs w:val="24"/>
        </w:rPr>
        <w:t xml:space="preserve">have abandoned their effort to be declared </w:t>
      </w:r>
      <w:r w:rsidR="00D127BB" w:rsidRPr="00D127BB">
        <w:rPr>
          <w:i/>
          <w:sz w:val="24"/>
          <w:szCs w:val="24"/>
        </w:rPr>
        <w:t>not</w:t>
      </w:r>
      <w:r w:rsidR="00D127BB">
        <w:rPr>
          <w:sz w:val="24"/>
          <w:szCs w:val="24"/>
        </w:rPr>
        <w:t xml:space="preserve"> within the definition of landlord ratepayers, and so their </w:t>
      </w:r>
      <w:r w:rsidR="00E23E84">
        <w:rPr>
          <w:sz w:val="24"/>
          <w:szCs w:val="24"/>
        </w:rPr>
        <w:t xml:space="preserve">request to withdraw </w:t>
      </w:r>
      <w:r w:rsidR="00D127BB">
        <w:rPr>
          <w:sz w:val="24"/>
          <w:szCs w:val="24"/>
        </w:rPr>
        <w:t>that</w:t>
      </w:r>
      <w:r w:rsidR="00E23E84">
        <w:rPr>
          <w:sz w:val="24"/>
          <w:szCs w:val="24"/>
        </w:rPr>
        <w:t xml:space="preserve"> portion o</w:t>
      </w:r>
      <w:r w:rsidR="00D127BB">
        <w:rPr>
          <w:sz w:val="24"/>
          <w:szCs w:val="24"/>
        </w:rPr>
        <w:t>f</w:t>
      </w:r>
      <w:r w:rsidR="00E23E84">
        <w:rPr>
          <w:sz w:val="24"/>
          <w:szCs w:val="24"/>
        </w:rPr>
        <w:t xml:space="preserve"> their Complaint</w:t>
      </w:r>
      <w:r w:rsidR="00D127BB">
        <w:rPr>
          <w:sz w:val="24"/>
          <w:szCs w:val="24"/>
        </w:rPr>
        <w:t xml:space="preserve"> </w:t>
      </w:r>
      <w:r w:rsidR="00D127BB" w:rsidRPr="00D127BB">
        <w:rPr>
          <w:i/>
          <w:sz w:val="24"/>
          <w:szCs w:val="24"/>
        </w:rPr>
        <w:t>with</w:t>
      </w:r>
      <w:r w:rsidR="00D127BB">
        <w:rPr>
          <w:sz w:val="24"/>
          <w:szCs w:val="24"/>
        </w:rPr>
        <w:t xml:space="preserve"> prejudice is unopposed by PECO.  </w:t>
      </w:r>
    </w:p>
    <w:p w:rsidR="00D27B46" w:rsidRDefault="00D27B46" w:rsidP="00E16C06">
      <w:pPr>
        <w:spacing w:line="360" w:lineRule="auto"/>
        <w:rPr>
          <w:sz w:val="24"/>
          <w:szCs w:val="24"/>
        </w:rPr>
      </w:pPr>
    </w:p>
    <w:p w:rsidR="003151F9" w:rsidRDefault="00D27B46" w:rsidP="00E16C06">
      <w:pPr>
        <w:spacing w:line="360" w:lineRule="auto"/>
        <w:rPr>
          <w:sz w:val="24"/>
          <w:szCs w:val="24"/>
        </w:rPr>
      </w:pPr>
      <w:r>
        <w:rPr>
          <w:sz w:val="24"/>
          <w:szCs w:val="24"/>
        </w:rPr>
        <w:tab/>
      </w:r>
      <w:r>
        <w:rPr>
          <w:sz w:val="24"/>
          <w:szCs w:val="24"/>
        </w:rPr>
        <w:tab/>
      </w:r>
      <w:r w:rsidR="00292054">
        <w:rPr>
          <w:sz w:val="24"/>
          <w:szCs w:val="24"/>
        </w:rPr>
        <w:t xml:space="preserve">The central issue, here, is the request by the Complainants to withdraw </w:t>
      </w:r>
      <w:r w:rsidR="00280BAC">
        <w:rPr>
          <w:sz w:val="24"/>
          <w:szCs w:val="24"/>
        </w:rPr>
        <w:t xml:space="preserve">the </w:t>
      </w:r>
      <w:r w:rsidR="00292054">
        <w:rPr>
          <w:sz w:val="24"/>
          <w:szCs w:val="24"/>
        </w:rPr>
        <w:t xml:space="preserve">one </w:t>
      </w:r>
      <w:r w:rsidR="00280BAC">
        <w:rPr>
          <w:sz w:val="24"/>
          <w:szCs w:val="24"/>
        </w:rPr>
        <w:t xml:space="preserve">remaining </w:t>
      </w:r>
      <w:r w:rsidR="00292054">
        <w:rPr>
          <w:sz w:val="24"/>
          <w:szCs w:val="24"/>
        </w:rPr>
        <w:t xml:space="preserve">count of their </w:t>
      </w:r>
      <w:r w:rsidR="00934E8E">
        <w:rPr>
          <w:sz w:val="24"/>
          <w:szCs w:val="24"/>
        </w:rPr>
        <w:t>Complaint</w:t>
      </w:r>
      <w:r w:rsidR="00275341">
        <w:rPr>
          <w:sz w:val="24"/>
          <w:szCs w:val="24"/>
        </w:rPr>
        <w:t>, Count VII</w:t>
      </w:r>
      <w:r w:rsidR="00DC656B">
        <w:rPr>
          <w:sz w:val="24"/>
          <w:szCs w:val="24"/>
        </w:rPr>
        <w:t xml:space="preserve"> (</w:t>
      </w:r>
      <w:r w:rsidR="00D717C3">
        <w:rPr>
          <w:sz w:val="24"/>
          <w:szCs w:val="24"/>
        </w:rPr>
        <w:t xml:space="preserve">which was </w:t>
      </w:r>
      <w:r w:rsidR="00934E8E">
        <w:rPr>
          <w:sz w:val="24"/>
          <w:szCs w:val="24"/>
        </w:rPr>
        <w:t>referred to th</w:t>
      </w:r>
      <w:r w:rsidR="003151F9">
        <w:rPr>
          <w:sz w:val="24"/>
          <w:szCs w:val="24"/>
        </w:rPr>
        <w:t>e Commission</w:t>
      </w:r>
      <w:r w:rsidR="00934E8E">
        <w:rPr>
          <w:sz w:val="24"/>
          <w:szCs w:val="24"/>
        </w:rPr>
        <w:t xml:space="preserve"> </w:t>
      </w:r>
      <w:r w:rsidR="00290CBB">
        <w:rPr>
          <w:sz w:val="24"/>
          <w:szCs w:val="24"/>
        </w:rPr>
        <w:t xml:space="preserve">in </w:t>
      </w:r>
      <w:r w:rsidR="00C25D50">
        <w:rPr>
          <w:sz w:val="24"/>
          <w:szCs w:val="24"/>
        </w:rPr>
        <w:t xml:space="preserve">the </w:t>
      </w:r>
      <w:r w:rsidR="00DC656B">
        <w:rPr>
          <w:sz w:val="24"/>
          <w:szCs w:val="24"/>
        </w:rPr>
        <w:t xml:space="preserve">Amended </w:t>
      </w:r>
      <w:r w:rsidR="00290CBB">
        <w:rPr>
          <w:sz w:val="24"/>
          <w:szCs w:val="24"/>
        </w:rPr>
        <w:t xml:space="preserve">Order dated March 26, 2010, </w:t>
      </w:r>
      <w:r w:rsidR="00934E8E">
        <w:rPr>
          <w:sz w:val="24"/>
          <w:szCs w:val="24"/>
        </w:rPr>
        <w:t>by the Court of Common Pleas of Delaware County</w:t>
      </w:r>
      <w:r w:rsidR="00DC656B">
        <w:rPr>
          <w:sz w:val="24"/>
          <w:szCs w:val="24"/>
        </w:rPr>
        <w:t>)</w:t>
      </w:r>
      <w:r w:rsidR="00934E8E">
        <w:rPr>
          <w:sz w:val="24"/>
          <w:szCs w:val="24"/>
        </w:rPr>
        <w:t xml:space="preserve">, </w:t>
      </w:r>
      <w:r w:rsidR="00934E8E" w:rsidRPr="00D87B3D">
        <w:rPr>
          <w:i/>
          <w:sz w:val="24"/>
          <w:szCs w:val="24"/>
        </w:rPr>
        <w:lastRenderedPageBreak/>
        <w:t>without</w:t>
      </w:r>
      <w:r w:rsidR="00934E8E">
        <w:rPr>
          <w:sz w:val="24"/>
          <w:szCs w:val="24"/>
        </w:rPr>
        <w:t xml:space="preserve"> prejudice.</w:t>
      </w:r>
      <w:r w:rsidR="00934E8E">
        <w:rPr>
          <w:rStyle w:val="FootnoteReference"/>
          <w:sz w:val="24"/>
          <w:szCs w:val="24"/>
        </w:rPr>
        <w:footnoteReference w:id="11"/>
      </w:r>
      <w:r w:rsidR="00934E8E">
        <w:rPr>
          <w:sz w:val="24"/>
          <w:szCs w:val="24"/>
        </w:rPr>
        <w:t xml:space="preserve">  </w:t>
      </w:r>
      <w:r w:rsidR="00D87B3D">
        <w:rPr>
          <w:sz w:val="24"/>
          <w:szCs w:val="24"/>
        </w:rPr>
        <w:t>Count V</w:t>
      </w:r>
      <w:r w:rsidR="002041FA">
        <w:rPr>
          <w:sz w:val="24"/>
          <w:szCs w:val="24"/>
        </w:rPr>
        <w:t>I</w:t>
      </w:r>
      <w:r w:rsidR="00D87B3D">
        <w:rPr>
          <w:sz w:val="24"/>
          <w:szCs w:val="24"/>
        </w:rPr>
        <w:t>I</w:t>
      </w:r>
      <w:r w:rsidR="00275341">
        <w:rPr>
          <w:sz w:val="24"/>
          <w:szCs w:val="24"/>
        </w:rPr>
        <w:t xml:space="preserve"> is</w:t>
      </w:r>
      <w:r w:rsidR="002041FA">
        <w:rPr>
          <w:sz w:val="24"/>
          <w:szCs w:val="24"/>
        </w:rPr>
        <w:t xml:space="preserve"> a claim for breach of contract that alleges</w:t>
      </w:r>
      <w:r w:rsidR="00290CBB">
        <w:rPr>
          <w:sz w:val="24"/>
          <w:szCs w:val="24"/>
        </w:rPr>
        <w:t>,</w:t>
      </w:r>
      <w:r w:rsidR="002041FA">
        <w:rPr>
          <w:sz w:val="24"/>
          <w:szCs w:val="24"/>
        </w:rPr>
        <w:t xml:space="preserve"> generally</w:t>
      </w:r>
      <w:r w:rsidR="00290CBB">
        <w:rPr>
          <w:sz w:val="24"/>
          <w:szCs w:val="24"/>
        </w:rPr>
        <w:t>,</w:t>
      </w:r>
      <w:r w:rsidR="002041FA">
        <w:rPr>
          <w:sz w:val="24"/>
          <w:szCs w:val="24"/>
        </w:rPr>
        <w:t xml:space="preserve"> that even assuming that the Complainants are landlord ratepayers, PECO</w:t>
      </w:r>
      <w:r w:rsidR="003151F9">
        <w:rPr>
          <w:sz w:val="24"/>
          <w:szCs w:val="24"/>
        </w:rPr>
        <w:t xml:space="preserve"> still</w:t>
      </w:r>
      <w:r w:rsidR="002041FA">
        <w:rPr>
          <w:sz w:val="24"/>
          <w:szCs w:val="24"/>
        </w:rPr>
        <w:t xml:space="preserve"> improperly charged the Complainants for utility service.</w:t>
      </w:r>
      <w:r w:rsidR="00280BAC">
        <w:rPr>
          <w:sz w:val="24"/>
          <w:szCs w:val="24"/>
        </w:rPr>
        <w:t xml:space="preserve">  </w:t>
      </w:r>
      <w:r>
        <w:rPr>
          <w:sz w:val="24"/>
          <w:szCs w:val="24"/>
        </w:rPr>
        <w:t>The Amended Order of March 26, 2010, states, in pertinent part:</w:t>
      </w:r>
    </w:p>
    <w:p w:rsidR="00D27B46" w:rsidRDefault="00D27B46" w:rsidP="00E16C06">
      <w:pPr>
        <w:spacing w:line="360" w:lineRule="auto"/>
        <w:rPr>
          <w:sz w:val="24"/>
          <w:szCs w:val="24"/>
        </w:rPr>
      </w:pPr>
    </w:p>
    <w:p w:rsidR="00D27B46" w:rsidRDefault="003629FB" w:rsidP="003629FB">
      <w:pPr>
        <w:ind w:left="1440" w:right="1440"/>
        <w:rPr>
          <w:sz w:val="24"/>
          <w:szCs w:val="24"/>
        </w:rPr>
      </w:pPr>
      <w:r>
        <w:rPr>
          <w:sz w:val="24"/>
          <w:szCs w:val="24"/>
        </w:rPr>
        <w:t>1.</w:t>
      </w:r>
      <w:r>
        <w:rPr>
          <w:sz w:val="24"/>
          <w:szCs w:val="24"/>
        </w:rPr>
        <w:tab/>
        <w:t xml:space="preserve">All issues </w:t>
      </w:r>
      <w:proofErr w:type="gramStart"/>
      <w:r>
        <w:rPr>
          <w:sz w:val="24"/>
          <w:szCs w:val="24"/>
        </w:rPr>
        <w:t>raised</w:t>
      </w:r>
      <w:proofErr w:type="gramEnd"/>
      <w:r>
        <w:rPr>
          <w:sz w:val="24"/>
          <w:szCs w:val="24"/>
        </w:rPr>
        <w:t xml:space="preserve"> in the Complaint’s Counts VI, VII and VIII are bifurcated from damages and shall be referred to and resolved by the Pennsylvania Public Utility Commission (PUC).</w:t>
      </w:r>
    </w:p>
    <w:p w:rsidR="003629FB" w:rsidRDefault="003629FB" w:rsidP="003629FB">
      <w:pPr>
        <w:ind w:left="1440" w:right="1440"/>
        <w:rPr>
          <w:sz w:val="24"/>
          <w:szCs w:val="24"/>
        </w:rPr>
      </w:pPr>
    </w:p>
    <w:p w:rsidR="003629FB" w:rsidRDefault="003629FB" w:rsidP="003629FB">
      <w:pPr>
        <w:ind w:left="1440" w:right="1440"/>
        <w:rPr>
          <w:sz w:val="24"/>
          <w:szCs w:val="24"/>
        </w:rPr>
      </w:pPr>
      <w:r>
        <w:rPr>
          <w:sz w:val="24"/>
          <w:szCs w:val="24"/>
        </w:rPr>
        <w:t>2.</w:t>
      </w:r>
      <w:r>
        <w:rPr>
          <w:sz w:val="24"/>
          <w:szCs w:val="24"/>
        </w:rPr>
        <w:tab/>
        <w:t>Plaintiffs shall take the necessary steps to effectuate said referral and bifurcation by initiating an action with the PUC.</w:t>
      </w:r>
      <w:r w:rsidR="00DC656B">
        <w:rPr>
          <w:rStyle w:val="FootnoteReference"/>
          <w:sz w:val="24"/>
          <w:szCs w:val="24"/>
        </w:rPr>
        <w:footnoteReference w:id="12"/>
      </w:r>
    </w:p>
    <w:p w:rsidR="003151F9" w:rsidRDefault="003151F9" w:rsidP="00E16C06">
      <w:pPr>
        <w:spacing w:line="360" w:lineRule="auto"/>
        <w:rPr>
          <w:sz w:val="24"/>
          <w:szCs w:val="24"/>
        </w:rPr>
      </w:pPr>
    </w:p>
    <w:p w:rsidR="002041FA" w:rsidRDefault="003151F9" w:rsidP="00E16C06">
      <w:pPr>
        <w:spacing w:line="360" w:lineRule="auto"/>
        <w:rPr>
          <w:sz w:val="24"/>
          <w:szCs w:val="24"/>
        </w:rPr>
      </w:pPr>
      <w:r>
        <w:rPr>
          <w:sz w:val="24"/>
          <w:szCs w:val="24"/>
        </w:rPr>
        <w:tab/>
      </w:r>
      <w:r>
        <w:rPr>
          <w:sz w:val="24"/>
          <w:szCs w:val="24"/>
        </w:rPr>
        <w:tab/>
      </w:r>
      <w:r w:rsidR="00280BAC">
        <w:rPr>
          <w:sz w:val="24"/>
          <w:szCs w:val="24"/>
        </w:rPr>
        <w:t xml:space="preserve">An allegation </w:t>
      </w:r>
      <w:r w:rsidR="00D717C3">
        <w:rPr>
          <w:sz w:val="24"/>
          <w:szCs w:val="24"/>
        </w:rPr>
        <w:t xml:space="preserve">such as that in Count VII, </w:t>
      </w:r>
      <w:r w:rsidR="00280BAC">
        <w:rPr>
          <w:sz w:val="24"/>
          <w:szCs w:val="24"/>
        </w:rPr>
        <w:t>that a utility improperly charged its customers</w:t>
      </w:r>
      <w:r w:rsidR="00D717C3">
        <w:rPr>
          <w:sz w:val="24"/>
          <w:szCs w:val="24"/>
        </w:rPr>
        <w:t>,</w:t>
      </w:r>
      <w:r w:rsidR="00280BAC">
        <w:rPr>
          <w:sz w:val="24"/>
          <w:szCs w:val="24"/>
        </w:rPr>
        <w:t xml:space="preserve"> fits squarely within the jurisdiction of the Commission under the Pennsylvania Public Utility Code (Code)</w:t>
      </w:r>
      <w:r w:rsidR="00343E99">
        <w:rPr>
          <w:sz w:val="24"/>
          <w:szCs w:val="24"/>
        </w:rPr>
        <w:t xml:space="preserve"> at 66 Pa. C.S. §§</w:t>
      </w:r>
      <w:r w:rsidR="00C25D50">
        <w:rPr>
          <w:sz w:val="24"/>
          <w:szCs w:val="24"/>
        </w:rPr>
        <w:t xml:space="preserve"> 701 and 1501, and it is not in the public interest to allow the withdrawal of this section of the </w:t>
      </w:r>
      <w:r w:rsidR="009656ED">
        <w:rPr>
          <w:sz w:val="24"/>
          <w:szCs w:val="24"/>
        </w:rPr>
        <w:t xml:space="preserve">Complaint without prejudice.  To </w:t>
      </w:r>
      <w:r>
        <w:rPr>
          <w:sz w:val="24"/>
          <w:szCs w:val="24"/>
        </w:rPr>
        <w:t>do so</w:t>
      </w:r>
      <w:r w:rsidR="009656ED">
        <w:rPr>
          <w:sz w:val="24"/>
          <w:szCs w:val="24"/>
        </w:rPr>
        <w:t xml:space="preserve"> would simply allow the Complainants to go back to the Court of Common Pleas where they may decide to pursue Count VII, at which time the Court of Common Pleas will </w:t>
      </w:r>
      <w:r w:rsidR="009656ED" w:rsidRPr="009656ED">
        <w:rPr>
          <w:i/>
          <w:sz w:val="24"/>
          <w:szCs w:val="24"/>
        </w:rPr>
        <w:t>again</w:t>
      </w:r>
      <w:r w:rsidR="009656ED">
        <w:rPr>
          <w:sz w:val="24"/>
          <w:szCs w:val="24"/>
        </w:rPr>
        <w:t xml:space="preserve"> </w:t>
      </w:r>
      <w:r w:rsidR="000E62DC">
        <w:rPr>
          <w:sz w:val="24"/>
          <w:szCs w:val="24"/>
        </w:rPr>
        <w:t>direct</w:t>
      </w:r>
      <w:r w:rsidR="009656ED">
        <w:rPr>
          <w:sz w:val="24"/>
          <w:szCs w:val="24"/>
        </w:rPr>
        <w:t xml:space="preserve"> the matter back to the Commission</w:t>
      </w:r>
      <w:r w:rsidR="000E62DC">
        <w:rPr>
          <w:sz w:val="24"/>
          <w:szCs w:val="24"/>
        </w:rPr>
        <w:t xml:space="preserve"> consistent with the mandatory language of the Amended Order of March 26, 2010</w:t>
      </w:r>
      <w:r w:rsidR="009656ED">
        <w:rPr>
          <w:sz w:val="24"/>
          <w:szCs w:val="24"/>
        </w:rPr>
        <w:t>.  It is not in the public interest to allow this circularity of litigation to continue</w:t>
      </w:r>
      <w:r w:rsidR="00C75886">
        <w:rPr>
          <w:sz w:val="24"/>
          <w:szCs w:val="24"/>
        </w:rPr>
        <w:t xml:space="preserve"> and </w:t>
      </w:r>
      <w:r w:rsidR="000E62DC">
        <w:rPr>
          <w:sz w:val="24"/>
          <w:szCs w:val="24"/>
        </w:rPr>
        <w:t>would be,</w:t>
      </w:r>
      <w:r w:rsidR="00C75886">
        <w:rPr>
          <w:sz w:val="24"/>
          <w:szCs w:val="24"/>
        </w:rPr>
        <w:t xml:space="preserve"> arguably</w:t>
      </w:r>
      <w:r w:rsidR="000E62DC">
        <w:rPr>
          <w:sz w:val="24"/>
          <w:szCs w:val="24"/>
        </w:rPr>
        <w:t>,</w:t>
      </w:r>
      <w:r w:rsidR="00C75886">
        <w:rPr>
          <w:sz w:val="24"/>
          <w:szCs w:val="24"/>
        </w:rPr>
        <w:t xml:space="preserve"> </w:t>
      </w:r>
      <w:r w:rsidR="000E62DC">
        <w:rPr>
          <w:sz w:val="24"/>
          <w:szCs w:val="24"/>
        </w:rPr>
        <w:t xml:space="preserve">a </w:t>
      </w:r>
      <w:r w:rsidR="00C75886">
        <w:rPr>
          <w:sz w:val="24"/>
          <w:szCs w:val="24"/>
        </w:rPr>
        <w:t>violati</w:t>
      </w:r>
      <w:r w:rsidR="000E62DC">
        <w:rPr>
          <w:sz w:val="24"/>
          <w:szCs w:val="24"/>
        </w:rPr>
        <w:t>on by the Complainants</w:t>
      </w:r>
      <w:r w:rsidR="00C75886">
        <w:rPr>
          <w:sz w:val="24"/>
          <w:szCs w:val="24"/>
        </w:rPr>
        <w:t xml:space="preserve"> of the mandatory language of the Amended Order</w:t>
      </w:r>
      <w:r w:rsidR="000E62DC">
        <w:rPr>
          <w:sz w:val="24"/>
          <w:szCs w:val="24"/>
        </w:rPr>
        <w:t xml:space="preserve"> of March 26, 2010</w:t>
      </w:r>
      <w:r w:rsidR="009656ED">
        <w:rPr>
          <w:sz w:val="24"/>
          <w:szCs w:val="24"/>
        </w:rPr>
        <w:t>.</w:t>
      </w:r>
      <w:r w:rsidR="00C05652">
        <w:rPr>
          <w:rStyle w:val="FootnoteReference"/>
          <w:sz w:val="24"/>
          <w:szCs w:val="24"/>
        </w:rPr>
        <w:footnoteReference w:id="13"/>
      </w:r>
    </w:p>
    <w:p w:rsidR="00F239BA" w:rsidRDefault="00F239BA" w:rsidP="00E16C06">
      <w:pPr>
        <w:spacing w:line="360" w:lineRule="auto"/>
        <w:rPr>
          <w:sz w:val="24"/>
          <w:szCs w:val="24"/>
        </w:rPr>
      </w:pPr>
    </w:p>
    <w:p w:rsidR="00F239BA" w:rsidRDefault="00F239BA" w:rsidP="00E16C06">
      <w:pPr>
        <w:spacing w:line="360" w:lineRule="auto"/>
        <w:rPr>
          <w:sz w:val="24"/>
          <w:szCs w:val="24"/>
        </w:rPr>
      </w:pPr>
    </w:p>
    <w:p w:rsidR="00F239BA" w:rsidRDefault="00F239BA" w:rsidP="00E16C06">
      <w:pPr>
        <w:spacing w:line="360" w:lineRule="auto"/>
        <w:rPr>
          <w:sz w:val="24"/>
          <w:szCs w:val="24"/>
        </w:rPr>
      </w:pPr>
    </w:p>
    <w:p w:rsidR="002041FA" w:rsidRDefault="002041FA" w:rsidP="00E16C06">
      <w:pPr>
        <w:spacing w:line="360" w:lineRule="auto"/>
        <w:rPr>
          <w:sz w:val="24"/>
          <w:szCs w:val="24"/>
        </w:rPr>
      </w:pPr>
    </w:p>
    <w:p w:rsidR="00453FAA" w:rsidRPr="00E10414" w:rsidRDefault="00E10414" w:rsidP="00E16C06">
      <w:pPr>
        <w:spacing w:line="360" w:lineRule="auto"/>
        <w:rPr>
          <w:b/>
          <w:sz w:val="24"/>
          <w:szCs w:val="24"/>
        </w:rPr>
      </w:pPr>
      <w:r>
        <w:rPr>
          <w:b/>
          <w:sz w:val="24"/>
          <w:szCs w:val="24"/>
        </w:rPr>
        <w:lastRenderedPageBreak/>
        <w:t>The Second Preliminary Objection of PECO Energy Company</w:t>
      </w:r>
    </w:p>
    <w:p w:rsidR="00201928" w:rsidRDefault="00453FAA" w:rsidP="000F5192">
      <w:pPr>
        <w:spacing w:line="360" w:lineRule="auto"/>
        <w:rPr>
          <w:sz w:val="24"/>
          <w:szCs w:val="24"/>
        </w:rPr>
      </w:pPr>
      <w:r>
        <w:rPr>
          <w:sz w:val="24"/>
          <w:szCs w:val="24"/>
        </w:rPr>
        <w:tab/>
      </w:r>
      <w:r>
        <w:rPr>
          <w:sz w:val="24"/>
          <w:szCs w:val="24"/>
        </w:rPr>
        <w:tab/>
      </w:r>
    </w:p>
    <w:p w:rsidR="00C6607C" w:rsidRPr="00C6607C" w:rsidRDefault="00112B8D" w:rsidP="00C6607C">
      <w:pPr>
        <w:pStyle w:val="NoSpacing"/>
        <w:spacing w:line="360" w:lineRule="auto"/>
        <w:rPr>
          <w:rFonts w:ascii="Times New Roman" w:hAnsi="Times New Roman" w:cs="Times New Roman"/>
          <w:sz w:val="24"/>
          <w:szCs w:val="24"/>
        </w:rPr>
      </w:pPr>
      <w:r w:rsidRPr="00C6607C">
        <w:rPr>
          <w:rFonts w:ascii="Times New Roman" w:hAnsi="Times New Roman" w:cs="Times New Roman"/>
          <w:sz w:val="24"/>
          <w:szCs w:val="24"/>
        </w:rPr>
        <w:tab/>
      </w:r>
      <w:r w:rsidRPr="00C6607C">
        <w:rPr>
          <w:rFonts w:ascii="Times New Roman" w:hAnsi="Times New Roman" w:cs="Times New Roman"/>
          <w:sz w:val="24"/>
          <w:szCs w:val="24"/>
        </w:rPr>
        <w:tab/>
      </w:r>
      <w:r w:rsidR="00C6607C" w:rsidRPr="00C6607C">
        <w:rPr>
          <w:rFonts w:ascii="Times New Roman" w:hAnsi="Times New Roman" w:cs="Times New Roman"/>
          <w:sz w:val="24"/>
          <w:szCs w:val="24"/>
        </w:rPr>
        <w:t xml:space="preserve">The Commission's Rules of Administrative Practice and Procedure permit the filing of preliminary objections.  52 Pa. </w:t>
      </w:r>
      <w:proofErr w:type="gramStart"/>
      <w:r w:rsidR="00C6607C" w:rsidRPr="00C6607C">
        <w:rPr>
          <w:rFonts w:ascii="Times New Roman" w:hAnsi="Times New Roman" w:cs="Times New Roman"/>
          <w:sz w:val="24"/>
          <w:szCs w:val="24"/>
        </w:rPr>
        <w:t>Code</w:t>
      </w:r>
      <w:proofErr w:type="gramEnd"/>
      <w:r w:rsidR="00C6607C" w:rsidRPr="00C6607C">
        <w:rPr>
          <w:rFonts w:ascii="Times New Roman" w:hAnsi="Times New Roman" w:cs="Times New Roman"/>
          <w:sz w:val="24"/>
          <w:szCs w:val="24"/>
        </w:rPr>
        <w:t xml:space="preserve"> § 5.101:</w:t>
      </w:r>
    </w:p>
    <w:p w:rsidR="00C6607C" w:rsidRPr="00C6607C" w:rsidRDefault="00C6607C" w:rsidP="00C6607C">
      <w:pPr>
        <w:pStyle w:val="NoSpacing"/>
        <w:spacing w:line="360" w:lineRule="auto"/>
        <w:rPr>
          <w:rFonts w:ascii="Times New Roman" w:hAnsi="Times New Roman" w:cs="Times New Roman"/>
          <w:sz w:val="24"/>
          <w:szCs w:val="24"/>
        </w:rPr>
      </w:pPr>
      <w:r w:rsidRPr="00C6607C">
        <w:rPr>
          <w:rFonts w:ascii="Times New Roman" w:hAnsi="Times New Roman" w:cs="Times New Roman"/>
          <w:sz w:val="24"/>
          <w:szCs w:val="24"/>
        </w:rPr>
        <w:t xml:space="preserve"> </w:t>
      </w:r>
    </w:p>
    <w:p w:rsidR="00C6607C" w:rsidRPr="00C6607C" w:rsidRDefault="00C6607C" w:rsidP="00C6607C">
      <w:pPr>
        <w:pStyle w:val="NoSpacing"/>
        <w:ind w:left="1440" w:right="1440"/>
        <w:rPr>
          <w:rFonts w:ascii="Times New Roman" w:hAnsi="Times New Roman" w:cs="Times New Roman"/>
          <w:sz w:val="24"/>
          <w:szCs w:val="24"/>
        </w:rPr>
      </w:pPr>
      <w:r w:rsidRPr="00C6607C">
        <w:rPr>
          <w:rFonts w:ascii="Times New Roman" w:hAnsi="Times New Roman" w:cs="Times New Roman"/>
          <w:b/>
          <w:bCs/>
          <w:sz w:val="24"/>
          <w:szCs w:val="24"/>
        </w:rPr>
        <w:t xml:space="preserve">§ 5.101. </w:t>
      </w:r>
      <w:proofErr w:type="gramStart"/>
      <w:r w:rsidRPr="00C6607C">
        <w:rPr>
          <w:rFonts w:ascii="Times New Roman" w:hAnsi="Times New Roman" w:cs="Times New Roman"/>
          <w:b/>
          <w:bCs/>
          <w:sz w:val="24"/>
          <w:szCs w:val="24"/>
        </w:rPr>
        <w:t>Preliminary objections.</w:t>
      </w:r>
      <w:proofErr w:type="gramEnd"/>
      <w:r w:rsidRPr="00C6607C">
        <w:rPr>
          <w:rFonts w:ascii="Times New Roman" w:hAnsi="Times New Roman" w:cs="Times New Roman"/>
          <w:sz w:val="24"/>
          <w:szCs w:val="24"/>
        </w:rPr>
        <w:br/>
        <w:t> </w:t>
      </w:r>
      <w:r w:rsidRPr="00C6607C">
        <w:rPr>
          <w:rFonts w:ascii="Times New Roman" w:hAnsi="Times New Roman" w:cs="Times New Roman"/>
          <w:sz w:val="24"/>
          <w:szCs w:val="24"/>
        </w:rPr>
        <w:br/>
        <w:t xml:space="preserve">(a) </w:t>
      </w:r>
      <w:r w:rsidRPr="00C6607C">
        <w:rPr>
          <w:rFonts w:ascii="Times New Roman" w:hAnsi="Times New Roman" w:cs="Times New Roman"/>
          <w:i/>
          <w:iCs/>
          <w:sz w:val="24"/>
          <w:szCs w:val="24"/>
        </w:rPr>
        <w:t>Grounds.</w:t>
      </w:r>
      <w:r w:rsidRPr="00C6607C">
        <w:rPr>
          <w:rFonts w:ascii="Times New Roman" w:hAnsi="Times New Roman" w:cs="Times New Roman"/>
          <w:sz w:val="24"/>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roofErr w:type="gramStart"/>
      <w:r w:rsidRPr="00C6607C">
        <w:rPr>
          <w:rFonts w:ascii="Times New Roman" w:hAnsi="Times New Roman" w:cs="Times New Roman"/>
          <w:sz w:val="24"/>
          <w:szCs w:val="24"/>
        </w:rPr>
        <w:t>:</w:t>
      </w:r>
      <w:proofErr w:type="gramEnd"/>
      <w:r w:rsidRPr="00C6607C">
        <w:rPr>
          <w:rFonts w:ascii="Times New Roman" w:hAnsi="Times New Roman" w:cs="Times New Roman"/>
          <w:sz w:val="24"/>
          <w:szCs w:val="24"/>
        </w:rPr>
        <w:br/>
      </w:r>
      <w:r w:rsidRPr="00C6607C">
        <w:rPr>
          <w:rFonts w:ascii="Times New Roman" w:hAnsi="Times New Roman" w:cs="Times New Roman"/>
          <w:sz w:val="24"/>
          <w:szCs w:val="24"/>
        </w:rPr>
        <w:br/>
        <w:t>(1) Lack of Commission jurisdiction or improper service of the pleading initiating the proceeding.</w:t>
      </w:r>
      <w:r w:rsidRPr="00C6607C">
        <w:rPr>
          <w:rFonts w:ascii="Times New Roman" w:hAnsi="Times New Roman" w:cs="Times New Roman"/>
          <w:sz w:val="24"/>
          <w:szCs w:val="24"/>
        </w:rPr>
        <w:br/>
      </w:r>
      <w:r w:rsidRPr="00C6607C">
        <w:rPr>
          <w:rFonts w:ascii="Times New Roman" w:hAnsi="Times New Roman" w:cs="Times New Roman"/>
          <w:sz w:val="24"/>
          <w:szCs w:val="24"/>
        </w:rPr>
        <w:br/>
        <w:t>(2) Failure of a pleading to conform to this chapter or the inclusion of scandalous or impertinent matter.</w:t>
      </w:r>
      <w:r w:rsidRPr="00C6607C">
        <w:rPr>
          <w:rFonts w:ascii="Times New Roman" w:hAnsi="Times New Roman" w:cs="Times New Roman"/>
          <w:sz w:val="24"/>
          <w:szCs w:val="24"/>
        </w:rPr>
        <w:br/>
      </w:r>
      <w:r w:rsidRPr="00C6607C">
        <w:rPr>
          <w:rFonts w:ascii="Times New Roman" w:hAnsi="Times New Roman" w:cs="Times New Roman"/>
          <w:sz w:val="24"/>
          <w:szCs w:val="24"/>
        </w:rPr>
        <w:br/>
        <w:t xml:space="preserve">(3) Insufficient </w:t>
      </w:r>
      <w:r w:rsidRPr="00C6607C">
        <w:rPr>
          <w:rFonts w:ascii="Times New Roman" w:hAnsi="Times New Roman" w:cs="Times New Roman"/>
          <w:bCs/>
          <w:sz w:val="24"/>
          <w:szCs w:val="24"/>
        </w:rPr>
        <w:t>specificity</w:t>
      </w:r>
      <w:r w:rsidRPr="00C6607C">
        <w:rPr>
          <w:rFonts w:ascii="Times New Roman" w:hAnsi="Times New Roman" w:cs="Times New Roman"/>
          <w:sz w:val="24"/>
          <w:szCs w:val="24"/>
        </w:rPr>
        <w:t xml:space="preserve"> of a pleading.</w:t>
      </w:r>
      <w:r w:rsidRPr="00C6607C">
        <w:rPr>
          <w:rFonts w:ascii="Times New Roman" w:hAnsi="Times New Roman" w:cs="Times New Roman"/>
          <w:sz w:val="24"/>
          <w:szCs w:val="24"/>
        </w:rPr>
        <w:br/>
      </w:r>
      <w:r w:rsidRPr="00C6607C">
        <w:rPr>
          <w:rFonts w:ascii="Times New Roman" w:hAnsi="Times New Roman" w:cs="Times New Roman"/>
          <w:sz w:val="24"/>
          <w:szCs w:val="24"/>
        </w:rPr>
        <w:br/>
        <w:t>(4) Legal insufficiency of a pleading.</w:t>
      </w:r>
      <w:r w:rsidRPr="00C6607C">
        <w:rPr>
          <w:rFonts w:ascii="Times New Roman" w:hAnsi="Times New Roman" w:cs="Times New Roman"/>
          <w:sz w:val="24"/>
          <w:szCs w:val="24"/>
        </w:rPr>
        <w:br/>
      </w:r>
      <w:r w:rsidRPr="00C6607C">
        <w:rPr>
          <w:rFonts w:ascii="Times New Roman" w:hAnsi="Times New Roman" w:cs="Times New Roman"/>
          <w:sz w:val="24"/>
          <w:szCs w:val="24"/>
        </w:rPr>
        <w:br/>
        <w:t>(5) Lack of capacity to sue, nonjoinder of a necessary party or misjoinder of a cause of action.</w:t>
      </w:r>
      <w:r w:rsidRPr="00C6607C">
        <w:rPr>
          <w:rFonts w:ascii="Times New Roman" w:hAnsi="Times New Roman" w:cs="Times New Roman"/>
          <w:sz w:val="24"/>
          <w:szCs w:val="24"/>
        </w:rPr>
        <w:br/>
      </w:r>
      <w:r w:rsidRPr="00C6607C">
        <w:rPr>
          <w:rFonts w:ascii="Times New Roman" w:hAnsi="Times New Roman" w:cs="Times New Roman"/>
          <w:sz w:val="24"/>
          <w:szCs w:val="24"/>
        </w:rPr>
        <w:br/>
        <w:t>(6) Pendency of a prior proceeding or agreement for alternative dispute resolution.</w:t>
      </w:r>
      <w:r w:rsidRPr="00C6607C">
        <w:rPr>
          <w:rFonts w:ascii="Times New Roman" w:hAnsi="Times New Roman" w:cs="Times New Roman"/>
          <w:sz w:val="24"/>
          <w:szCs w:val="24"/>
        </w:rPr>
        <w:br/>
      </w:r>
    </w:p>
    <w:p w:rsidR="00C6607C" w:rsidRPr="00C6607C" w:rsidRDefault="00C6607C" w:rsidP="00C6607C">
      <w:pPr>
        <w:pStyle w:val="NoSpacing"/>
        <w:ind w:left="1440" w:right="1440"/>
        <w:rPr>
          <w:rFonts w:ascii="Times New Roman" w:hAnsi="Times New Roman" w:cs="Times New Roman"/>
          <w:sz w:val="24"/>
          <w:szCs w:val="24"/>
        </w:rPr>
      </w:pPr>
    </w:p>
    <w:p w:rsidR="00C6607C" w:rsidRPr="00C6607C" w:rsidRDefault="00C6607C" w:rsidP="00C6607C">
      <w:pPr>
        <w:pStyle w:val="NoSpacing"/>
        <w:spacing w:line="360" w:lineRule="auto"/>
        <w:rPr>
          <w:rFonts w:ascii="Times New Roman" w:hAnsi="Times New Roman" w:cs="Times New Roman"/>
          <w:sz w:val="24"/>
          <w:szCs w:val="24"/>
        </w:rPr>
      </w:pPr>
      <w:r w:rsidRPr="00C6607C">
        <w:rPr>
          <w:rFonts w:ascii="Times New Roman" w:hAnsi="Times New Roman" w:cs="Times New Roman"/>
          <w:sz w:val="24"/>
          <w:szCs w:val="24"/>
        </w:rPr>
        <w:tab/>
      </w:r>
      <w:r w:rsidRPr="00C6607C">
        <w:rPr>
          <w:rFonts w:ascii="Times New Roman" w:hAnsi="Times New Roman" w:cs="Times New Roman"/>
          <w:sz w:val="24"/>
          <w:szCs w:val="24"/>
        </w:rPr>
        <w:tab/>
        <w:t xml:space="preserve">In deciding preliminary objections, the Commission must determine whether, based on well-pleaded factual averments of the complainant, recovery or relief is possible.  </w:t>
      </w:r>
      <w:proofErr w:type="gramStart"/>
      <w:r w:rsidRPr="00C6607C">
        <w:rPr>
          <w:rFonts w:ascii="Times New Roman" w:hAnsi="Times New Roman" w:cs="Times New Roman"/>
          <w:i/>
          <w:sz w:val="24"/>
          <w:szCs w:val="24"/>
        </w:rPr>
        <w:t>Dep't of Auditor General, et al v. SERS, et al.</w:t>
      </w:r>
      <w:r w:rsidRPr="00C6607C">
        <w:rPr>
          <w:rFonts w:ascii="Times New Roman" w:hAnsi="Times New Roman" w:cs="Times New Roman"/>
          <w:sz w:val="24"/>
          <w:szCs w:val="24"/>
        </w:rPr>
        <w:t xml:space="preserve">, 836 A.2d 1053, 1064 (Pa.Cmwlth. 2003); </w:t>
      </w:r>
      <w:r w:rsidRPr="00C6607C">
        <w:rPr>
          <w:rFonts w:ascii="Times New Roman" w:hAnsi="Times New Roman" w:cs="Times New Roman"/>
          <w:i/>
          <w:sz w:val="24"/>
          <w:szCs w:val="24"/>
        </w:rPr>
        <w:t>P.J.S. v. Pa. State Ethics Comm'n</w:t>
      </w:r>
      <w:r w:rsidRPr="00C6607C">
        <w:rPr>
          <w:rFonts w:ascii="Times New Roman" w:hAnsi="Times New Roman" w:cs="Times New Roman"/>
          <w:sz w:val="24"/>
          <w:szCs w:val="24"/>
        </w:rPr>
        <w:t>, 669 A.2d 1105 (Pa.Cmwlth. 1996).</w:t>
      </w:r>
      <w:proofErr w:type="gramEnd"/>
      <w:r w:rsidRPr="00C6607C">
        <w:rPr>
          <w:rFonts w:ascii="Times New Roman" w:hAnsi="Times New Roman" w:cs="Times New Roman"/>
          <w:sz w:val="24"/>
          <w:szCs w:val="24"/>
        </w:rPr>
        <w:t xml:space="preserve">  Any doubt must be resolved in favor of the non-moving party by refusing to sustain the preliminary objections.  </w:t>
      </w:r>
      <w:proofErr w:type="gramStart"/>
      <w:r w:rsidRPr="00C6607C">
        <w:rPr>
          <w:rFonts w:ascii="Times New Roman" w:hAnsi="Times New Roman" w:cs="Times New Roman"/>
          <w:i/>
          <w:sz w:val="24"/>
          <w:szCs w:val="24"/>
        </w:rPr>
        <w:t>Boyd v. Ward</w:t>
      </w:r>
      <w:r w:rsidRPr="00C6607C">
        <w:rPr>
          <w:rFonts w:ascii="Times New Roman" w:hAnsi="Times New Roman" w:cs="Times New Roman"/>
          <w:sz w:val="24"/>
          <w:szCs w:val="24"/>
        </w:rPr>
        <w:t>, 802 A.2d 705 (Pa.Cmwlth. 2002).</w:t>
      </w:r>
      <w:proofErr w:type="gramEnd"/>
      <w:r w:rsidRPr="00C6607C">
        <w:rPr>
          <w:rFonts w:ascii="Times New Roman" w:hAnsi="Times New Roman" w:cs="Times New Roman"/>
          <w:sz w:val="24"/>
          <w:szCs w:val="24"/>
        </w:rPr>
        <w:t xml:space="preserve">  All of the non-moving party's averments in the </w:t>
      </w:r>
      <w:r w:rsidRPr="00C6607C">
        <w:rPr>
          <w:rFonts w:ascii="Times New Roman" w:hAnsi="Times New Roman" w:cs="Times New Roman"/>
          <w:bCs/>
          <w:sz w:val="24"/>
          <w:szCs w:val="24"/>
        </w:rPr>
        <w:t>complaint</w:t>
      </w:r>
      <w:r w:rsidRPr="00C6607C">
        <w:rPr>
          <w:rFonts w:ascii="Times New Roman" w:hAnsi="Times New Roman" w:cs="Times New Roman"/>
          <w:sz w:val="24"/>
          <w:szCs w:val="24"/>
        </w:rPr>
        <w:t xml:space="preserve"> must be viewed as true for purposes of deciding the preliminary objections, and only those facts specifically admitted may be considered against the non-moving party.  </w:t>
      </w:r>
      <w:proofErr w:type="gramStart"/>
      <w:r w:rsidRPr="00C6607C">
        <w:rPr>
          <w:rFonts w:ascii="Times New Roman" w:hAnsi="Times New Roman" w:cs="Times New Roman"/>
          <w:i/>
          <w:sz w:val="24"/>
          <w:szCs w:val="24"/>
        </w:rPr>
        <w:t>Ridge v. State Employees' Retirement Bd.</w:t>
      </w:r>
      <w:r w:rsidRPr="00C6607C">
        <w:rPr>
          <w:rFonts w:ascii="Times New Roman" w:hAnsi="Times New Roman" w:cs="Times New Roman"/>
          <w:sz w:val="24"/>
          <w:szCs w:val="24"/>
        </w:rPr>
        <w:t>, 690 A.2d 1312 (Pa.Cmwlth. 1997).</w:t>
      </w:r>
      <w:proofErr w:type="gramEnd"/>
      <w:r w:rsidRPr="00C6607C">
        <w:rPr>
          <w:rFonts w:ascii="Times New Roman" w:hAnsi="Times New Roman" w:cs="Times New Roman"/>
          <w:sz w:val="24"/>
          <w:szCs w:val="24"/>
        </w:rPr>
        <w:br/>
      </w:r>
      <w:r w:rsidRPr="00C6607C">
        <w:rPr>
          <w:rFonts w:ascii="Times New Roman" w:hAnsi="Times New Roman" w:cs="Times New Roman"/>
          <w:sz w:val="24"/>
          <w:szCs w:val="24"/>
        </w:rPr>
        <w:lastRenderedPageBreak/>
        <w:br/>
      </w:r>
      <w:r w:rsidRPr="00C6607C">
        <w:rPr>
          <w:rFonts w:ascii="Times New Roman" w:hAnsi="Times New Roman" w:cs="Times New Roman"/>
          <w:sz w:val="24"/>
          <w:szCs w:val="24"/>
        </w:rPr>
        <w:tab/>
      </w:r>
      <w:r w:rsidRPr="00C6607C">
        <w:rPr>
          <w:rFonts w:ascii="Times New Roman" w:hAnsi="Times New Roman" w:cs="Times New Roman"/>
          <w:sz w:val="24"/>
          <w:szCs w:val="24"/>
        </w:rPr>
        <w:tab/>
        <w:t xml:space="preserve">Therefore, the primary focus is on the Complainants’ pleadings.  </w:t>
      </w:r>
    </w:p>
    <w:p w:rsidR="00C6607C" w:rsidRPr="00C6607C" w:rsidRDefault="00C6607C" w:rsidP="00C6607C">
      <w:pPr>
        <w:pStyle w:val="NoSpacing"/>
        <w:spacing w:line="360" w:lineRule="auto"/>
        <w:rPr>
          <w:rFonts w:ascii="Times New Roman" w:hAnsi="Times New Roman" w:cs="Times New Roman"/>
          <w:sz w:val="24"/>
          <w:szCs w:val="24"/>
        </w:rPr>
      </w:pPr>
    </w:p>
    <w:p w:rsidR="00112B8D" w:rsidRPr="00C6607C" w:rsidRDefault="00C6607C" w:rsidP="00C6607C">
      <w:pPr>
        <w:pStyle w:val="NoSpacing"/>
        <w:spacing w:line="360" w:lineRule="auto"/>
        <w:rPr>
          <w:rFonts w:ascii="Times New Roman" w:hAnsi="Times New Roman" w:cs="Times New Roman"/>
          <w:sz w:val="24"/>
          <w:szCs w:val="24"/>
        </w:rPr>
      </w:pPr>
      <w:r w:rsidRPr="00C6607C">
        <w:rPr>
          <w:rFonts w:ascii="Times New Roman" w:hAnsi="Times New Roman" w:cs="Times New Roman"/>
          <w:sz w:val="24"/>
          <w:szCs w:val="24"/>
        </w:rPr>
        <w:tab/>
      </w:r>
      <w:r w:rsidRPr="00C6607C">
        <w:rPr>
          <w:rFonts w:ascii="Times New Roman" w:hAnsi="Times New Roman" w:cs="Times New Roman"/>
          <w:sz w:val="24"/>
          <w:szCs w:val="24"/>
        </w:rPr>
        <w:tab/>
      </w:r>
      <w:r w:rsidR="00112B8D" w:rsidRPr="00C6607C">
        <w:rPr>
          <w:rFonts w:ascii="Times New Roman" w:hAnsi="Times New Roman" w:cs="Times New Roman"/>
          <w:sz w:val="24"/>
          <w:szCs w:val="24"/>
        </w:rPr>
        <w:t>As stated in the History, above, on August 12, 2010, PECO filed a Second Preliminary Objection to the Amended Complaint, claiming insufficient specificity of the pleading.  PECO argued that the Complainants still have not stated with specificity which tariff or rates PECO should have applied to the Complainants,</w:t>
      </w:r>
      <w:r w:rsidR="00112B8D" w:rsidRPr="00C6607C">
        <w:rPr>
          <w:rFonts w:ascii="Times New Roman" w:hAnsi="Times New Roman" w:cs="Times New Roman"/>
          <w:sz w:val="24"/>
          <w:szCs w:val="24"/>
          <w:vertAlign w:val="superscript"/>
        </w:rPr>
        <w:footnoteReference w:id="14"/>
      </w:r>
      <w:r w:rsidR="00112B8D" w:rsidRPr="00C6607C">
        <w:rPr>
          <w:rFonts w:ascii="Times New Roman" w:hAnsi="Times New Roman" w:cs="Times New Roman"/>
          <w:sz w:val="24"/>
          <w:szCs w:val="24"/>
        </w:rPr>
        <w:t xml:space="preserve"> information or discussion regarding the periodicity of PECO billing,</w:t>
      </w:r>
      <w:r w:rsidR="00112B8D" w:rsidRPr="00C6607C">
        <w:rPr>
          <w:rFonts w:ascii="Times New Roman" w:hAnsi="Times New Roman" w:cs="Times New Roman"/>
          <w:sz w:val="24"/>
          <w:szCs w:val="24"/>
          <w:vertAlign w:val="superscript"/>
        </w:rPr>
        <w:footnoteReference w:id="15"/>
      </w:r>
      <w:r w:rsidR="00112B8D" w:rsidRPr="00C6607C">
        <w:rPr>
          <w:rFonts w:ascii="Times New Roman" w:hAnsi="Times New Roman" w:cs="Times New Roman"/>
          <w:sz w:val="24"/>
          <w:szCs w:val="24"/>
        </w:rPr>
        <w:t xml:space="preserve"> or specificity as to how PECO’s billing and notifications to </w:t>
      </w:r>
      <w:proofErr w:type="gramStart"/>
      <w:r w:rsidR="00112B8D" w:rsidRPr="00C6607C">
        <w:rPr>
          <w:rFonts w:ascii="Times New Roman" w:hAnsi="Times New Roman" w:cs="Times New Roman"/>
          <w:sz w:val="24"/>
          <w:szCs w:val="24"/>
        </w:rPr>
        <w:t>ConServe</w:t>
      </w:r>
      <w:proofErr w:type="gramEnd"/>
      <w:r w:rsidR="00112B8D" w:rsidRPr="00C6607C">
        <w:rPr>
          <w:rFonts w:ascii="Times New Roman" w:hAnsi="Times New Roman" w:cs="Times New Roman"/>
          <w:sz w:val="24"/>
          <w:szCs w:val="24"/>
        </w:rPr>
        <w:t xml:space="preserve"> violated a specific tariff, rule or rate.</w:t>
      </w:r>
      <w:r w:rsidR="00112B8D" w:rsidRPr="00C6607C">
        <w:rPr>
          <w:rFonts w:ascii="Times New Roman" w:hAnsi="Times New Roman" w:cs="Times New Roman"/>
          <w:sz w:val="24"/>
          <w:szCs w:val="24"/>
          <w:vertAlign w:val="superscript"/>
        </w:rPr>
        <w:footnoteReference w:id="16"/>
      </w:r>
    </w:p>
    <w:p w:rsidR="00112B8D" w:rsidRPr="00C6607C" w:rsidRDefault="00112B8D" w:rsidP="00112B8D">
      <w:pPr>
        <w:spacing w:line="360" w:lineRule="auto"/>
        <w:rPr>
          <w:sz w:val="24"/>
          <w:szCs w:val="24"/>
        </w:rPr>
      </w:pPr>
    </w:p>
    <w:p w:rsidR="00112B8D" w:rsidRPr="00C6607C" w:rsidRDefault="00112B8D" w:rsidP="00112B8D">
      <w:pPr>
        <w:spacing w:line="360" w:lineRule="auto"/>
        <w:rPr>
          <w:sz w:val="24"/>
          <w:szCs w:val="24"/>
        </w:rPr>
      </w:pPr>
      <w:r w:rsidRPr="00C6607C">
        <w:rPr>
          <w:sz w:val="24"/>
          <w:szCs w:val="24"/>
        </w:rPr>
        <w:tab/>
      </w:r>
      <w:r w:rsidRPr="00C6607C">
        <w:rPr>
          <w:sz w:val="24"/>
          <w:szCs w:val="24"/>
        </w:rPr>
        <w:tab/>
        <w:t>On August 26, 2010, the Complainants filed a Response to the Second Preliminary Objection.  The Complainants argued that they have stated, in material and summary form, the facts on which their cause of action is based, and asserted that in their Amended Complaint they have placed PECO on notice through specific allegations with respect to alleged failures by PECO to properly issue bills, assess late fees and to utilize proper utility rates.</w:t>
      </w:r>
      <w:r w:rsidRPr="00C6607C">
        <w:rPr>
          <w:sz w:val="24"/>
          <w:szCs w:val="24"/>
          <w:vertAlign w:val="superscript"/>
        </w:rPr>
        <w:footnoteReference w:id="17"/>
      </w:r>
    </w:p>
    <w:p w:rsidR="00112B8D" w:rsidRPr="00C6607C" w:rsidRDefault="00112B8D" w:rsidP="00112B8D">
      <w:pPr>
        <w:spacing w:line="360" w:lineRule="auto"/>
        <w:rPr>
          <w:sz w:val="24"/>
          <w:szCs w:val="24"/>
        </w:rPr>
      </w:pPr>
    </w:p>
    <w:p w:rsidR="00F239BA" w:rsidRDefault="00112B8D" w:rsidP="00C6607C">
      <w:pPr>
        <w:pStyle w:val="NoSpacing"/>
        <w:spacing w:line="360" w:lineRule="auto"/>
        <w:rPr>
          <w:rFonts w:ascii="Times New Roman" w:hAnsi="Times New Roman" w:cs="Times New Roman"/>
          <w:sz w:val="24"/>
          <w:szCs w:val="24"/>
        </w:rPr>
      </w:pPr>
      <w:r w:rsidRPr="00C6607C">
        <w:rPr>
          <w:rFonts w:ascii="Times New Roman" w:hAnsi="Times New Roman" w:cs="Times New Roman"/>
          <w:sz w:val="24"/>
          <w:szCs w:val="24"/>
        </w:rPr>
        <w:tab/>
      </w:r>
      <w:r w:rsidRPr="00C6607C">
        <w:rPr>
          <w:rFonts w:ascii="Times New Roman" w:hAnsi="Times New Roman" w:cs="Times New Roman"/>
          <w:sz w:val="24"/>
          <w:szCs w:val="24"/>
        </w:rPr>
        <w:tab/>
      </w:r>
      <w:r w:rsidR="00C6607C" w:rsidRPr="00C6607C">
        <w:rPr>
          <w:rFonts w:ascii="Times New Roman" w:hAnsi="Times New Roman" w:cs="Times New Roman"/>
          <w:sz w:val="24"/>
          <w:szCs w:val="24"/>
        </w:rPr>
        <w:t xml:space="preserve">A formal </w:t>
      </w:r>
      <w:r w:rsidR="0037756A">
        <w:rPr>
          <w:rFonts w:ascii="Times New Roman" w:hAnsi="Times New Roman" w:cs="Times New Roman"/>
          <w:bCs/>
          <w:sz w:val="24"/>
          <w:szCs w:val="24"/>
        </w:rPr>
        <w:t>c</w:t>
      </w:r>
      <w:r w:rsidR="00C6607C" w:rsidRPr="00C6607C">
        <w:rPr>
          <w:rFonts w:ascii="Times New Roman" w:hAnsi="Times New Roman" w:cs="Times New Roman"/>
          <w:bCs/>
          <w:sz w:val="24"/>
          <w:szCs w:val="24"/>
        </w:rPr>
        <w:t>omplaint</w:t>
      </w:r>
      <w:r w:rsidR="00C6607C" w:rsidRPr="00C6607C">
        <w:rPr>
          <w:rFonts w:ascii="Times New Roman" w:hAnsi="Times New Roman" w:cs="Times New Roman"/>
          <w:sz w:val="24"/>
          <w:szCs w:val="24"/>
        </w:rPr>
        <w:t xml:space="preserve"> must set forth "the act or thing done or omitted to be done" by a public utility "in violation, or claimed violation, of any law which the commission has jurisdiction to administer, or of any regulation or order of the commission." 66 Pa. C.S. § 701; 52 Pa. Code § 5.22(a</w:t>
      </w:r>
      <w:proofErr w:type="gramStart"/>
      <w:r w:rsidR="00C6607C" w:rsidRPr="00C6607C">
        <w:rPr>
          <w:rFonts w:ascii="Times New Roman" w:hAnsi="Times New Roman" w:cs="Times New Roman"/>
          <w:sz w:val="24"/>
          <w:szCs w:val="24"/>
        </w:rPr>
        <w:t>)(</w:t>
      </w:r>
      <w:proofErr w:type="gramEnd"/>
      <w:r w:rsidR="00C6607C" w:rsidRPr="00C6607C">
        <w:rPr>
          <w:rFonts w:ascii="Times New Roman" w:hAnsi="Times New Roman" w:cs="Times New Roman"/>
          <w:sz w:val="24"/>
          <w:szCs w:val="24"/>
        </w:rPr>
        <w:t xml:space="preserve">4).  The Commission's regulations require that a </w:t>
      </w:r>
      <w:r w:rsidR="0037756A">
        <w:rPr>
          <w:rFonts w:ascii="Times New Roman" w:hAnsi="Times New Roman" w:cs="Times New Roman"/>
          <w:sz w:val="24"/>
          <w:szCs w:val="24"/>
        </w:rPr>
        <w:t>c</w:t>
      </w:r>
      <w:r w:rsidR="00C6607C" w:rsidRPr="00C6607C">
        <w:rPr>
          <w:rFonts w:ascii="Times New Roman" w:hAnsi="Times New Roman" w:cs="Times New Roman"/>
          <w:bCs/>
          <w:sz w:val="24"/>
          <w:szCs w:val="24"/>
        </w:rPr>
        <w:t>omplaint</w:t>
      </w:r>
      <w:r w:rsidR="00C6607C" w:rsidRPr="00C6607C">
        <w:rPr>
          <w:rFonts w:ascii="Times New Roman" w:hAnsi="Times New Roman" w:cs="Times New Roman"/>
          <w:sz w:val="24"/>
          <w:szCs w:val="24"/>
        </w:rPr>
        <w:t xml:space="preserve"> contain a clear statement of the relief sought. 52 Pa. Code § 5.22(a</w:t>
      </w:r>
      <w:proofErr w:type="gramStart"/>
      <w:r w:rsidR="00C6607C" w:rsidRPr="00C6607C">
        <w:rPr>
          <w:rFonts w:ascii="Times New Roman" w:hAnsi="Times New Roman" w:cs="Times New Roman"/>
          <w:sz w:val="24"/>
          <w:szCs w:val="24"/>
        </w:rPr>
        <w:t>)(</w:t>
      </w:r>
      <w:proofErr w:type="gramEnd"/>
      <w:r w:rsidR="00C6607C" w:rsidRPr="00C6607C">
        <w:rPr>
          <w:rFonts w:ascii="Times New Roman" w:hAnsi="Times New Roman" w:cs="Times New Roman"/>
          <w:sz w:val="24"/>
          <w:szCs w:val="24"/>
        </w:rPr>
        <w:t xml:space="preserve">5).  </w:t>
      </w:r>
    </w:p>
    <w:p w:rsidR="00F239BA" w:rsidRDefault="00F239BA" w:rsidP="00C6607C">
      <w:pPr>
        <w:pStyle w:val="NoSpacing"/>
        <w:spacing w:line="360" w:lineRule="auto"/>
        <w:rPr>
          <w:rFonts w:ascii="Times New Roman" w:hAnsi="Times New Roman" w:cs="Times New Roman"/>
          <w:sz w:val="24"/>
          <w:szCs w:val="24"/>
        </w:rPr>
      </w:pPr>
    </w:p>
    <w:p w:rsidR="00112B8D" w:rsidRDefault="00F239BA" w:rsidP="00C6607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A21A5" w:rsidRPr="00C6607C">
        <w:rPr>
          <w:rFonts w:ascii="Times New Roman" w:hAnsi="Times New Roman" w:cs="Times New Roman"/>
          <w:sz w:val="24"/>
          <w:szCs w:val="24"/>
        </w:rPr>
        <w:t>Having reviewed the Amended Complaint, I find that it is, essentially, a</w:t>
      </w:r>
      <w:r w:rsidR="0037756A">
        <w:rPr>
          <w:rFonts w:ascii="Times New Roman" w:hAnsi="Times New Roman" w:cs="Times New Roman"/>
          <w:sz w:val="24"/>
          <w:szCs w:val="24"/>
        </w:rPr>
        <w:t xml:space="preserve"> stylistic</w:t>
      </w:r>
      <w:r w:rsidR="00BA21A5" w:rsidRPr="00C6607C">
        <w:rPr>
          <w:rFonts w:ascii="Times New Roman" w:hAnsi="Times New Roman" w:cs="Times New Roman"/>
          <w:sz w:val="24"/>
          <w:szCs w:val="24"/>
        </w:rPr>
        <w:t xml:space="preserve"> modification of the Complaint originally filed before the Delaware County Court of Common Pleas</w:t>
      </w:r>
      <w:r w:rsidR="00C6607C">
        <w:rPr>
          <w:rFonts w:ascii="Times New Roman" w:hAnsi="Times New Roman" w:cs="Times New Roman"/>
          <w:sz w:val="24"/>
          <w:szCs w:val="24"/>
        </w:rPr>
        <w:t xml:space="preserve"> and is </w:t>
      </w:r>
      <w:proofErr w:type="gramStart"/>
      <w:r w:rsidR="00C6607C">
        <w:rPr>
          <w:rFonts w:ascii="Times New Roman" w:hAnsi="Times New Roman" w:cs="Times New Roman"/>
          <w:sz w:val="24"/>
          <w:szCs w:val="24"/>
        </w:rPr>
        <w:t>so</w:t>
      </w:r>
      <w:proofErr w:type="gramEnd"/>
      <w:r w:rsidR="00C6607C">
        <w:rPr>
          <w:rFonts w:ascii="Times New Roman" w:hAnsi="Times New Roman" w:cs="Times New Roman"/>
          <w:sz w:val="24"/>
          <w:szCs w:val="24"/>
        </w:rPr>
        <w:t xml:space="preserve"> “summary” in form as to be </w:t>
      </w:r>
      <w:r w:rsidR="002A3226">
        <w:rPr>
          <w:rFonts w:ascii="Times New Roman" w:hAnsi="Times New Roman" w:cs="Times New Roman"/>
          <w:sz w:val="24"/>
          <w:szCs w:val="24"/>
        </w:rPr>
        <w:t xml:space="preserve">of little to no use to PECO in </w:t>
      </w:r>
      <w:r>
        <w:rPr>
          <w:rFonts w:ascii="Times New Roman" w:hAnsi="Times New Roman" w:cs="Times New Roman"/>
          <w:sz w:val="24"/>
          <w:szCs w:val="24"/>
        </w:rPr>
        <w:t xml:space="preserve">preparing </w:t>
      </w:r>
      <w:r w:rsidR="002A3226">
        <w:rPr>
          <w:rFonts w:ascii="Times New Roman" w:hAnsi="Times New Roman" w:cs="Times New Roman"/>
          <w:sz w:val="24"/>
          <w:szCs w:val="24"/>
        </w:rPr>
        <w:t>a meaningful defense</w:t>
      </w:r>
      <w:r w:rsidR="0037756A">
        <w:rPr>
          <w:rFonts w:ascii="Times New Roman" w:hAnsi="Times New Roman" w:cs="Times New Roman"/>
          <w:sz w:val="24"/>
          <w:szCs w:val="24"/>
        </w:rPr>
        <w:t xml:space="preserve"> in this proceeding</w:t>
      </w:r>
      <w:r w:rsidR="00BA21A5" w:rsidRPr="00C6607C">
        <w:rPr>
          <w:rFonts w:ascii="Times New Roman" w:hAnsi="Times New Roman" w:cs="Times New Roman"/>
          <w:sz w:val="24"/>
          <w:szCs w:val="24"/>
        </w:rPr>
        <w:t xml:space="preserve">.  </w:t>
      </w:r>
      <w:r w:rsidR="00DC533C">
        <w:rPr>
          <w:rFonts w:ascii="Times New Roman" w:hAnsi="Times New Roman" w:cs="Times New Roman"/>
          <w:sz w:val="24"/>
          <w:szCs w:val="24"/>
        </w:rPr>
        <w:t xml:space="preserve">The Amended Complaint is, in essence, a series of factual averments </w:t>
      </w:r>
      <w:r w:rsidR="00DC533C">
        <w:rPr>
          <w:rFonts w:ascii="Times New Roman" w:hAnsi="Times New Roman" w:cs="Times New Roman"/>
          <w:sz w:val="24"/>
          <w:szCs w:val="24"/>
        </w:rPr>
        <w:lastRenderedPageBreak/>
        <w:t>which, while informative to PECO, falls short of requirement</w:t>
      </w:r>
      <w:r w:rsidR="00AB228B">
        <w:rPr>
          <w:rFonts w:ascii="Times New Roman" w:hAnsi="Times New Roman" w:cs="Times New Roman"/>
          <w:sz w:val="24"/>
          <w:szCs w:val="24"/>
        </w:rPr>
        <w:t>s</w:t>
      </w:r>
      <w:r w:rsidR="00DC533C">
        <w:rPr>
          <w:rFonts w:ascii="Times New Roman" w:hAnsi="Times New Roman" w:cs="Times New Roman"/>
          <w:sz w:val="24"/>
          <w:szCs w:val="24"/>
        </w:rPr>
        <w:t xml:space="preserve"> of </w:t>
      </w:r>
      <w:r w:rsidR="00DC533C" w:rsidRPr="00C6607C">
        <w:rPr>
          <w:rFonts w:ascii="Times New Roman" w:hAnsi="Times New Roman" w:cs="Times New Roman"/>
          <w:sz w:val="24"/>
          <w:szCs w:val="24"/>
        </w:rPr>
        <w:t>66 Pa. C.S. § 701</w:t>
      </w:r>
      <w:r w:rsidR="00AB228B">
        <w:rPr>
          <w:rFonts w:ascii="Times New Roman" w:hAnsi="Times New Roman" w:cs="Times New Roman"/>
          <w:sz w:val="24"/>
          <w:szCs w:val="24"/>
        </w:rPr>
        <w:t xml:space="preserve"> and</w:t>
      </w:r>
      <w:r w:rsidR="00DC533C" w:rsidRPr="00C6607C">
        <w:rPr>
          <w:rFonts w:ascii="Times New Roman" w:hAnsi="Times New Roman" w:cs="Times New Roman"/>
          <w:sz w:val="24"/>
          <w:szCs w:val="24"/>
        </w:rPr>
        <w:t xml:space="preserve"> 52 Pa. Code § 5.22(a)(4)</w:t>
      </w:r>
      <w:r w:rsidR="00DC533C">
        <w:rPr>
          <w:rFonts w:ascii="Times New Roman" w:hAnsi="Times New Roman" w:cs="Times New Roman"/>
          <w:sz w:val="24"/>
          <w:szCs w:val="24"/>
        </w:rPr>
        <w:t xml:space="preserve">.  </w:t>
      </w:r>
      <w:r w:rsidR="00BA21A5" w:rsidRPr="00C6607C">
        <w:rPr>
          <w:rFonts w:ascii="Times New Roman" w:hAnsi="Times New Roman" w:cs="Times New Roman"/>
          <w:sz w:val="24"/>
          <w:szCs w:val="24"/>
        </w:rPr>
        <w:t xml:space="preserve">The Amended Complaint is lacking in specificity in that it does not identify which tariff or rates PECO should have applied to the Complainants, nor does it provide any relevant </w:t>
      </w:r>
      <w:r w:rsidR="005E272C" w:rsidRPr="00C6607C">
        <w:rPr>
          <w:rFonts w:ascii="Times New Roman" w:hAnsi="Times New Roman" w:cs="Times New Roman"/>
          <w:sz w:val="24"/>
          <w:szCs w:val="24"/>
        </w:rPr>
        <w:t>info</w:t>
      </w:r>
      <w:r w:rsidR="00BA21A5" w:rsidRPr="00C6607C">
        <w:rPr>
          <w:rFonts w:ascii="Times New Roman" w:hAnsi="Times New Roman" w:cs="Times New Roman"/>
          <w:sz w:val="24"/>
          <w:szCs w:val="24"/>
        </w:rPr>
        <w:t>rmation or discussion regarding the periodicity of PECO billing,</w:t>
      </w:r>
      <w:r w:rsidR="005E272C" w:rsidRPr="00C6607C">
        <w:rPr>
          <w:rFonts w:ascii="Times New Roman" w:hAnsi="Times New Roman" w:cs="Times New Roman"/>
          <w:sz w:val="24"/>
          <w:szCs w:val="24"/>
        </w:rPr>
        <w:t xml:space="preserve"> </w:t>
      </w:r>
      <w:r w:rsidR="006738E7">
        <w:rPr>
          <w:rFonts w:ascii="Times New Roman" w:hAnsi="Times New Roman" w:cs="Times New Roman"/>
          <w:sz w:val="24"/>
          <w:szCs w:val="24"/>
        </w:rPr>
        <w:t xml:space="preserve">and, most importantly, </w:t>
      </w:r>
      <w:r w:rsidR="005E272C" w:rsidRPr="00C6607C">
        <w:rPr>
          <w:rFonts w:ascii="Times New Roman" w:hAnsi="Times New Roman" w:cs="Times New Roman"/>
          <w:sz w:val="24"/>
          <w:szCs w:val="24"/>
        </w:rPr>
        <w:t xml:space="preserve">it </w:t>
      </w:r>
      <w:r w:rsidR="006738E7">
        <w:rPr>
          <w:rFonts w:ascii="Times New Roman" w:hAnsi="Times New Roman" w:cs="Times New Roman"/>
          <w:sz w:val="24"/>
          <w:szCs w:val="24"/>
        </w:rPr>
        <w:t xml:space="preserve">does not </w:t>
      </w:r>
      <w:r w:rsidR="005E272C" w:rsidRPr="00C6607C">
        <w:rPr>
          <w:rFonts w:ascii="Times New Roman" w:hAnsi="Times New Roman" w:cs="Times New Roman"/>
          <w:sz w:val="24"/>
          <w:szCs w:val="24"/>
        </w:rPr>
        <w:t xml:space="preserve">specify </w:t>
      </w:r>
      <w:r w:rsidR="00BA21A5" w:rsidRPr="00C6607C">
        <w:rPr>
          <w:rFonts w:ascii="Times New Roman" w:hAnsi="Times New Roman" w:cs="Times New Roman"/>
          <w:sz w:val="24"/>
          <w:szCs w:val="24"/>
        </w:rPr>
        <w:t>how PECO’s billing and notifications violated a specific tariff, rule or rate.</w:t>
      </w:r>
      <w:r w:rsidR="005E272C" w:rsidRPr="00C6607C">
        <w:rPr>
          <w:rFonts w:ascii="Times New Roman" w:hAnsi="Times New Roman" w:cs="Times New Roman"/>
          <w:sz w:val="24"/>
          <w:szCs w:val="24"/>
        </w:rPr>
        <w:t xml:space="preserve">  </w:t>
      </w:r>
      <w:r w:rsidR="002A3226">
        <w:rPr>
          <w:rFonts w:ascii="Times New Roman" w:hAnsi="Times New Roman" w:cs="Times New Roman"/>
          <w:sz w:val="24"/>
          <w:szCs w:val="24"/>
        </w:rPr>
        <w:t>PECO’s Second Preliminary Objection is sustained, and the Complainants’ will be directed to file a Second Amended Complaint, consistent with this Order, within thirty (30) days from the date of issuance of this Order.</w:t>
      </w:r>
    </w:p>
    <w:p w:rsidR="006738E7" w:rsidRDefault="006738E7" w:rsidP="00C6607C">
      <w:pPr>
        <w:pStyle w:val="NoSpacing"/>
        <w:spacing w:line="360" w:lineRule="auto"/>
        <w:rPr>
          <w:rFonts w:ascii="Times New Roman" w:hAnsi="Times New Roman" w:cs="Times New Roman"/>
          <w:sz w:val="24"/>
          <w:szCs w:val="24"/>
        </w:rPr>
      </w:pPr>
    </w:p>
    <w:p w:rsidR="00E16C06" w:rsidRPr="00E16C06" w:rsidRDefault="00E16C06" w:rsidP="002A3226">
      <w:pPr>
        <w:spacing w:line="360" w:lineRule="auto"/>
        <w:rPr>
          <w:sz w:val="24"/>
          <w:szCs w:val="24"/>
        </w:rPr>
      </w:pPr>
      <w:r w:rsidRPr="00C6607C">
        <w:rPr>
          <w:sz w:val="24"/>
          <w:szCs w:val="24"/>
        </w:rPr>
        <w:tab/>
      </w:r>
      <w:r w:rsidRPr="00E16C06">
        <w:rPr>
          <w:sz w:val="24"/>
          <w:szCs w:val="24"/>
        </w:rPr>
        <w:tab/>
      </w:r>
      <w:r w:rsidR="00C26FD2">
        <w:rPr>
          <w:sz w:val="24"/>
          <w:szCs w:val="24"/>
        </w:rPr>
        <w:t xml:space="preserve"> </w:t>
      </w:r>
      <w:r w:rsidRPr="00E16C06">
        <w:rPr>
          <w:sz w:val="24"/>
          <w:szCs w:val="24"/>
        </w:rPr>
        <w:t>THEREFORE,</w:t>
      </w:r>
    </w:p>
    <w:p w:rsidR="00E16C06" w:rsidRPr="00E16C06" w:rsidRDefault="00E16C06" w:rsidP="00E16C06">
      <w:pPr>
        <w:rPr>
          <w:sz w:val="24"/>
          <w:szCs w:val="24"/>
        </w:rPr>
      </w:pPr>
    </w:p>
    <w:p w:rsidR="00E16C06" w:rsidRDefault="00E16C06" w:rsidP="00E16C06">
      <w:pPr>
        <w:rPr>
          <w:sz w:val="24"/>
          <w:szCs w:val="24"/>
        </w:rPr>
      </w:pPr>
      <w:r w:rsidRPr="00E16C06">
        <w:rPr>
          <w:sz w:val="24"/>
          <w:szCs w:val="24"/>
        </w:rPr>
        <w:tab/>
      </w:r>
      <w:r w:rsidRPr="00E16C06">
        <w:rPr>
          <w:sz w:val="24"/>
          <w:szCs w:val="24"/>
        </w:rPr>
        <w:tab/>
        <w:t>IT IS ORDERED:</w:t>
      </w:r>
    </w:p>
    <w:p w:rsidR="00D42453" w:rsidRPr="00E16C06" w:rsidRDefault="00D42453" w:rsidP="00E16C06">
      <w:pPr>
        <w:rPr>
          <w:sz w:val="24"/>
          <w:szCs w:val="24"/>
        </w:rPr>
      </w:pPr>
    </w:p>
    <w:p w:rsidR="00E16C06" w:rsidRPr="00E16C06" w:rsidRDefault="00E16C06" w:rsidP="00E16C06">
      <w:pPr>
        <w:rPr>
          <w:sz w:val="24"/>
          <w:szCs w:val="24"/>
        </w:rPr>
      </w:pPr>
    </w:p>
    <w:p w:rsidR="00E16C06" w:rsidRPr="00E16C06" w:rsidRDefault="00E16C06" w:rsidP="00956F51">
      <w:pPr>
        <w:spacing w:line="360" w:lineRule="auto"/>
        <w:rPr>
          <w:sz w:val="24"/>
          <w:szCs w:val="24"/>
        </w:rPr>
      </w:pPr>
      <w:r w:rsidRPr="00E16C06">
        <w:rPr>
          <w:sz w:val="24"/>
          <w:szCs w:val="24"/>
        </w:rPr>
        <w:tab/>
      </w:r>
      <w:r w:rsidRPr="00E16C06">
        <w:rPr>
          <w:sz w:val="24"/>
          <w:szCs w:val="24"/>
        </w:rPr>
        <w:tab/>
        <w:t>1.</w:t>
      </w:r>
      <w:r w:rsidRPr="00E16C06">
        <w:rPr>
          <w:sz w:val="24"/>
          <w:szCs w:val="24"/>
        </w:rPr>
        <w:tab/>
      </w:r>
      <w:r w:rsidR="00744C95">
        <w:rPr>
          <w:sz w:val="24"/>
          <w:szCs w:val="24"/>
        </w:rPr>
        <w:t xml:space="preserve">That the April 15, 2011 Petition of the Complainants, </w:t>
      </w:r>
      <w:r w:rsidR="00744C95" w:rsidRPr="00D70DCE">
        <w:rPr>
          <w:sz w:val="24"/>
          <w:szCs w:val="24"/>
        </w:rPr>
        <w:t>Guntram Weissenberger, Panonia Associates, L.P. and 27 Summit Trace, LLC</w:t>
      </w:r>
      <w:r w:rsidR="00744C95">
        <w:rPr>
          <w:sz w:val="24"/>
          <w:szCs w:val="24"/>
        </w:rPr>
        <w:t xml:space="preserve"> (the Westover Companies) to withdraw</w:t>
      </w:r>
      <w:r w:rsidR="00DC533C">
        <w:rPr>
          <w:sz w:val="24"/>
          <w:szCs w:val="24"/>
        </w:rPr>
        <w:t xml:space="preserve"> those</w:t>
      </w:r>
      <w:r w:rsidR="00744C95">
        <w:rPr>
          <w:sz w:val="24"/>
          <w:szCs w:val="24"/>
        </w:rPr>
        <w:t xml:space="preserve"> parts of their </w:t>
      </w:r>
      <w:r w:rsidR="00AB228B">
        <w:rPr>
          <w:sz w:val="24"/>
          <w:szCs w:val="24"/>
        </w:rPr>
        <w:t xml:space="preserve">July 15, 2010 </w:t>
      </w:r>
      <w:r w:rsidR="00744C95">
        <w:rPr>
          <w:sz w:val="24"/>
          <w:szCs w:val="24"/>
        </w:rPr>
        <w:t>Amended Complaint with prejudice is granted.</w:t>
      </w:r>
    </w:p>
    <w:p w:rsidR="00E16C06" w:rsidRPr="00E16C06" w:rsidRDefault="00E16C06" w:rsidP="00E16C06">
      <w:pPr>
        <w:rPr>
          <w:sz w:val="24"/>
          <w:szCs w:val="24"/>
        </w:rPr>
      </w:pPr>
    </w:p>
    <w:p w:rsidR="00744C95" w:rsidRDefault="00744C95" w:rsidP="00744C95">
      <w:pPr>
        <w:spacing w:line="360" w:lineRule="auto"/>
        <w:rPr>
          <w:sz w:val="24"/>
          <w:szCs w:val="24"/>
        </w:rPr>
      </w:pPr>
      <w:r>
        <w:rPr>
          <w:sz w:val="24"/>
          <w:szCs w:val="24"/>
        </w:rPr>
        <w:tab/>
      </w:r>
      <w:r>
        <w:rPr>
          <w:sz w:val="24"/>
          <w:szCs w:val="24"/>
        </w:rPr>
        <w:tab/>
        <w:t>2.</w:t>
      </w:r>
      <w:r>
        <w:rPr>
          <w:sz w:val="24"/>
          <w:szCs w:val="24"/>
        </w:rPr>
        <w:tab/>
        <w:t xml:space="preserve">That the April 15, 2011 Petition of the Complainants, </w:t>
      </w:r>
      <w:r w:rsidRPr="00D70DCE">
        <w:rPr>
          <w:sz w:val="24"/>
          <w:szCs w:val="24"/>
        </w:rPr>
        <w:t>Guntram Weissenberger, Panonia Associates, L.P. and 27 Summit Trace, LLC</w:t>
      </w:r>
      <w:r>
        <w:rPr>
          <w:sz w:val="24"/>
          <w:szCs w:val="24"/>
        </w:rPr>
        <w:t xml:space="preserve"> (the Westover Companies) to withdraw </w:t>
      </w:r>
      <w:r w:rsidR="001B6AD0">
        <w:rPr>
          <w:sz w:val="24"/>
          <w:szCs w:val="24"/>
        </w:rPr>
        <w:t xml:space="preserve">that </w:t>
      </w:r>
      <w:r>
        <w:rPr>
          <w:sz w:val="24"/>
          <w:szCs w:val="24"/>
        </w:rPr>
        <w:t xml:space="preserve">part of their </w:t>
      </w:r>
      <w:r w:rsidR="00AB228B">
        <w:rPr>
          <w:sz w:val="24"/>
          <w:szCs w:val="24"/>
        </w:rPr>
        <w:t xml:space="preserve">July 15, 2010 </w:t>
      </w:r>
      <w:r>
        <w:rPr>
          <w:sz w:val="24"/>
          <w:szCs w:val="24"/>
        </w:rPr>
        <w:t xml:space="preserve">Amended Complaint </w:t>
      </w:r>
      <w:r w:rsidR="001B6AD0">
        <w:rPr>
          <w:sz w:val="24"/>
          <w:szCs w:val="24"/>
        </w:rPr>
        <w:t xml:space="preserve">(Count VII) </w:t>
      </w:r>
      <w:r>
        <w:rPr>
          <w:sz w:val="24"/>
          <w:szCs w:val="24"/>
        </w:rPr>
        <w:t>with</w:t>
      </w:r>
      <w:r w:rsidR="001B6AD0">
        <w:rPr>
          <w:sz w:val="24"/>
          <w:szCs w:val="24"/>
        </w:rPr>
        <w:t>out</w:t>
      </w:r>
      <w:r>
        <w:rPr>
          <w:sz w:val="24"/>
          <w:szCs w:val="24"/>
        </w:rPr>
        <w:t xml:space="preserve"> prejudice is </w:t>
      </w:r>
      <w:r w:rsidR="001B6AD0">
        <w:rPr>
          <w:sz w:val="24"/>
          <w:szCs w:val="24"/>
        </w:rPr>
        <w:t>denied, and that issue shall be set for hearing</w:t>
      </w:r>
      <w:r w:rsidR="00202077">
        <w:rPr>
          <w:sz w:val="24"/>
          <w:szCs w:val="24"/>
        </w:rPr>
        <w:t xml:space="preserve"> after the service of a Second Amended Complaint</w:t>
      </w:r>
      <w:r w:rsidR="00DD36DD">
        <w:rPr>
          <w:sz w:val="24"/>
          <w:szCs w:val="24"/>
        </w:rPr>
        <w:t xml:space="preserve"> as required by this Order and an opportunity by PECO to answer that Second Amended Complaint</w:t>
      </w:r>
      <w:r>
        <w:rPr>
          <w:sz w:val="24"/>
          <w:szCs w:val="24"/>
        </w:rPr>
        <w:t>.</w:t>
      </w:r>
    </w:p>
    <w:p w:rsidR="001B6AD0" w:rsidRDefault="001B6AD0" w:rsidP="00744C95">
      <w:pPr>
        <w:spacing w:line="360" w:lineRule="auto"/>
        <w:rPr>
          <w:sz w:val="24"/>
          <w:szCs w:val="24"/>
        </w:rPr>
      </w:pPr>
    </w:p>
    <w:p w:rsidR="001B6AD0" w:rsidRDefault="001B6AD0" w:rsidP="00744C95">
      <w:pPr>
        <w:spacing w:line="360" w:lineRule="auto"/>
        <w:rPr>
          <w:sz w:val="24"/>
          <w:szCs w:val="24"/>
        </w:rPr>
      </w:pPr>
      <w:r>
        <w:rPr>
          <w:sz w:val="24"/>
          <w:szCs w:val="24"/>
        </w:rPr>
        <w:tab/>
      </w:r>
      <w:r>
        <w:rPr>
          <w:sz w:val="24"/>
          <w:szCs w:val="24"/>
        </w:rPr>
        <w:tab/>
        <w:t>3.</w:t>
      </w:r>
      <w:r>
        <w:rPr>
          <w:sz w:val="24"/>
          <w:szCs w:val="24"/>
        </w:rPr>
        <w:tab/>
        <w:t xml:space="preserve">That the August 12, 2010 </w:t>
      </w:r>
      <w:r w:rsidR="00BF5D60">
        <w:rPr>
          <w:sz w:val="24"/>
          <w:szCs w:val="24"/>
        </w:rPr>
        <w:t xml:space="preserve">Second </w:t>
      </w:r>
      <w:r>
        <w:rPr>
          <w:sz w:val="24"/>
          <w:szCs w:val="24"/>
        </w:rPr>
        <w:t xml:space="preserve">Preliminary Objection filed by PECO Energy Company with respect to the lack of specificity in the </w:t>
      </w:r>
      <w:r w:rsidR="00AB228B">
        <w:rPr>
          <w:sz w:val="24"/>
          <w:szCs w:val="24"/>
        </w:rPr>
        <w:t xml:space="preserve">July 15, 2010 </w:t>
      </w:r>
      <w:r>
        <w:rPr>
          <w:sz w:val="24"/>
          <w:szCs w:val="24"/>
        </w:rPr>
        <w:t>Amended Complaint of the Westover Companies is sustained.</w:t>
      </w:r>
    </w:p>
    <w:p w:rsidR="001B6AD0" w:rsidRDefault="001B6AD0" w:rsidP="00744C95">
      <w:pPr>
        <w:spacing w:line="360" w:lineRule="auto"/>
        <w:rPr>
          <w:sz w:val="24"/>
          <w:szCs w:val="24"/>
        </w:rPr>
      </w:pPr>
    </w:p>
    <w:p w:rsidR="005D1C28" w:rsidRDefault="001B6AD0" w:rsidP="00744C95">
      <w:pPr>
        <w:spacing w:line="360" w:lineRule="auto"/>
        <w:rPr>
          <w:sz w:val="24"/>
          <w:szCs w:val="24"/>
        </w:rPr>
      </w:pPr>
      <w:r>
        <w:rPr>
          <w:sz w:val="24"/>
          <w:szCs w:val="24"/>
        </w:rPr>
        <w:tab/>
      </w:r>
      <w:r>
        <w:rPr>
          <w:sz w:val="24"/>
          <w:szCs w:val="24"/>
        </w:rPr>
        <w:tab/>
        <w:t>4.</w:t>
      </w:r>
      <w:r>
        <w:rPr>
          <w:sz w:val="24"/>
          <w:szCs w:val="24"/>
        </w:rPr>
        <w:tab/>
        <w:t>That the Complainants have thirty (30) days from the date of issuance of this Order to file with the</w:t>
      </w:r>
      <w:r w:rsidR="005D1C28">
        <w:rPr>
          <w:sz w:val="24"/>
          <w:szCs w:val="24"/>
        </w:rPr>
        <w:t xml:space="preserve"> S</w:t>
      </w:r>
      <w:r>
        <w:rPr>
          <w:sz w:val="24"/>
          <w:szCs w:val="24"/>
        </w:rPr>
        <w:t xml:space="preserve">ecretary of the Commission and </w:t>
      </w:r>
      <w:r w:rsidR="005D1C28">
        <w:rPr>
          <w:sz w:val="24"/>
          <w:szCs w:val="24"/>
        </w:rPr>
        <w:t xml:space="preserve">to </w:t>
      </w:r>
      <w:r>
        <w:rPr>
          <w:sz w:val="24"/>
          <w:szCs w:val="24"/>
        </w:rPr>
        <w:t>serve on PECO a Second Amended Complaint which states, with specificity</w:t>
      </w:r>
      <w:r w:rsidR="00202077">
        <w:rPr>
          <w:sz w:val="24"/>
          <w:szCs w:val="24"/>
        </w:rPr>
        <w:t>:</w:t>
      </w:r>
      <w:r>
        <w:rPr>
          <w:sz w:val="24"/>
          <w:szCs w:val="24"/>
        </w:rPr>
        <w:t xml:space="preserve"> </w:t>
      </w:r>
      <w:r w:rsidR="004B7358" w:rsidRPr="00C6607C">
        <w:rPr>
          <w:sz w:val="24"/>
          <w:szCs w:val="24"/>
        </w:rPr>
        <w:t xml:space="preserve">which tariff or rates PECO should have applied to the Complainants, any relevant information or discussion regarding the periodicity of </w:t>
      </w:r>
    </w:p>
    <w:p w:rsidR="005D1C28" w:rsidRDefault="005D1C28" w:rsidP="00744C95">
      <w:pPr>
        <w:spacing w:line="360" w:lineRule="auto"/>
        <w:rPr>
          <w:sz w:val="24"/>
          <w:szCs w:val="24"/>
        </w:rPr>
      </w:pPr>
    </w:p>
    <w:p w:rsidR="005D1C28" w:rsidRDefault="005D1C28" w:rsidP="00744C95">
      <w:pPr>
        <w:spacing w:line="360" w:lineRule="auto"/>
        <w:rPr>
          <w:sz w:val="24"/>
          <w:szCs w:val="24"/>
        </w:rPr>
      </w:pPr>
    </w:p>
    <w:p w:rsidR="001B6AD0" w:rsidRDefault="004B7358" w:rsidP="00744C95">
      <w:pPr>
        <w:spacing w:line="360" w:lineRule="auto"/>
        <w:rPr>
          <w:sz w:val="24"/>
          <w:szCs w:val="24"/>
        </w:rPr>
      </w:pPr>
      <w:r w:rsidRPr="00C6607C">
        <w:rPr>
          <w:sz w:val="24"/>
          <w:szCs w:val="24"/>
        </w:rPr>
        <w:t>PECO billing, how PECO’s billing and notifications violated a specific tariff, rule or rate</w:t>
      </w:r>
      <w:r w:rsidR="005D1C28">
        <w:rPr>
          <w:sz w:val="24"/>
          <w:szCs w:val="24"/>
        </w:rPr>
        <w:t xml:space="preserve"> filed with, approved by, or established by the Commission</w:t>
      </w:r>
      <w:r w:rsidR="00AB228B">
        <w:rPr>
          <w:sz w:val="24"/>
          <w:szCs w:val="24"/>
        </w:rPr>
        <w:t xml:space="preserve">, and, </w:t>
      </w:r>
      <w:r w:rsidR="00202077">
        <w:rPr>
          <w:sz w:val="24"/>
          <w:szCs w:val="24"/>
        </w:rPr>
        <w:t>most importantly</w:t>
      </w:r>
      <w:r w:rsidR="00AB228B">
        <w:rPr>
          <w:sz w:val="24"/>
          <w:szCs w:val="24"/>
        </w:rPr>
        <w:t xml:space="preserve">, which acts by PECO constitute a violation of the Pennsylvania Public Utility Code and/or the regulations of the Commission and, specifically, which </w:t>
      </w:r>
      <w:r w:rsidR="00202077">
        <w:rPr>
          <w:sz w:val="24"/>
          <w:szCs w:val="24"/>
        </w:rPr>
        <w:t xml:space="preserve">provision(s) of the </w:t>
      </w:r>
      <w:r w:rsidR="00AB228B">
        <w:rPr>
          <w:sz w:val="24"/>
          <w:szCs w:val="24"/>
        </w:rPr>
        <w:t>Pennsylvania Public Utility Code and/or the regulations of the Commission</w:t>
      </w:r>
      <w:r w:rsidR="00202077">
        <w:rPr>
          <w:sz w:val="24"/>
          <w:szCs w:val="24"/>
        </w:rPr>
        <w:t xml:space="preserve"> have allegedly been violated by PECO</w:t>
      </w:r>
      <w:r w:rsidR="005D1C28">
        <w:rPr>
          <w:sz w:val="24"/>
          <w:szCs w:val="24"/>
        </w:rPr>
        <w:t>.</w:t>
      </w:r>
    </w:p>
    <w:p w:rsidR="007D18A9" w:rsidRDefault="007D18A9" w:rsidP="00744C95">
      <w:pPr>
        <w:spacing w:line="360" w:lineRule="auto"/>
        <w:rPr>
          <w:sz w:val="24"/>
          <w:szCs w:val="24"/>
        </w:rPr>
      </w:pPr>
    </w:p>
    <w:p w:rsidR="007D18A9" w:rsidRPr="00E16C06" w:rsidRDefault="007D18A9" w:rsidP="00744C95">
      <w:pPr>
        <w:spacing w:line="360" w:lineRule="auto"/>
        <w:rPr>
          <w:sz w:val="24"/>
          <w:szCs w:val="24"/>
        </w:rPr>
      </w:pPr>
      <w:r>
        <w:rPr>
          <w:sz w:val="24"/>
          <w:szCs w:val="24"/>
        </w:rPr>
        <w:tab/>
      </w:r>
      <w:r>
        <w:rPr>
          <w:sz w:val="24"/>
          <w:szCs w:val="24"/>
        </w:rPr>
        <w:tab/>
        <w:t>5.</w:t>
      </w:r>
      <w:r>
        <w:rPr>
          <w:sz w:val="24"/>
          <w:szCs w:val="24"/>
        </w:rPr>
        <w:tab/>
        <w:t>That PECO shall, within twenty (20) days of the date of service of the Second Amended Complaint file any Answer thereto with the Secretary of the Commission and serve the same in conformity with the procedural rules of the Commission.</w:t>
      </w:r>
    </w:p>
    <w:p w:rsidR="00E16C06" w:rsidRPr="00E16C06" w:rsidRDefault="00E16C06" w:rsidP="00E16C06">
      <w:pPr>
        <w:rPr>
          <w:sz w:val="24"/>
          <w:szCs w:val="24"/>
        </w:rPr>
      </w:pPr>
    </w:p>
    <w:p w:rsidR="00004000" w:rsidRDefault="00004000" w:rsidP="00004000">
      <w:pPr>
        <w:rPr>
          <w:sz w:val="24"/>
          <w:szCs w:val="24"/>
        </w:rPr>
      </w:pPr>
    </w:p>
    <w:p w:rsidR="00004000" w:rsidRPr="00152350" w:rsidRDefault="00004000" w:rsidP="00004000">
      <w:pPr>
        <w:rPr>
          <w:sz w:val="24"/>
          <w:szCs w:val="24"/>
        </w:rPr>
      </w:pPr>
      <w:r w:rsidRPr="00152350">
        <w:rPr>
          <w:sz w:val="24"/>
          <w:szCs w:val="24"/>
        </w:rPr>
        <w:br/>
        <w:t>Date:</w:t>
      </w:r>
      <w:r w:rsidRPr="00152350">
        <w:rPr>
          <w:sz w:val="24"/>
          <w:szCs w:val="24"/>
        </w:rPr>
        <w:tab/>
      </w:r>
      <w:r>
        <w:rPr>
          <w:sz w:val="24"/>
          <w:szCs w:val="24"/>
          <w:u w:val="single"/>
        </w:rPr>
        <w:t>July 8,</w:t>
      </w:r>
      <w:r w:rsidRPr="00152350">
        <w:rPr>
          <w:sz w:val="24"/>
          <w:szCs w:val="24"/>
          <w:u w:val="single"/>
        </w:rPr>
        <w:t xml:space="preserve"> 2011</w:t>
      </w:r>
      <w:r>
        <w:rPr>
          <w:sz w:val="24"/>
          <w:szCs w:val="24"/>
        </w:rPr>
        <w:tab/>
      </w:r>
      <w:r>
        <w:rPr>
          <w:sz w:val="24"/>
          <w:szCs w:val="24"/>
        </w:rPr>
        <w:tab/>
      </w:r>
      <w:r w:rsidRPr="00152350">
        <w:rPr>
          <w:sz w:val="24"/>
          <w:szCs w:val="24"/>
        </w:rPr>
        <w:tab/>
      </w:r>
      <w:r w:rsidRPr="00152350">
        <w:rPr>
          <w:sz w:val="24"/>
          <w:szCs w:val="24"/>
        </w:rPr>
        <w:tab/>
      </w:r>
      <w:r w:rsidRPr="00152350">
        <w:rPr>
          <w:sz w:val="24"/>
          <w:szCs w:val="24"/>
        </w:rPr>
        <w:tab/>
        <w:t>_____________________________</w:t>
      </w:r>
    </w:p>
    <w:p w:rsidR="00004000" w:rsidRPr="00152350" w:rsidRDefault="00004000" w:rsidP="00004000">
      <w:pPr>
        <w:rPr>
          <w:sz w:val="24"/>
          <w:szCs w:val="24"/>
        </w:rPr>
      </w:pPr>
      <w:r w:rsidRPr="00152350">
        <w:rPr>
          <w:sz w:val="24"/>
          <w:szCs w:val="24"/>
        </w:rPr>
        <w:tab/>
      </w:r>
      <w:r w:rsidRPr="00152350">
        <w:rPr>
          <w:sz w:val="24"/>
          <w:szCs w:val="24"/>
        </w:rPr>
        <w:tab/>
      </w:r>
      <w:r w:rsidRPr="00152350">
        <w:rPr>
          <w:sz w:val="24"/>
          <w:szCs w:val="24"/>
        </w:rPr>
        <w:tab/>
      </w:r>
      <w:r w:rsidRPr="00152350">
        <w:rPr>
          <w:sz w:val="24"/>
          <w:szCs w:val="24"/>
        </w:rPr>
        <w:tab/>
      </w:r>
      <w:r w:rsidRPr="00152350">
        <w:rPr>
          <w:sz w:val="24"/>
          <w:szCs w:val="24"/>
        </w:rPr>
        <w:tab/>
      </w:r>
      <w:r w:rsidRPr="00152350">
        <w:rPr>
          <w:sz w:val="24"/>
          <w:szCs w:val="24"/>
        </w:rPr>
        <w:tab/>
      </w:r>
      <w:r w:rsidRPr="00152350">
        <w:rPr>
          <w:sz w:val="24"/>
          <w:szCs w:val="24"/>
        </w:rPr>
        <w:tab/>
        <w:t>Dennis J. Buckley</w:t>
      </w:r>
    </w:p>
    <w:p w:rsidR="00004000" w:rsidRPr="00152350" w:rsidRDefault="00004000" w:rsidP="00004000">
      <w:pPr>
        <w:ind w:hanging="720"/>
        <w:rPr>
          <w:sz w:val="24"/>
          <w:szCs w:val="24"/>
        </w:rPr>
      </w:pPr>
      <w:r w:rsidRPr="00152350">
        <w:rPr>
          <w:sz w:val="24"/>
          <w:szCs w:val="24"/>
        </w:rPr>
        <w:tab/>
      </w:r>
      <w:r w:rsidRPr="00152350">
        <w:rPr>
          <w:sz w:val="24"/>
          <w:szCs w:val="24"/>
        </w:rPr>
        <w:tab/>
      </w:r>
      <w:r w:rsidRPr="00152350">
        <w:rPr>
          <w:sz w:val="24"/>
          <w:szCs w:val="24"/>
        </w:rPr>
        <w:tab/>
      </w:r>
      <w:r w:rsidRPr="00152350">
        <w:rPr>
          <w:sz w:val="24"/>
          <w:szCs w:val="24"/>
        </w:rPr>
        <w:tab/>
      </w:r>
      <w:r w:rsidRPr="00152350">
        <w:rPr>
          <w:sz w:val="24"/>
          <w:szCs w:val="24"/>
        </w:rPr>
        <w:tab/>
      </w:r>
      <w:r w:rsidRPr="00152350">
        <w:rPr>
          <w:sz w:val="24"/>
          <w:szCs w:val="24"/>
        </w:rPr>
        <w:tab/>
      </w:r>
      <w:r w:rsidRPr="00152350">
        <w:rPr>
          <w:sz w:val="24"/>
          <w:szCs w:val="24"/>
        </w:rPr>
        <w:tab/>
      </w:r>
      <w:r w:rsidRPr="00152350">
        <w:rPr>
          <w:sz w:val="24"/>
          <w:szCs w:val="24"/>
        </w:rPr>
        <w:tab/>
        <w:t>Administrative Law Judge</w:t>
      </w:r>
    </w:p>
    <w:p w:rsidR="00CC4570" w:rsidRDefault="00CC4570" w:rsidP="00C81100">
      <w:pPr>
        <w:rPr>
          <w:sz w:val="24"/>
          <w:szCs w:val="24"/>
        </w:rPr>
        <w:sectPr w:rsidR="00CC4570" w:rsidSect="006B08C2">
          <w:footerReference w:type="even" r:id="rId8"/>
          <w:footerReference w:type="default" r:id="rId9"/>
          <w:type w:val="continuous"/>
          <w:pgSz w:w="12240" w:h="15840"/>
          <w:pgMar w:top="1440" w:right="1440" w:bottom="1440" w:left="1440" w:header="720" w:footer="720" w:gutter="0"/>
          <w:cols w:space="720"/>
          <w:noEndnote/>
          <w:titlePg/>
        </w:sectPr>
      </w:pPr>
    </w:p>
    <w:p w:rsidR="00CC4570" w:rsidRPr="00057980" w:rsidRDefault="00CC4570" w:rsidP="00CC4570">
      <w:pPr>
        <w:rPr>
          <w:rFonts w:ascii="Microsoft Sans Serif" w:hAnsi="Microsoft Sans Serif" w:cs="Microsoft Sans Serif"/>
          <w:b/>
          <w:caps/>
          <w:szCs w:val="24"/>
          <w:u w:val="single"/>
        </w:rPr>
      </w:pPr>
      <w:r w:rsidRPr="003901F1">
        <w:rPr>
          <w:rFonts w:ascii="Microsoft Sans Serif" w:hAnsi="Microsoft Sans Serif" w:cs="Microsoft Sans Serif"/>
          <w:b/>
          <w:caps/>
          <w:noProof/>
          <w:szCs w:val="24"/>
          <w:u w:val="single"/>
        </w:rPr>
        <w:lastRenderedPageBreak/>
        <w:t>C-2010-2182281</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w:t>
      </w:r>
      <w:r w:rsidRPr="00057980">
        <w:rPr>
          <w:rFonts w:ascii="Microsoft Sans Serif" w:hAnsi="Microsoft Sans Serif" w:cs="Microsoft Sans Serif"/>
          <w:b/>
          <w:caps/>
          <w:szCs w:val="24"/>
          <w:u w:val="single"/>
        </w:rPr>
        <w:t xml:space="preserve"> </w:t>
      </w:r>
      <w:r w:rsidRPr="003901F1">
        <w:rPr>
          <w:rFonts w:ascii="Microsoft Sans Serif" w:hAnsi="Microsoft Sans Serif" w:cs="Microsoft Sans Serif"/>
          <w:b/>
          <w:caps/>
          <w:noProof/>
          <w:szCs w:val="24"/>
          <w:u w:val="single"/>
        </w:rPr>
        <w:t>Guntram Weissenberger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901F1">
        <w:rPr>
          <w:rFonts w:ascii="Microsoft Sans Serif" w:hAnsi="Microsoft Sans Serif" w:cs="Microsoft Sans Serif"/>
          <w:b/>
          <w:caps/>
          <w:noProof/>
          <w:szCs w:val="24"/>
          <w:u w:val="single"/>
        </w:rPr>
        <w:t>PECO Energy Company</w:t>
      </w:r>
    </w:p>
    <w:p w:rsidR="00CC4570" w:rsidRPr="00057980" w:rsidRDefault="00CC4570" w:rsidP="00CC4570">
      <w:pPr>
        <w:rPr>
          <w:rFonts w:ascii="Microsoft Sans Serif" w:hAnsi="Microsoft Sans Serif" w:cs="Microsoft Sans Serif"/>
          <w:caps/>
          <w:szCs w:val="24"/>
        </w:rPr>
      </w:pPr>
    </w:p>
    <w:p w:rsidR="00CC4570" w:rsidRPr="00057980" w:rsidRDefault="00CC4570" w:rsidP="00CC4570">
      <w:pPr>
        <w:rPr>
          <w:rFonts w:ascii="Microsoft Sans Serif" w:hAnsi="Microsoft Sans Serif" w:cs="Microsoft Sans Serif"/>
          <w:caps/>
          <w:szCs w:val="24"/>
        </w:rPr>
      </w:pPr>
    </w:p>
    <w:p w:rsidR="00CC4570" w:rsidRPr="00057980" w:rsidRDefault="00CC4570" w:rsidP="00CC4570">
      <w:pPr>
        <w:rPr>
          <w:rFonts w:ascii="Microsoft Sans Serif" w:hAnsi="Microsoft Sans Serif" w:cs="Microsoft Sans Serif"/>
          <w:caps/>
          <w:szCs w:val="24"/>
        </w:rPr>
      </w:pPr>
      <w:r w:rsidRPr="003901F1">
        <w:rPr>
          <w:rFonts w:ascii="Microsoft Sans Serif" w:hAnsi="Microsoft Sans Serif" w:cs="Microsoft Sans Serif"/>
          <w:caps/>
          <w:noProof/>
          <w:szCs w:val="24"/>
        </w:rPr>
        <w:t>GUNTRAM WEISSENBERGER</w:t>
      </w:r>
      <w:r w:rsidRPr="00057980">
        <w:rPr>
          <w:rFonts w:ascii="Microsoft Sans Serif" w:hAnsi="Microsoft Sans Serif" w:cs="Microsoft Sans Serif"/>
          <w:caps/>
          <w:szCs w:val="24"/>
        </w:rPr>
        <w:t xml:space="preserve"> </w:t>
      </w:r>
    </w:p>
    <w:p w:rsidR="00CC4570" w:rsidRPr="00057980" w:rsidRDefault="00CC4570" w:rsidP="00CC4570">
      <w:pPr>
        <w:rPr>
          <w:rFonts w:ascii="Microsoft Sans Serif" w:hAnsi="Microsoft Sans Serif" w:cs="Microsoft Sans Serif"/>
          <w:caps/>
          <w:szCs w:val="24"/>
        </w:rPr>
      </w:pPr>
      <w:r w:rsidRPr="003901F1">
        <w:rPr>
          <w:rFonts w:ascii="Microsoft Sans Serif" w:hAnsi="Microsoft Sans Serif" w:cs="Microsoft Sans Serif"/>
          <w:caps/>
          <w:noProof/>
          <w:szCs w:val="24"/>
        </w:rPr>
        <w:t>550 American Avenue</w:t>
      </w:r>
    </w:p>
    <w:p w:rsidR="00CC4570" w:rsidRPr="00057980" w:rsidRDefault="00CC4570" w:rsidP="00CC4570">
      <w:pPr>
        <w:rPr>
          <w:rFonts w:ascii="Microsoft Sans Serif" w:hAnsi="Microsoft Sans Serif" w:cs="Microsoft Sans Serif"/>
          <w:caps/>
          <w:szCs w:val="24"/>
        </w:rPr>
      </w:pPr>
      <w:r w:rsidRPr="003901F1">
        <w:rPr>
          <w:rFonts w:ascii="Microsoft Sans Serif" w:hAnsi="Microsoft Sans Serif" w:cs="Microsoft Sans Serif"/>
          <w:caps/>
          <w:noProof/>
          <w:szCs w:val="24"/>
        </w:rPr>
        <w:t>Suite 1</w:t>
      </w:r>
    </w:p>
    <w:p w:rsidR="00CC4570" w:rsidRPr="00057980" w:rsidRDefault="00CC4570" w:rsidP="00CC4570">
      <w:pPr>
        <w:rPr>
          <w:rFonts w:ascii="Microsoft Sans Serif" w:hAnsi="Microsoft Sans Serif" w:cs="Microsoft Sans Serif"/>
          <w:caps/>
          <w:szCs w:val="24"/>
        </w:rPr>
      </w:pPr>
      <w:r w:rsidRPr="003901F1">
        <w:rPr>
          <w:rFonts w:ascii="Microsoft Sans Serif" w:hAnsi="Microsoft Sans Serif" w:cs="Microsoft Sans Serif"/>
          <w:caps/>
          <w:noProof/>
          <w:szCs w:val="24"/>
        </w:rPr>
        <w:t>King of Prussia</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19406</w:t>
      </w:r>
    </w:p>
    <w:p w:rsidR="00CC4570" w:rsidRDefault="00CC4570" w:rsidP="00CC4570">
      <w:pPr>
        <w:rPr>
          <w:rFonts w:ascii="Microsoft Sans Serif" w:hAnsi="Microsoft Sans Serif" w:cs="Microsoft Sans Serif"/>
          <w:caps/>
          <w:szCs w:val="24"/>
        </w:rPr>
      </w:pPr>
    </w:p>
    <w:p w:rsidR="00CC4570" w:rsidRPr="00057980" w:rsidRDefault="00CC4570" w:rsidP="00CC4570">
      <w:pPr>
        <w:rPr>
          <w:rFonts w:ascii="Microsoft Sans Serif" w:hAnsi="Microsoft Sans Serif" w:cs="Microsoft Sans Serif"/>
          <w:caps/>
          <w:szCs w:val="24"/>
        </w:rPr>
      </w:pPr>
      <w:r w:rsidRPr="003901F1">
        <w:rPr>
          <w:rFonts w:ascii="Microsoft Sans Serif" w:hAnsi="Microsoft Sans Serif" w:cs="Microsoft Sans Serif"/>
          <w:caps/>
          <w:noProof/>
          <w:szCs w:val="24"/>
        </w:rPr>
        <w:t>Tishekia E</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Esquire</w:t>
      </w:r>
    </w:p>
    <w:p w:rsidR="00CC4570" w:rsidRPr="00057980" w:rsidRDefault="00CC4570" w:rsidP="00CC4570">
      <w:pPr>
        <w:rPr>
          <w:rFonts w:ascii="Microsoft Sans Serif" w:hAnsi="Microsoft Sans Serif" w:cs="Microsoft Sans Serif"/>
          <w:caps/>
          <w:szCs w:val="24"/>
        </w:rPr>
      </w:pPr>
      <w:r w:rsidRPr="003901F1">
        <w:rPr>
          <w:rFonts w:ascii="Microsoft Sans Serif" w:hAnsi="Microsoft Sans Serif" w:cs="Microsoft Sans Serif"/>
          <w:caps/>
          <w:noProof/>
          <w:szCs w:val="24"/>
        </w:rPr>
        <w:t>Exelon Business Services Company</w:t>
      </w:r>
    </w:p>
    <w:p w:rsidR="00CC4570" w:rsidRPr="00057980" w:rsidRDefault="00CC4570" w:rsidP="00CC4570">
      <w:pPr>
        <w:rPr>
          <w:rFonts w:ascii="Microsoft Sans Serif" w:hAnsi="Microsoft Sans Serif" w:cs="Microsoft Sans Serif"/>
          <w:caps/>
          <w:szCs w:val="24"/>
        </w:rPr>
      </w:pPr>
      <w:r w:rsidRPr="003901F1">
        <w:rPr>
          <w:rFonts w:ascii="Microsoft Sans Serif" w:hAnsi="Microsoft Sans Serif" w:cs="Microsoft Sans Serif"/>
          <w:caps/>
          <w:noProof/>
          <w:szCs w:val="24"/>
        </w:rPr>
        <w:t>2301 Market Street/S23-1</w:t>
      </w:r>
    </w:p>
    <w:p w:rsidR="00CC4570" w:rsidRPr="00057980" w:rsidRDefault="00CC4570" w:rsidP="00CC4570">
      <w:pPr>
        <w:rPr>
          <w:rFonts w:ascii="Microsoft Sans Serif" w:hAnsi="Microsoft Sans Serif" w:cs="Microsoft Sans Serif"/>
          <w:caps/>
          <w:szCs w:val="24"/>
        </w:rPr>
      </w:pPr>
      <w:r w:rsidRPr="003901F1">
        <w:rPr>
          <w:rFonts w:ascii="Microsoft Sans Serif" w:hAnsi="Microsoft Sans Serif" w:cs="Microsoft Sans Serif"/>
          <w:caps/>
          <w:noProof/>
          <w:szCs w:val="24"/>
        </w:rPr>
        <w:t>P O Box 8699</w:t>
      </w:r>
    </w:p>
    <w:p w:rsidR="00CC4570" w:rsidRPr="00057980" w:rsidRDefault="00CC4570" w:rsidP="00CC4570">
      <w:pPr>
        <w:rPr>
          <w:rFonts w:ascii="Microsoft Sans Serif" w:hAnsi="Microsoft Sans Serif" w:cs="Microsoft Sans Serif"/>
          <w:caps/>
          <w:szCs w:val="24"/>
        </w:rPr>
      </w:pPr>
      <w:r w:rsidRPr="003901F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19101-8699</w:t>
      </w:r>
    </w:p>
    <w:p w:rsidR="00CC4570" w:rsidRDefault="00CC4570" w:rsidP="00CC4570">
      <w:pPr>
        <w:rPr>
          <w:rFonts w:ascii="Microsoft Sans Serif" w:hAnsi="Microsoft Sans Serif" w:cs="Microsoft Sans Serif"/>
          <w:b/>
          <w:caps/>
          <w:noProof/>
          <w:szCs w:val="24"/>
        </w:rPr>
      </w:pPr>
      <w:r w:rsidRPr="003901F1">
        <w:rPr>
          <w:rFonts w:ascii="Microsoft Sans Serif" w:hAnsi="Microsoft Sans Serif" w:cs="Microsoft Sans Serif"/>
          <w:b/>
          <w:caps/>
          <w:noProof/>
          <w:szCs w:val="24"/>
        </w:rPr>
        <w:t>215.841.6841</w:t>
      </w:r>
    </w:p>
    <w:p w:rsidR="00CC4570" w:rsidRDefault="00CC4570" w:rsidP="00CC4570">
      <w:pPr>
        <w:rPr>
          <w:rFonts w:ascii="Microsoft Sans Serif" w:hAnsi="Microsoft Sans Serif" w:cs="Microsoft Sans Serif"/>
          <w:b/>
          <w:caps/>
          <w:noProof/>
          <w:szCs w:val="24"/>
        </w:rPr>
      </w:pPr>
    </w:p>
    <w:p w:rsidR="00CC4570" w:rsidRDefault="00CC4570" w:rsidP="00CC4570">
      <w:pPr>
        <w:rPr>
          <w:rFonts w:ascii="Microsoft Sans Serif" w:hAnsi="Microsoft Sans Serif" w:cs="Microsoft Sans Serif"/>
          <w:caps/>
          <w:noProof/>
          <w:szCs w:val="24"/>
        </w:rPr>
      </w:pPr>
      <w:r>
        <w:rPr>
          <w:rFonts w:ascii="Microsoft Sans Serif" w:hAnsi="Microsoft Sans Serif" w:cs="Microsoft Sans Serif"/>
          <w:caps/>
          <w:noProof/>
          <w:szCs w:val="24"/>
        </w:rPr>
        <w:t>ward smith</w:t>
      </w:r>
    </w:p>
    <w:p w:rsidR="00CC4570" w:rsidRDefault="00CC4570" w:rsidP="00CC4570">
      <w:pPr>
        <w:rPr>
          <w:rFonts w:ascii="Microsoft Sans Serif" w:hAnsi="Microsoft Sans Serif" w:cs="Microsoft Sans Serif"/>
          <w:caps/>
          <w:noProof/>
          <w:szCs w:val="24"/>
        </w:rPr>
      </w:pPr>
      <w:r>
        <w:rPr>
          <w:rFonts w:ascii="Microsoft Sans Serif" w:hAnsi="Microsoft Sans Serif" w:cs="Microsoft Sans Serif"/>
          <w:caps/>
          <w:noProof/>
          <w:szCs w:val="24"/>
        </w:rPr>
        <w:t>peco energy company</w:t>
      </w:r>
    </w:p>
    <w:p w:rsidR="00CC4570" w:rsidRDefault="00CC4570" w:rsidP="00CC4570">
      <w:pPr>
        <w:rPr>
          <w:rFonts w:ascii="Microsoft Sans Serif" w:hAnsi="Microsoft Sans Serif" w:cs="Microsoft Sans Serif"/>
          <w:caps/>
          <w:noProof/>
          <w:szCs w:val="24"/>
        </w:rPr>
      </w:pPr>
      <w:r>
        <w:rPr>
          <w:rFonts w:ascii="Microsoft Sans Serif" w:hAnsi="Microsoft Sans Serif" w:cs="Microsoft Sans Serif"/>
          <w:caps/>
          <w:noProof/>
          <w:szCs w:val="24"/>
        </w:rPr>
        <w:t>2301 market street/s23-1</w:t>
      </w:r>
    </w:p>
    <w:p w:rsidR="00CC4570" w:rsidRDefault="00CC4570" w:rsidP="00CC4570">
      <w:pPr>
        <w:rPr>
          <w:rFonts w:ascii="Microsoft Sans Serif" w:hAnsi="Microsoft Sans Serif" w:cs="Microsoft Sans Serif"/>
          <w:caps/>
          <w:noProof/>
          <w:szCs w:val="24"/>
        </w:rPr>
      </w:pPr>
      <w:r>
        <w:rPr>
          <w:rFonts w:ascii="Microsoft Sans Serif" w:hAnsi="Microsoft Sans Serif" w:cs="Microsoft Sans Serif"/>
          <w:caps/>
          <w:noProof/>
          <w:szCs w:val="24"/>
        </w:rPr>
        <w:t>philadelphia pa 19103</w:t>
      </w:r>
    </w:p>
    <w:p w:rsidR="00CC4570" w:rsidRPr="00191FCF" w:rsidRDefault="00CC4570" w:rsidP="00CC4570">
      <w:pPr>
        <w:rPr>
          <w:rFonts w:ascii="Microsoft Sans Serif" w:hAnsi="Microsoft Sans Serif" w:cs="Microsoft Sans Serif"/>
          <w:b/>
          <w:caps/>
          <w:szCs w:val="24"/>
        </w:rPr>
      </w:pPr>
      <w:r w:rsidRPr="00191FCF">
        <w:rPr>
          <w:rFonts w:ascii="Microsoft Sans Serif" w:hAnsi="Microsoft Sans Serif" w:cs="Microsoft Sans Serif"/>
          <w:b/>
          <w:caps/>
          <w:noProof/>
          <w:szCs w:val="24"/>
        </w:rPr>
        <w:t>215.841.6863</w:t>
      </w:r>
    </w:p>
    <w:p w:rsidR="00CC4570" w:rsidRDefault="00CC4570" w:rsidP="00CC4570">
      <w:pPr>
        <w:rPr>
          <w:rFonts w:ascii="Microsoft Sans Serif" w:hAnsi="Microsoft Sans Serif" w:cs="Microsoft Sans Serif"/>
          <w:caps/>
          <w:szCs w:val="24"/>
        </w:rPr>
      </w:pPr>
    </w:p>
    <w:p w:rsidR="00CC4570" w:rsidRDefault="00CC4570" w:rsidP="00CC4570">
      <w:pPr>
        <w:rPr>
          <w:rFonts w:ascii="Microsoft Sans Serif" w:hAnsi="Microsoft Sans Serif" w:cs="Microsoft Sans Serif"/>
          <w:caps/>
          <w:noProof/>
          <w:szCs w:val="24"/>
        </w:rPr>
      </w:pPr>
      <w:r w:rsidRPr="003901F1">
        <w:rPr>
          <w:rFonts w:ascii="Microsoft Sans Serif" w:hAnsi="Microsoft Sans Serif" w:cs="Microsoft Sans Serif"/>
          <w:caps/>
          <w:noProof/>
          <w:szCs w:val="24"/>
        </w:rPr>
        <w:t>Norman J</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Kennard</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Esquire</w:t>
      </w:r>
    </w:p>
    <w:p w:rsidR="00CC4570" w:rsidRPr="00057980" w:rsidRDefault="00CC4570" w:rsidP="00CC4570">
      <w:pPr>
        <w:rPr>
          <w:rFonts w:ascii="Microsoft Sans Serif" w:hAnsi="Microsoft Sans Serif" w:cs="Microsoft Sans Serif"/>
          <w:caps/>
          <w:szCs w:val="24"/>
        </w:rPr>
      </w:pPr>
      <w:r>
        <w:rPr>
          <w:rFonts w:ascii="Microsoft Sans Serif" w:hAnsi="Microsoft Sans Serif" w:cs="Microsoft Sans Serif"/>
          <w:caps/>
          <w:noProof/>
          <w:szCs w:val="24"/>
        </w:rPr>
        <w:t>charles e thomas iii esquire</w:t>
      </w:r>
    </w:p>
    <w:p w:rsidR="00CC4570" w:rsidRPr="00057980" w:rsidRDefault="00CC4570" w:rsidP="00CC4570">
      <w:pPr>
        <w:rPr>
          <w:rFonts w:ascii="Microsoft Sans Serif" w:hAnsi="Microsoft Sans Serif" w:cs="Microsoft Sans Serif"/>
          <w:caps/>
          <w:szCs w:val="24"/>
        </w:rPr>
      </w:pPr>
      <w:r w:rsidRPr="003901F1">
        <w:rPr>
          <w:rFonts w:ascii="Microsoft Sans Serif" w:hAnsi="Microsoft Sans Serif" w:cs="Microsoft Sans Serif"/>
          <w:caps/>
          <w:noProof/>
          <w:szCs w:val="24"/>
        </w:rPr>
        <w:t>THOMAS LONG NIESEN &amp; KENNARD</w:t>
      </w:r>
    </w:p>
    <w:p w:rsidR="00CC4570" w:rsidRPr="00057980" w:rsidRDefault="00CC4570" w:rsidP="00CC4570">
      <w:pPr>
        <w:rPr>
          <w:rFonts w:ascii="Microsoft Sans Serif" w:hAnsi="Microsoft Sans Serif" w:cs="Microsoft Sans Serif"/>
          <w:caps/>
          <w:szCs w:val="24"/>
        </w:rPr>
      </w:pPr>
      <w:r w:rsidRPr="003901F1">
        <w:rPr>
          <w:rFonts w:ascii="Microsoft Sans Serif" w:hAnsi="Microsoft Sans Serif" w:cs="Microsoft Sans Serif"/>
          <w:caps/>
          <w:noProof/>
          <w:szCs w:val="24"/>
        </w:rPr>
        <w:t>212 Locust Street</w:t>
      </w:r>
    </w:p>
    <w:p w:rsidR="00CC4570" w:rsidRPr="00057980" w:rsidRDefault="00CC4570" w:rsidP="00CC4570">
      <w:pPr>
        <w:rPr>
          <w:rFonts w:ascii="Microsoft Sans Serif" w:hAnsi="Microsoft Sans Serif" w:cs="Microsoft Sans Serif"/>
          <w:caps/>
          <w:szCs w:val="24"/>
        </w:rPr>
      </w:pPr>
      <w:r w:rsidRPr="003901F1">
        <w:rPr>
          <w:rFonts w:ascii="Microsoft Sans Serif" w:hAnsi="Microsoft Sans Serif" w:cs="Microsoft Sans Serif"/>
          <w:caps/>
          <w:noProof/>
          <w:szCs w:val="24"/>
        </w:rPr>
        <w:t>Suite 500</w:t>
      </w:r>
    </w:p>
    <w:p w:rsidR="00CC4570" w:rsidRPr="00057980" w:rsidRDefault="00CC4570" w:rsidP="00CC4570">
      <w:pPr>
        <w:rPr>
          <w:rFonts w:ascii="Microsoft Sans Serif" w:hAnsi="Microsoft Sans Serif" w:cs="Microsoft Sans Serif"/>
          <w:caps/>
          <w:szCs w:val="24"/>
        </w:rPr>
      </w:pPr>
      <w:r w:rsidRPr="003901F1">
        <w:rPr>
          <w:rFonts w:ascii="Microsoft Sans Serif" w:hAnsi="Microsoft Sans Serif" w:cs="Microsoft Sans Serif"/>
          <w:caps/>
          <w:noProof/>
          <w:szCs w:val="24"/>
        </w:rPr>
        <w:t>P.O. Box 9500</w:t>
      </w:r>
    </w:p>
    <w:p w:rsidR="00CC4570" w:rsidRPr="00057980" w:rsidRDefault="00CC4570" w:rsidP="00CC4570">
      <w:pPr>
        <w:rPr>
          <w:rFonts w:ascii="Microsoft Sans Serif" w:hAnsi="Microsoft Sans Serif" w:cs="Microsoft Sans Serif"/>
          <w:caps/>
          <w:szCs w:val="24"/>
        </w:rPr>
      </w:pPr>
      <w:r w:rsidRPr="003901F1">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17108-9500</w:t>
      </w:r>
    </w:p>
    <w:p w:rsidR="00CC4570" w:rsidRPr="00057980" w:rsidRDefault="00CC4570" w:rsidP="00CC4570">
      <w:pPr>
        <w:rPr>
          <w:rFonts w:ascii="Microsoft Sans Serif" w:hAnsi="Microsoft Sans Serif" w:cs="Microsoft Sans Serif"/>
          <w:caps/>
          <w:szCs w:val="24"/>
        </w:rPr>
      </w:pPr>
      <w:r w:rsidRPr="003901F1">
        <w:rPr>
          <w:rFonts w:ascii="Microsoft Sans Serif" w:hAnsi="Microsoft Sans Serif" w:cs="Microsoft Sans Serif"/>
          <w:b/>
          <w:caps/>
          <w:noProof/>
          <w:szCs w:val="24"/>
        </w:rPr>
        <w:t>717.255.7600</w:t>
      </w:r>
    </w:p>
    <w:p w:rsidR="00CC4570" w:rsidRDefault="00CC4570" w:rsidP="00CC4570">
      <w:pPr>
        <w:rPr>
          <w:rFonts w:ascii="Microsoft Sans Serif" w:hAnsi="Microsoft Sans Serif" w:cs="Microsoft Sans Serif"/>
          <w:caps/>
          <w:szCs w:val="24"/>
        </w:rPr>
      </w:pPr>
    </w:p>
    <w:p w:rsidR="00CC4570" w:rsidRPr="00057980" w:rsidRDefault="00CC4570" w:rsidP="00CC4570">
      <w:pPr>
        <w:rPr>
          <w:rFonts w:ascii="Microsoft Sans Serif" w:hAnsi="Microsoft Sans Serif" w:cs="Microsoft Sans Serif"/>
          <w:caps/>
          <w:szCs w:val="24"/>
        </w:rPr>
      </w:pPr>
      <w:r w:rsidRPr="003901F1">
        <w:rPr>
          <w:rFonts w:ascii="Microsoft Sans Serif" w:hAnsi="Microsoft Sans Serif" w:cs="Microsoft Sans Serif"/>
          <w:caps/>
          <w:noProof/>
          <w:szCs w:val="24"/>
        </w:rPr>
        <w:t>Lee A</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Stivale</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Esquire</w:t>
      </w:r>
    </w:p>
    <w:p w:rsidR="00CC4570" w:rsidRPr="00057980" w:rsidRDefault="00CC4570" w:rsidP="00CC4570">
      <w:pPr>
        <w:rPr>
          <w:rFonts w:ascii="Microsoft Sans Serif" w:hAnsi="Microsoft Sans Serif" w:cs="Microsoft Sans Serif"/>
          <w:caps/>
          <w:szCs w:val="24"/>
        </w:rPr>
      </w:pPr>
      <w:r w:rsidRPr="003901F1">
        <w:rPr>
          <w:rFonts w:ascii="Microsoft Sans Serif" w:hAnsi="Microsoft Sans Serif" w:cs="Microsoft Sans Serif"/>
          <w:caps/>
          <w:noProof/>
          <w:szCs w:val="24"/>
        </w:rPr>
        <w:t>Vincent B Mancini &amp; Associates</w:t>
      </w:r>
    </w:p>
    <w:p w:rsidR="00CC4570" w:rsidRPr="00057980" w:rsidRDefault="00CC4570" w:rsidP="00CC4570">
      <w:pPr>
        <w:rPr>
          <w:rFonts w:ascii="Microsoft Sans Serif" w:hAnsi="Microsoft Sans Serif" w:cs="Microsoft Sans Serif"/>
          <w:caps/>
          <w:szCs w:val="24"/>
        </w:rPr>
      </w:pPr>
      <w:r w:rsidRPr="003901F1">
        <w:rPr>
          <w:rFonts w:ascii="Microsoft Sans Serif" w:hAnsi="Microsoft Sans Serif" w:cs="Microsoft Sans Serif"/>
          <w:caps/>
          <w:noProof/>
          <w:szCs w:val="24"/>
        </w:rPr>
        <w:t>414 East Baltimore Pike</w:t>
      </w:r>
    </w:p>
    <w:p w:rsidR="00CC4570" w:rsidRPr="00057980" w:rsidRDefault="00CC4570" w:rsidP="00CC4570">
      <w:pPr>
        <w:rPr>
          <w:rFonts w:ascii="Microsoft Sans Serif" w:hAnsi="Microsoft Sans Serif" w:cs="Microsoft Sans Serif"/>
          <w:caps/>
          <w:szCs w:val="24"/>
        </w:rPr>
      </w:pPr>
      <w:r w:rsidRPr="003901F1">
        <w:rPr>
          <w:rFonts w:ascii="Microsoft Sans Serif" w:hAnsi="Microsoft Sans Serif" w:cs="Microsoft Sans Serif"/>
          <w:caps/>
          <w:noProof/>
          <w:szCs w:val="24"/>
        </w:rPr>
        <w:t>Media</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901F1">
        <w:rPr>
          <w:rFonts w:ascii="Microsoft Sans Serif" w:hAnsi="Microsoft Sans Serif" w:cs="Microsoft Sans Serif"/>
          <w:caps/>
          <w:noProof/>
          <w:szCs w:val="24"/>
        </w:rPr>
        <w:t>19063</w:t>
      </w:r>
    </w:p>
    <w:p w:rsidR="00CC4570" w:rsidRPr="00057980" w:rsidRDefault="00CC4570" w:rsidP="00CC4570">
      <w:pPr>
        <w:rPr>
          <w:rFonts w:ascii="Microsoft Sans Serif" w:hAnsi="Microsoft Sans Serif" w:cs="Microsoft Sans Serif"/>
          <w:caps/>
          <w:szCs w:val="24"/>
        </w:rPr>
      </w:pPr>
      <w:r w:rsidRPr="003901F1">
        <w:rPr>
          <w:rFonts w:ascii="Microsoft Sans Serif" w:hAnsi="Microsoft Sans Serif" w:cs="Microsoft Sans Serif"/>
          <w:b/>
          <w:caps/>
          <w:noProof/>
          <w:szCs w:val="24"/>
        </w:rPr>
        <w:t>610.566.8064</w:t>
      </w:r>
    </w:p>
    <w:p w:rsidR="00E16C06" w:rsidRPr="00C81100" w:rsidRDefault="00E16C06" w:rsidP="00C81100">
      <w:pPr>
        <w:rPr>
          <w:sz w:val="24"/>
          <w:szCs w:val="24"/>
        </w:rPr>
      </w:pPr>
    </w:p>
    <w:sectPr w:rsidR="00E16C06" w:rsidRPr="00C81100" w:rsidSect="00CC4570">
      <w:pgSz w:w="12240" w:h="15840" w:code="1"/>
      <w:pgMar w:top="1440" w:right="720" w:bottom="1440" w:left="72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EA3" w:rsidRDefault="00154EA3">
      <w:r>
        <w:separator/>
      </w:r>
    </w:p>
  </w:endnote>
  <w:endnote w:type="continuationSeparator" w:id="0">
    <w:p w:rsidR="00154EA3" w:rsidRDefault="00154E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316535"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316535"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CC4570">
      <w:rPr>
        <w:rStyle w:val="PageNumber"/>
        <w:noProof/>
      </w:rPr>
      <w:t>11</w:t>
    </w:r>
    <w:r>
      <w:rPr>
        <w:rStyle w:val="PageNumber"/>
      </w:rPr>
      <w:fldChar w:fldCharType="end"/>
    </w:r>
  </w:p>
  <w:p w:rsidR="006B08C2" w:rsidRDefault="006B0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EA3" w:rsidRDefault="00154EA3">
      <w:r>
        <w:separator/>
      </w:r>
    </w:p>
  </w:footnote>
  <w:footnote w:type="continuationSeparator" w:id="0">
    <w:p w:rsidR="00154EA3" w:rsidRDefault="00154EA3">
      <w:r>
        <w:continuationSeparator/>
      </w:r>
    </w:p>
  </w:footnote>
  <w:footnote w:id="1">
    <w:p w:rsidR="00D70DCE" w:rsidRDefault="0074282A" w:rsidP="00D70DCE">
      <w:pPr>
        <w:pStyle w:val="FootnoteText"/>
      </w:pPr>
      <w:r>
        <w:tab/>
      </w:r>
      <w:r w:rsidR="00D70DCE">
        <w:rPr>
          <w:rStyle w:val="FootnoteReference"/>
        </w:rPr>
        <w:footnoteRef/>
      </w:r>
      <w:r w:rsidR="00D70DCE">
        <w:t xml:space="preserve"> </w:t>
      </w:r>
      <w:r w:rsidR="00D70DCE">
        <w:tab/>
      </w:r>
      <w:r w:rsidR="00D70DCE" w:rsidRPr="003A3BA4">
        <w:rPr>
          <w:i/>
        </w:rPr>
        <w:t>Guntram Weissenberger, Gen. Partner Panonia Associates, L.P. t/a Whiteland West Apartments v. ConServe Corporation; Dave McCaffey; Kenneth Hasse; Ted Vonbank; Larry Hasse; PECO Energy Company; and Opus 21 Management Solutions, LLC</w:t>
      </w:r>
      <w:r w:rsidR="00D70DCE">
        <w:t>, No. 774 C.D. 2010 (Pa. Cmwlth Ct.)</w:t>
      </w:r>
    </w:p>
    <w:p w:rsidR="00D70DCE" w:rsidRDefault="00D70DCE" w:rsidP="00D70DCE">
      <w:pPr>
        <w:pStyle w:val="FootnoteText"/>
      </w:pPr>
    </w:p>
  </w:footnote>
  <w:footnote w:id="2">
    <w:p w:rsidR="00D70DCE" w:rsidRDefault="0074282A" w:rsidP="00D70DCE">
      <w:pPr>
        <w:pStyle w:val="FootnoteText"/>
      </w:pPr>
      <w:r>
        <w:tab/>
      </w:r>
      <w:r w:rsidR="00D70DCE">
        <w:rPr>
          <w:rStyle w:val="FootnoteReference"/>
        </w:rPr>
        <w:footnoteRef/>
      </w:r>
      <w:r w:rsidR="00D70DCE">
        <w:t xml:space="preserve"> </w:t>
      </w:r>
      <w:r w:rsidR="00D70DCE">
        <w:tab/>
      </w:r>
      <w:proofErr w:type="gramStart"/>
      <w:r w:rsidR="00D70DCE">
        <w:t>PECO Preliminary Objection at ¶ 5.</w:t>
      </w:r>
      <w:proofErr w:type="gramEnd"/>
    </w:p>
    <w:p w:rsidR="00D70DCE" w:rsidRDefault="00D70DCE" w:rsidP="00D70DCE">
      <w:pPr>
        <w:pStyle w:val="FootnoteText"/>
      </w:pPr>
    </w:p>
  </w:footnote>
  <w:footnote w:id="3">
    <w:p w:rsidR="00D70DCE" w:rsidRDefault="0074282A" w:rsidP="00D70DCE">
      <w:pPr>
        <w:pStyle w:val="FootnoteText"/>
      </w:pPr>
      <w:r>
        <w:tab/>
      </w:r>
      <w:r w:rsidR="00D70DCE">
        <w:rPr>
          <w:rStyle w:val="FootnoteReference"/>
        </w:rPr>
        <w:footnoteRef/>
      </w:r>
      <w:r w:rsidR="00D70DCE">
        <w:t xml:space="preserve"> </w:t>
      </w:r>
      <w:r w:rsidR="00D70DCE">
        <w:tab/>
      </w:r>
      <w:proofErr w:type="gramStart"/>
      <w:r w:rsidR="00D70DCE">
        <w:t>PECO Preliminary Objection at ¶ 11.</w:t>
      </w:r>
      <w:proofErr w:type="gramEnd"/>
    </w:p>
    <w:p w:rsidR="00D70DCE" w:rsidRDefault="00D70DCE" w:rsidP="00D70DCE">
      <w:pPr>
        <w:pStyle w:val="FootnoteText"/>
      </w:pPr>
    </w:p>
  </w:footnote>
  <w:footnote w:id="4">
    <w:p w:rsidR="00D70DCE" w:rsidRDefault="0074282A" w:rsidP="00D70DCE">
      <w:pPr>
        <w:pStyle w:val="FootnoteText"/>
      </w:pPr>
      <w:r>
        <w:tab/>
      </w:r>
      <w:r w:rsidR="00D70DCE">
        <w:rPr>
          <w:rStyle w:val="FootnoteReference"/>
        </w:rPr>
        <w:footnoteRef/>
      </w:r>
      <w:r w:rsidR="00D70DCE">
        <w:t xml:space="preserve"> </w:t>
      </w:r>
      <w:r w:rsidR="00D70DCE">
        <w:tab/>
      </w:r>
      <w:proofErr w:type="gramStart"/>
      <w:r w:rsidR="00D70DCE" w:rsidRPr="00522A10">
        <w:t>Amended Complaint at 6, ¶15.</w:t>
      </w:r>
      <w:proofErr w:type="gramEnd"/>
    </w:p>
    <w:p w:rsidR="00D70DCE" w:rsidRDefault="00D70DCE" w:rsidP="00D70DCE">
      <w:pPr>
        <w:pStyle w:val="FootnoteText"/>
      </w:pPr>
    </w:p>
  </w:footnote>
  <w:footnote w:id="5">
    <w:p w:rsidR="00D70DCE" w:rsidRDefault="0074282A" w:rsidP="00D70DCE">
      <w:pPr>
        <w:pStyle w:val="FootnoteText"/>
      </w:pPr>
      <w:r>
        <w:tab/>
      </w:r>
      <w:r w:rsidR="00D70DCE">
        <w:rPr>
          <w:rStyle w:val="FootnoteReference"/>
        </w:rPr>
        <w:footnoteRef/>
      </w:r>
      <w:r w:rsidR="00D70DCE">
        <w:t xml:space="preserve"> </w:t>
      </w:r>
      <w:r w:rsidR="00D70DCE">
        <w:tab/>
      </w:r>
      <w:proofErr w:type="gramStart"/>
      <w:r w:rsidR="00D70DCE">
        <w:t>Amended Complaint at 7-8, ¶¶ 21-27.</w:t>
      </w:r>
      <w:proofErr w:type="gramEnd"/>
    </w:p>
    <w:p w:rsidR="00D70DCE" w:rsidRDefault="00D70DCE" w:rsidP="00D70DCE">
      <w:pPr>
        <w:pStyle w:val="FootnoteText"/>
      </w:pPr>
    </w:p>
  </w:footnote>
  <w:footnote w:id="6">
    <w:p w:rsidR="00D70DCE" w:rsidRDefault="0074282A" w:rsidP="00D70DCE">
      <w:pPr>
        <w:pStyle w:val="FootnoteText"/>
      </w:pPr>
      <w:r>
        <w:tab/>
      </w:r>
      <w:r w:rsidR="00D70DCE">
        <w:rPr>
          <w:rStyle w:val="FootnoteReference"/>
        </w:rPr>
        <w:footnoteRef/>
      </w:r>
      <w:r w:rsidR="00D70DCE">
        <w:t xml:space="preserve"> </w:t>
      </w:r>
      <w:r w:rsidR="00D70DCE">
        <w:tab/>
      </w:r>
      <w:proofErr w:type="gramStart"/>
      <w:r w:rsidR="00D70DCE">
        <w:t>Amended Complaint at 8, ¶ 27; 17, ¶ 68p; 18, ¶68s.</w:t>
      </w:r>
      <w:proofErr w:type="gramEnd"/>
    </w:p>
    <w:p w:rsidR="00D70DCE" w:rsidRDefault="00D70DCE" w:rsidP="00D70DCE">
      <w:pPr>
        <w:pStyle w:val="FootnoteText"/>
      </w:pPr>
    </w:p>
  </w:footnote>
  <w:footnote w:id="7">
    <w:p w:rsidR="00D70DCE" w:rsidRDefault="0074282A" w:rsidP="00D70DCE">
      <w:pPr>
        <w:pStyle w:val="FootnoteText"/>
      </w:pPr>
      <w:r>
        <w:tab/>
      </w:r>
      <w:r w:rsidR="00D70DCE">
        <w:rPr>
          <w:rStyle w:val="FootnoteReference"/>
        </w:rPr>
        <w:footnoteRef/>
      </w:r>
      <w:r w:rsidR="00D70DCE">
        <w:t xml:space="preserve"> </w:t>
      </w:r>
      <w:r w:rsidR="00D70DCE">
        <w:tab/>
        <w:t>PECO Second Preliminary Objection at 4, ¶¶ 4-5.</w:t>
      </w:r>
    </w:p>
    <w:p w:rsidR="00D70DCE" w:rsidRDefault="00D70DCE" w:rsidP="00D70DCE">
      <w:pPr>
        <w:pStyle w:val="FootnoteText"/>
      </w:pPr>
    </w:p>
  </w:footnote>
  <w:footnote w:id="8">
    <w:p w:rsidR="00D70DCE" w:rsidRDefault="0074282A" w:rsidP="00D70DCE">
      <w:pPr>
        <w:pStyle w:val="FootnoteText"/>
      </w:pPr>
      <w:r>
        <w:tab/>
      </w:r>
      <w:r w:rsidR="00D70DCE">
        <w:rPr>
          <w:rStyle w:val="FootnoteReference"/>
        </w:rPr>
        <w:footnoteRef/>
      </w:r>
      <w:r w:rsidR="00D70DCE">
        <w:t xml:space="preserve"> </w:t>
      </w:r>
      <w:r w:rsidR="00D70DCE">
        <w:tab/>
      </w:r>
      <w:proofErr w:type="gramStart"/>
      <w:r w:rsidR="00D70DCE">
        <w:t>PECO Second Preliminary Objection at 5, ¶ 6.</w:t>
      </w:r>
      <w:proofErr w:type="gramEnd"/>
    </w:p>
    <w:p w:rsidR="00D70DCE" w:rsidRDefault="00D70DCE" w:rsidP="00D70DCE">
      <w:pPr>
        <w:pStyle w:val="FootnoteText"/>
      </w:pPr>
    </w:p>
  </w:footnote>
  <w:footnote w:id="9">
    <w:p w:rsidR="00D70DCE" w:rsidRDefault="0074282A" w:rsidP="00D70DCE">
      <w:pPr>
        <w:pStyle w:val="FootnoteText"/>
      </w:pPr>
      <w:r>
        <w:tab/>
      </w:r>
      <w:r w:rsidR="00D70DCE">
        <w:rPr>
          <w:rStyle w:val="FootnoteReference"/>
        </w:rPr>
        <w:footnoteRef/>
      </w:r>
      <w:r w:rsidR="00D70DCE">
        <w:t xml:space="preserve"> </w:t>
      </w:r>
      <w:r w:rsidR="00D70DCE">
        <w:tab/>
      </w:r>
      <w:proofErr w:type="gramStart"/>
      <w:r w:rsidR="00D70DCE">
        <w:t>PECO Second Preliminary Objection at 7, ¶ 8.</w:t>
      </w:r>
      <w:proofErr w:type="gramEnd"/>
    </w:p>
    <w:p w:rsidR="00D70DCE" w:rsidRDefault="00D70DCE" w:rsidP="00D70DCE">
      <w:pPr>
        <w:pStyle w:val="FootnoteText"/>
      </w:pPr>
    </w:p>
  </w:footnote>
  <w:footnote w:id="10">
    <w:p w:rsidR="00D70DCE" w:rsidRDefault="008514E6" w:rsidP="00D70DCE">
      <w:pPr>
        <w:pStyle w:val="FootnoteText"/>
      </w:pPr>
      <w:r>
        <w:tab/>
      </w:r>
      <w:r w:rsidR="00D70DCE">
        <w:rPr>
          <w:rStyle w:val="FootnoteReference"/>
        </w:rPr>
        <w:footnoteRef/>
      </w:r>
      <w:r w:rsidR="00D70DCE">
        <w:t xml:space="preserve"> </w:t>
      </w:r>
      <w:r w:rsidR="00D70DCE">
        <w:tab/>
      </w:r>
      <w:proofErr w:type="gramStart"/>
      <w:r w:rsidR="00D70DCE">
        <w:t>Complainants’ Response at 3, ¶ 4.</w:t>
      </w:r>
      <w:proofErr w:type="gramEnd"/>
    </w:p>
    <w:p w:rsidR="008514E6" w:rsidRDefault="008514E6" w:rsidP="00D70DCE">
      <w:pPr>
        <w:pStyle w:val="FootnoteText"/>
      </w:pPr>
    </w:p>
  </w:footnote>
  <w:footnote w:id="11">
    <w:p w:rsidR="00934E8E" w:rsidRDefault="00934E8E">
      <w:pPr>
        <w:pStyle w:val="FootnoteText"/>
      </w:pPr>
      <w:r>
        <w:tab/>
      </w:r>
      <w:r>
        <w:rPr>
          <w:rStyle w:val="FootnoteReference"/>
        </w:rPr>
        <w:footnoteRef/>
      </w:r>
      <w:r>
        <w:t xml:space="preserve"> </w:t>
      </w:r>
      <w:r>
        <w:tab/>
        <w:t>Count V</w:t>
      </w:r>
      <w:r w:rsidR="002041FA">
        <w:t>I</w:t>
      </w:r>
      <w:r>
        <w:t xml:space="preserve">I in the Civil Complaint at </w:t>
      </w:r>
      <w:r w:rsidR="00D87B3D" w:rsidRPr="00D87B3D">
        <w:rPr>
          <w:i/>
        </w:rPr>
        <w:t>Guntram Weissenberger, et al. v. Conserve Corporation, et al</w:t>
      </w:r>
      <w:r w:rsidR="00D87B3D">
        <w:t>., Docket No. 08-6555 in the Court of Common Plea, Delaware County</w:t>
      </w:r>
      <w:r>
        <w:t>.</w:t>
      </w:r>
    </w:p>
    <w:p w:rsidR="00C05652" w:rsidRDefault="00C05652">
      <w:pPr>
        <w:pStyle w:val="FootnoteText"/>
      </w:pPr>
    </w:p>
  </w:footnote>
  <w:footnote w:id="12">
    <w:p w:rsidR="00C65822" w:rsidRDefault="00DC656B">
      <w:pPr>
        <w:pStyle w:val="FootnoteText"/>
      </w:pPr>
      <w:r>
        <w:tab/>
      </w:r>
      <w:r>
        <w:rPr>
          <w:rStyle w:val="FootnoteReference"/>
        </w:rPr>
        <w:footnoteRef/>
      </w:r>
      <w:r>
        <w:tab/>
      </w:r>
      <w:proofErr w:type="gramStart"/>
      <w:r w:rsidR="00C65822">
        <w:t>N.B.</w:t>
      </w:r>
      <w:proofErr w:type="gramEnd"/>
      <w:r w:rsidR="00C65822">
        <w:t xml:space="preserve"> </w:t>
      </w:r>
      <w:r>
        <w:t xml:space="preserve">The Parties </w:t>
      </w:r>
      <w:r w:rsidR="00C65822">
        <w:t xml:space="preserve">agree that the fourth paragraph of the Amended Order of March 26, 2010, stating that Count VII is stricken is a typographical error, and that the stricken count referred to should be Count </w:t>
      </w:r>
      <w:r w:rsidR="00C65822" w:rsidRPr="00C65822">
        <w:rPr>
          <w:u w:val="single"/>
        </w:rPr>
        <w:t>VIII</w:t>
      </w:r>
      <w:r w:rsidR="00C65822">
        <w:t>. N.T. at 15-16.</w:t>
      </w:r>
    </w:p>
    <w:p w:rsidR="00DC656B" w:rsidRDefault="00DC656B">
      <w:pPr>
        <w:pStyle w:val="FootnoteText"/>
      </w:pPr>
      <w:r>
        <w:t xml:space="preserve"> </w:t>
      </w:r>
    </w:p>
  </w:footnote>
  <w:footnote w:id="13">
    <w:p w:rsidR="00C05652" w:rsidRDefault="00C05652">
      <w:pPr>
        <w:pStyle w:val="FootnoteText"/>
      </w:pPr>
      <w:r>
        <w:tab/>
      </w:r>
      <w:r>
        <w:rPr>
          <w:rStyle w:val="FootnoteReference"/>
        </w:rPr>
        <w:footnoteRef/>
      </w:r>
      <w:r>
        <w:t xml:space="preserve"> </w:t>
      </w:r>
      <w:r>
        <w:tab/>
        <w:t xml:space="preserve">At the hearing on June 2, 2011, the Complainants made the argument that this is “their” Complaint, and that if they wish to take the chance that the Court of Common Pleas views their return with Count VII unresolved as a waiver of any argument they might make, then they should be allowed to take that risk.  N.T. at 23-24.  </w:t>
      </w:r>
      <w:r w:rsidR="00F6330A">
        <w:t xml:space="preserve">I do not find this line of argument persuasive.  The </w:t>
      </w:r>
      <w:r w:rsidR="005D395D">
        <w:t xml:space="preserve">Amended </w:t>
      </w:r>
      <w:r w:rsidR="00F6330A">
        <w:t>Order of March 26, 2010, is unequivocal in its direction to the Parties to take Count VII before the Commission for resolu</w:t>
      </w:r>
      <w:r w:rsidR="008201CE">
        <w:t>ti</w:t>
      </w:r>
      <w:r w:rsidR="00F6330A">
        <w:t xml:space="preserve">on.  </w:t>
      </w:r>
    </w:p>
  </w:footnote>
  <w:footnote w:id="14">
    <w:p w:rsidR="00112B8D" w:rsidRDefault="002A3226" w:rsidP="00112B8D">
      <w:pPr>
        <w:pStyle w:val="FootnoteText"/>
      </w:pPr>
      <w:r>
        <w:tab/>
      </w:r>
      <w:r w:rsidR="00112B8D">
        <w:rPr>
          <w:rStyle w:val="FootnoteReference"/>
        </w:rPr>
        <w:footnoteRef/>
      </w:r>
      <w:r w:rsidR="00112B8D">
        <w:t xml:space="preserve"> </w:t>
      </w:r>
      <w:r w:rsidR="00112B8D">
        <w:tab/>
        <w:t>PECO Second Preliminary Objection at 4, ¶¶ 4-5.</w:t>
      </w:r>
    </w:p>
    <w:p w:rsidR="00112B8D" w:rsidRDefault="00112B8D" w:rsidP="00112B8D">
      <w:pPr>
        <w:pStyle w:val="FootnoteText"/>
      </w:pPr>
    </w:p>
  </w:footnote>
  <w:footnote w:id="15">
    <w:p w:rsidR="00112B8D" w:rsidRDefault="002A3226" w:rsidP="00112B8D">
      <w:pPr>
        <w:pStyle w:val="FootnoteText"/>
      </w:pPr>
      <w:r>
        <w:tab/>
      </w:r>
      <w:r w:rsidR="00112B8D">
        <w:rPr>
          <w:rStyle w:val="FootnoteReference"/>
        </w:rPr>
        <w:footnoteRef/>
      </w:r>
      <w:r w:rsidR="00112B8D">
        <w:t xml:space="preserve"> </w:t>
      </w:r>
      <w:r w:rsidR="00112B8D">
        <w:tab/>
      </w:r>
      <w:proofErr w:type="gramStart"/>
      <w:r w:rsidR="00112B8D">
        <w:t>PECO Second Preliminary Objection at 5, ¶ 6.</w:t>
      </w:r>
      <w:proofErr w:type="gramEnd"/>
    </w:p>
    <w:p w:rsidR="00112B8D" w:rsidRDefault="00112B8D" w:rsidP="00112B8D">
      <w:pPr>
        <w:pStyle w:val="FootnoteText"/>
      </w:pPr>
    </w:p>
  </w:footnote>
  <w:footnote w:id="16">
    <w:p w:rsidR="00112B8D" w:rsidRDefault="002A3226" w:rsidP="00112B8D">
      <w:pPr>
        <w:pStyle w:val="FootnoteText"/>
      </w:pPr>
      <w:r>
        <w:tab/>
      </w:r>
      <w:r w:rsidR="00112B8D">
        <w:rPr>
          <w:rStyle w:val="FootnoteReference"/>
        </w:rPr>
        <w:footnoteRef/>
      </w:r>
      <w:r w:rsidR="00112B8D">
        <w:t xml:space="preserve"> </w:t>
      </w:r>
      <w:r w:rsidR="00112B8D">
        <w:tab/>
      </w:r>
      <w:proofErr w:type="gramStart"/>
      <w:r w:rsidR="00112B8D">
        <w:t>PECO Second Preliminary Objection at 7, ¶ 8.</w:t>
      </w:r>
      <w:proofErr w:type="gramEnd"/>
    </w:p>
    <w:p w:rsidR="00112B8D" w:rsidRDefault="00112B8D" w:rsidP="00112B8D">
      <w:pPr>
        <w:pStyle w:val="FootnoteText"/>
      </w:pPr>
    </w:p>
  </w:footnote>
  <w:footnote w:id="17">
    <w:p w:rsidR="00112B8D" w:rsidRDefault="00112B8D" w:rsidP="00112B8D">
      <w:pPr>
        <w:pStyle w:val="FootnoteText"/>
      </w:pPr>
      <w:r>
        <w:tab/>
      </w:r>
      <w:r>
        <w:rPr>
          <w:rStyle w:val="FootnoteReference"/>
        </w:rPr>
        <w:footnoteRef/>
      </w:r>
      <w:r>
        <w:t xml:space="preserve"> </w:t>
      </w:r>
      <w:r>
        <w:tab/>
      </w:r>
      <w:proofErr w:type="gramStart"/>
      <w:r>
        <w:t>Complainants’ Response at 3, ¶ 4.</w:t>
      </w:r>
      <w:proofErr w:type="gramEnd"/>
    </w:p>
    <w:p w:rsidR="00112B8D" w:rsidRDefault="00112B8D" w:rsidP="00112B8D">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736CC4"/>
    <w:rsid w:val="00004000"/>
    <w:rsid w:val="00026F22"/>
    <w:rsid w:val="000B267B"/>
    <w:rsid w:val="000B40DB"/>
    <w:rsid w:val="000B444D"/>
    <w:rsid w:val="000C29CA"/>
    <w:rsid w:val="000D39CD"/>
    <w:rsid w:val="000E62DC"/>
    <w:rsid w:val="000E64D7"/>
    <w:rsid w:val="000F5192"/>
    <w:rsid w:val="001109E2"/>
    <w:rsid w:val="00112B8D"/>
    <w:rsid w:val="00115DAF"/>
    <w:rsid w:val="00122DFB"/>
    <w:rsid w:val="00123B64"/>
    <w:rsid w:val="00150EB1"/>
    <w:rsid w:val="00154EA3"/>
    <w:rsid w:val="001600B8"/>
    <w:rsid w:val="0016688B"/>
    <w:rsid w:val="00166B0E"/>
    <w:rsid w:val="00173053"/>
    <w:rsid w:val="001765C3"/>
    <w:rsid w:val="001B6AD0"/>
    <w:rsid w:val="001C5B6F"/>
    <w:rsid w:val="001E1C95"/>
    <w:rsid w:val="001F7F8A"/>
    <w:rsid w:val="00201928"/>
    <w:rsid w:val="00202077"/>
    <w:rsid w:val="002041FA"/>
    <w:rsid w:val="00205356"/>
    <w:rsid w:val="00212490"/>
    <w:rsid w:val="00251B56"/>
    <w:rsid w:val="00261D42"/>
    <w:rsid w:val="00275341"/>
    <w:rsid w:val="00280BAC"/>
    <w:rsid w:val="00290CBB"/>
    <w:rsid w:val="00292054"/>
    <w:rsid w:val="002A3226"/>
    <w:rsid w:val="002B0937"/>
    <w:rsid w:val="003112BF"/>
    <w:rsid w:val="003151F9"/>
    <w:rsid w:val="00316535"/>
    <w:rsid w:val="003212B2"/>
    <w:rsid w:val="00337F8B"/>
    <w:rsid w:val="00343E99"/>
    <w:rsid w:val="00355692"/>
    <w:rsid w:val="00361125"/>
    <w:rsid w:val="003629FB"/>
    <w:rsid w:val="0037756A"/>
    <w:rsid w:val="003A6970"/>
    <w:rsid w:val="003A6CB8"/>
    <w:rsid w:val="003B0BCE"/>
    <w:rsid w:val="003B1503"/>
    <w:rsid w:val="003C1F8F"/>
    <w:rsid w:val="003F2366"/>
    <w:rsid w:val="003F6F58"/>
    <w:rsid w:val="004032CE"/>
    <w:rsid w:val="00405714"/>
    <w:rsid w:val="00407A27"/>
    <w:rsid w:val="00415A1D"/>
    <w:rsid w:val="00453FAA"/>
    <w:rsid w:val="00466F8B"/>
    <w:rsid w:val="00496408"/>
    <w:rsid w:val="00496B51"/>
    <w:rsid w:val="004A733A"/>
    <w:rsid w:val="004B7358"/>
    <w:rsid w:val="004C0371"/>
    <w:rsid w:val="005031B5"/>
    <w:rsid w:val="0050701F"/>
    <w:rsid w:val="0051502A"/>
    <w:rsid w:val="00524411"/>
    <w:rsid w:val="005323F5"/>
    <w:rsid w:val="00550461"/>
    <w:rsid w:val="0055280D"/>
    <w:rsid w:val="005560D2"/>
    <w:rsid w:val="00561691"/>
    <w:rsid w:val="00571EDD"/>
    <w:rsid w:val="005A7648"/>
    <w:rsid w:val="005B1756"/>
    <w:rsid w:val="005D136A"/>
    <w:rsid w:val="005D1C28"/>
    <w:rsid w:val="005D395D"/>
    <w:rsid w:val="005E1EAF"/>
    <w:rsid w:val="005E272C"/>
    <w:rsid w:val="0062414C"/>
    <w:rsid w:val="00650F97"/>
    <w:rsid w:val="006619C6"/>
    <w:rsid w:val="0067197F"/>
    <w:rsid w:val="006738E7"/>
    <w:rsid w:val="00673F5D"/>
    <w:rsid w:val="006766C2"/>
    <w:rsid w:val="006837CE"/>
    <w:rsid w:val="00685397"/>
    <w:rsid w:val="006905F4"/>
    <w:rsid w:val="006A416B"/>
    <w:rsid w:val="006A5CB6"/>
    <w:rsid w:val="006A75B3"/>
    <w:rsid w:val="006B08C2"/>
    <w:rsid w:val="006B789F"/>
    <w:rsid w:val="006C1547"/>
    <w:rsid w:val="006E0F54"/>
    <w:rsid w:val="00700589"/>
    <w:rsid w:val="00701ABD"/>
    <w:rsid w:val="007321EA"/>
    <w:rsid w:val="00736CC4"/>
    <w:rsid w:val="0074282A"/>
    <w:rsid w:val="00744C95"/>
    <w:rsid w:val="00771959"/>
    <w:rsid w:val="0077461C"/>
    <w:rsid w:val="007751E5"/>
    <w:rsid w:val="00775C74"/>
    <w:rsid w:val="00777417"/>
    <w:rsid w:val="00780804"/>
    <w:rsid w:val="007A6F28"/>
    <w:rsid w:val="007B2437"/>
    <w:rsid w:val="007B58A2"/>
    <w:rsid w:val="007C442A"/>
    <w:rsid w:val="007C4C3B"/>
    <w:rsid w:val="007C61C9"/>
    <w:rsid w:val="007D18A9"/>
    <w:rsid w:val="007E11A3"/>
    <w:rsid w:val="007E5F82"/>
    <w:rsid w:val="007E6BA7"/>
    <w:rsid w:val="007F132E"/>
    <w:rsid w:val="007F29A5"/>
    <w:rsid w:val="007F5BC0"/>
    <w:rsid w:val="007F72E0"/>
    <w:rsid w:val="008011FE"/>
    <w:rsid w:val="008032DA"/>
    <w:rsid w:val="00806F7E"/>
    <w:rsid w:val="00807CE1"/>
    <w:rsid w:val="008201CE"/>
    <w:rsid w:val="00826B21"/>
    <w:rsid w:val="00827446"/>
    <w:rsid w:val="00833A51"/>
    <w:rsid w:val="008417C9"/>
    <w:rsid w:val="008514E6"/>
    <w:rsid w:val="008675F2"/>
    <w:rsid w:val="0087075E"/>
    <w:rsid w:val="008713FF"/>
    <w:rsid w:val="008745A3"/>
    <w:rsid w:val="00882840"/>
    <w:rsid w:val="00897EEA"/>
    <w:rsid w:val="008F2448"/>
    <w:rsid w:val="009119CA"/>
    <w:rsid w:val="00912C55"/>
    <w:rsid w:val="009152CE"/>
    <w:rsid w:val="009157C0"/>
    <w:rsid w:val="0093282A"/>
    <w:rsid w:val="00933192"/>
    <w:rsid w:val="00934E8E"/>
    <w:rsid w:val="00940F50"/>
    <w:rsid w:val="00941E1D"/>
    <w:rsid w:val="0094378D"/>
    <w:rsid w:val="00956F51"/>
    <w:rsid w:val="009656ED"/>
    <w:rsid w:val="009A01B1"/>
    <w:rsid w:val="009A3333"/>
    <w:rsid w:val="009C4823"/>
    <w:rsid w:val="009D205E"/>
    <w:rsid w:val="009D67F1"/>
    <w:rsid w:val="009E103C"/>
    <w:rsid w:val="009E7BFB"/>
    <w:rsid w:val="009F1C01"/>
    <w:rsid w:val="00A01330"/>
    <w:rsid w:val="00A07660"/>
    <w:rsid w:val="00A4149A"/>
    <w:rsid w:val="00A66698"/>
    <w:rsid w:val="00AA4D9A"/>
    <w:rsid w:val="00AB18C4"/>
    <w:rsid w:val="00AB228B"/>
    <w:rsid w:val="00AB2A2D"/>
    <w:rsid w:val="00AC1591"/>
    <w:rsid w:val="00AE6262"/>
    <w:rsid w:val="00AE771B"/>
    <w:rsid w:val="00AF1265"/>
    <w:rsid w:val="00AF288A"/>
    <w:rsid w:val="00AF4CC4"/>
    <w:rsid w:val="00B218EC"/>
    <w:rsid w:val="00B23652"/>
    <w:rsid w:val="00B4086D"/>
    <w:rsid w:val="00B46117"/>
    <w:rsid w:val="00B66AD6"/>
    <w:rsid w:val="00B86061"/>
    <w:rsid w:val="00BA21A5"/>
    <w:rsid w:val="00BA4494"/>
    <w:rsid w:val="00BB63B5"/>
    <w:rsid w:val="00BD2D47"/>
    <w:rsid w:val="00BE5464"/>
    <w:rsid w:val="00BF0ABC"/>
    <w:rsid w:val="00BF5D60"/>
    <w:rsid w:val="00C05652"/>
    <w:rsid w:val="00C07D26"/>
    <w:rsid w:val="00C170D9"/>
    <w:rsid w:val="00C25D50"/>
    <w:rsid w:val="00C26FD2"/>
    <w:rsid w:val="00C2737B"/>
    <w:rsid w:val="00C56F78"/>
    <w:rsid w:val="00C65822"/>
    <w:rsid w:val="00C6607C"/>
    <w:rsid w:val="00C73E77"/>
    <w:rsid w:val="00C743BB"/>
    <w:rsid w:val="00C751CE"/>
    <w:rsid w:val="00C75886"/>
    <w:rsid w:val="00C81100"/>
    <w:rsid w:val="00C851DD"/>
    <w:rsid w:val="00C85CA5"/>
    <w:rsid w:val="00C90DD7"/>
    <w:rsid w:val="00CB029D"/>
    <w:rsid w:val="00CB60AD"/>
    <w:rsid w:val="00CC2590"/>
    <w:rsid w:val="00CC4570"/>
    <w:rsid w:val="00CF2C2D"/>
    <w:rsid w:val="00D117C7"/>
    <w:rsid w:val="00D127BB"/>
    <w:rsid w:val="00D27B46"/>
    <w:rsid w:val="00D42453"/>
    <w:rsid w:val="00D52DAE"/>
    <w:rsid w:val="00D55527"/>
    <w:rsid w:val="00D70DCE"/>
    <w:rsid w:val="00D717C3"/>
    <w:rsid w:val="00D73A33"/>
    <w:rsid w:val="00D87B3D"/>
    <w:rsid w:val="00DB036A"/>
    <w:rsid w:val="00DB273F"/>
    <w:rsid w:val="00DC533C"/>
    <w:rsid w:val="00DC656B"/>
    <w:rsid w:val="00DD1D22"/>
    <w:rsid w:val="00DD36DD"/>
    <w:rsid w:val="00DF0230"/>
    <w:rsid w:val="00E01DD4"/>
    <w:rsid w:val="00E04142"/>
    <w:rsid w:val="00E10271"/>
    <w:rsid w:val="00E10414"/>
    <w:rsid w:val="00E16C06"/>
    <w:rsid w:val="00E23E84"/>
    <w:rsid w:val="00E401C7"/>
    <w:rsid w:val="00E4073C"/>
    <w:rsid w:val="00E5495C"/>
    <w:rsid w:val="00EC358C"/>
    <w:rsid w:val="00ED21B9"/>
    <w:rsid w:val="00F10EDB"/>
    <w:rsid w:val="00F17EFA"/>
    <w:rsid w:val="00F2122C"/>
    <w:rsid w:val="00F228FB"/>
    <w:rsid w:val="00F239BA"/>
    <w:rsid w:val="00F25149"/>
    <w:rsid w:val="00F26904"/>
    <w:rsid w:val="00F278E4"/>
    <w:rsid w:val="00F44AA0"/>
    <w:rsid w:val="00F6330A"/>
    <w:rsid w:val="00F765A5"/>
    <w:rsid w:val="00F81994"/>
    <w:rsid w:val="00F9166E"/>
    <w:rsid w:val="00FB1F41"/>
    <w:rsid w:val="00FC7E73"/>
    <w:rsid w:val="00FE2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1EA"/>
    <w:pPr>
      <w:autoSpaceDE w:val="0"/>
      <w:autoSpaceDN w:val="0"/>
    </w:pPr>
  </w:style>
  <w:style w:type="paragraph" w:styleId="Heading1">
    <w:name w:val="heading 1"/>
    <w:basedOn w:val="Normal"/>
    <w:next w:val="Normal"/>
    <w:qFormat/>
    <w:rsid w:val="007321EA"/>
    <w:pPr>
      <w:keepNext/>
      <w:widowControl w:val="0"/>
      <w:outlineLvl w:val="0"/>
    </w:pPr>
    <w:rPr>
      <w:sz w:val="26"/>
      <w:szCs w:val="26"/>
    </w:rPr>
  </w:style>
  <w:style w:type="paragraph" w:styleId="Heading2">
    <w:name w:val="heading 2"/>
    <w:basedOn w:val="Normal"/>
    <w:next w:val="Normal"/>
    <w:qFormat/>
    <w:rsid w:val="007321EA"/>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321EA"/>
    <w:pPr>
      <w:widowControl w:val="0"/>
      <w:spacing w:line="360" w:lineRule="auto"/>
      <w:ind w:firstLine="1440"/>
    </w:pPr>
    <w:rPr>
      <w:sz w:val="26"/>
      <w:szCs w:val="26"/>
    </w:rPr>
  </w:style>
  <w:style w:type="paragraph" w:styleId="BodyTextIndent2">
    <w:name w:val="Body Text Indent 2"/>
    <w:basedOn w:val="Normal"/>
    <w:rsid w:val="007321EA"/>
    <w:pPr>
      <w:widowControl w:val="0"/>
      <w:spacing w:line="360" w:lineRule="auto"/>
      <w:ind w:left="1440" w:firstLine="720"/>
    </w:pPr>
    <w:rPr>
      <w:sz w:val="26"/>
      <w:szCs w:val="26"/>
    </w:rPr>
  </w:style>
  <w:style w:type="paragraph" w:styleId="BodyTextIndent3">
    <w:name w:val="Body Text Indent 3"/>
    <w:basedOn w:val="Normal"/>
    <w:rsid w:val="007321EA"/>
    <w:pPr>
      <w:widowControl w:val="0"/>
      <w:spacing w:line="480" w:lineRule="atLeast"/>
      <w:ind w:firstLine="720"/>
      <w:jc w:val="both"/>
    </w:pPr>
    <w:rPr>
      <w:sz w:val="26"/>
      <w:szCs w:val="26"/>
    </w:rPr>
  </w:style>
  <w:style w:type="paragraph" w:customStyle="1" w:styleId="ParaTab1">
    <w:name w:val="ParaTab 1"/>
    <w:rsid w:val="007321EA"/>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FootnoteText">
    <w:name w:val="footnote text"/>
    <w:basedOn w:val="Normal"/>
    <w:link w:val="FootnoteTextChar"/>
    <w:rsid w:val="00EC358C"/>
  </w:style>
  <w:style w:type="character" w:customStyle="1" w:styleId="FootnoteTextChar">
    <w:name w:val="Footnote Text Char"/>
    <w:basedOn w:val="DefaultParagraphFont"/>
    <w:link w:val="FootnoteText"/>
    <w:rsid w:val="00EC358C"/>
  </w:style>
  <w:style w:type="character" w:styleId="FootnoteReference">
    <w:name w:val="footnote reference"/>
    <w:basedOn w:val="DefaultParagraphFont"/>
    <w:uiPriority w:val="99"/>
    <w:rsid w:val="00EC358C"/>
    <w:rPr>
      <w:vertAlign w:val="superscript"/>
    </w:rPr>
  </w:style>
  <w:style w:type="paragraph" w:styleId="NoSpacing">
    <w:name w:val="No Spacing"/>
    <w:uiPriority w:val="1"/>
    <w:qFormat/>
    <w:rsid w:val="009C4823"/>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831681240">
      <w:bodyDiv w:val="1"/>
      <w:marLeft w:val="0"/>
      <w:marRight w:val="0"/>
      <w:marTop w:val="0"/>
      <w:marBottom w:val="0"/>
      <w:divBdr>
        <w:top w:val="none" w:sz="0" w:space="0" w:color="auto"/>
        <w:left w:val="none" w:sz="0" w:space="0" w:color="auto"/>
        <w:bottom w:val="none" w:sz="0" w:space="0" w:color="auto"/>
        <w:right w:val="none" w:sz="0" w:space="0" w:color="auto"/>
      </w:divBdr>
      <w:divsChild>
        <w:div w:id="2118018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7624284">
      <w:bodyDiv w:val="1"/>
      <w:marLeft w:val="0"/>
      <w:marRight w:val="0"/>
      <w:marTop w:val="0"/>
      <w:marBottom w:val="0"/>
      <w:divBdr>
        <w:top w:val="none" w:sz="0" w:space="0" w:color="auto"/>
        <w:left w:val="none" w:sz="0" w:space="0" w:color="auto"/>
        <w:bottom w:val="none" w:sz="0" w:space="0" w:color="auto"/>
        <w:right w:val="none" w:sz="0" w:space="0" w:color="auto"/>
      </w:divBdr>
      <w:divsChild>
        <w:div w:id="200629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93B65-816A-43CC-8C89-24F8B23B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2726</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18229</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ALJCOMMON</dc:creator>
  <cp:keywords/>
  <dc:description/>
  <cp:lastModifiedBy>astout</cp:lastModifiedBy>
  <cp:revision>3</cp:revision>
  <cp:lastPrinted>2011-06-02T13:46:00Z</cp:lastPrinted>
  <dcterms:created xsi:type="dcterms:W3CDTF">2011-07-12T12:00:00Z</dcterms:created>
  <dcterms:modified xsi:type="dcterms:W3CDTF">2011-07-12T12:02:00Z</dcterms:modified>
</cp:coreProperties>
</file>