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F0958" w:rsidTr="00A0116F">
        <w:trPr>
          <w:trHeight w:val="990"/>
        </w:trPr>
        <w:tc>
          <w:tcPr>
            <w:tcW w:w="1363" w:type="dxa"/>
          </w:tcPr>
          <w:p w:rsidR="005F0958" w:rsidRDefault="005F0958" w:rsidP="00A0116F">
            <w:pPr>
              <w:rPr>
                <w:sz w:val="24"/>
              </w:rPr>
            </w:pPr>
            <w:r>
              <w:rPr>
                <w:noProof/>
                <w:spacing w:val="-2"/>
              </w:rPr>
              <w:drawing>
                <wp:inline distT="0" distB="0" distL="0" distR="0">
                  <wp:extent cx="723900" cy="723900"/>
                  <wp:effectExtent l="19050" t="0" r="0" b="0"/>
                  <wp:docPr id="4"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5F0958" w:rsidRDefault="005F0958" w:rsidP="00A0116F">
            <w:pPr>
              <w:suppressAutoHyphens/>
              <w:spacing w:line="204" w:lineRule="auto"/>
              <w:jc w:val="center"/>
              <w:rPr>
                <w:rFonts w:ascii="Arial" w:hAnsi="Arial"/>
                <w:color w:val="000080"/>
                <w:spacing w:val="-3"/>
                <w:sz w:val="26"/>
              </w:rPr>
            </w:pPr>
          </w:p>
          <w:p w:rsidR="005F0958" w:rsidRDefault="005F0958" w:rsidP="00A011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F0958" w:rsidRDefault="005F0958" w:rsidP="00A011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F0958" w:rsidRDefault="005F0958" w:rsidP="00A011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F0958" w:rsidRDefault="005F0958" w:rsidP="00A0116F">
            <w:pPr>
              <w:rPr>
                <w:rFonts w:ascii="Arial" w:hAnsi="Arial"/>
                <w:sz w:val="12"/>
              </w:rPr>
            </w:pPr>
          </w:p>
          <w:p w:rsidR="005F0958" w:rsidRDefault="005F0958" w:rsidP="00A0116F">
            <w:pPr>
              <w:rPr>
                <w:rFonts w:ascii="Arial" w:hAnsi="Arial"/>
                <w:sz w:val="12"/>
              </w:rPr>
            </w:pPr>
          </w:p>
          <w:p w:rsidR="005F0958" w:rsidRDefault="005F0958" w:rsidP="00A0116F">
            <w:pPr>
              <w:rPr>
                <w:rFonts w:ascii="Arial" w:hAnsi="Arial"/>
                <w:sz w:val="12"/>
              </w:rPr>
            </w:pPr>
          </w:p>
          <w:p w:rsidR="005F0958" w:rsidRDefault="005F0958" w:rsidP="00A0116F">
            <w:pPr>
              <w:rPr>
                <w:rFonts w:ascii="Arial" w:hAnsi="Arial"/>
                <w:sz w:val="12"/>
              </w:rPr>
            </w:pPr>
          </w:p>
          <w:p w:rsidR="005F0958" w:rsidRDefault="005F0958" w:rsidP="00A0116F">
            <w:pPr>
              <w:rPr>
                <w:rFonts w:ascii="Arial" w:hAnsi="Arial"/>
                <w:sz w:val="12"/>
              </w:rPr>
            </w:pPr>
          </w:p>
          <w:p w:rsidR="005F0958" w:rsidRDefault="005F0958" w:rsidP="00A0116F">
            <w:pPr>
              <w:rPr>
                <w:rFonts w:ascii="Arial" w:hAnsi="Arial"/>
                <w:sz w:val="12"/>
              </w:rPr>
            </w:pPr>
          </w:p>
          <w:p w:rsidR="005F0958" w:rsidRDefault="005F0958" w:rsidP="00A0116F">
            <w:pPr>
              <w:jc w:val="right"/>
              <w:rPr>
                <w:rFonts w:ascii="Arial" w:hAnsi="Arial"/>
                <w:sz w:val="12"/>
              </w:rPr>
            </w:pPr>
            <w:r>
              <w:rPr>
                <w:rFonts w:ascii="Arial" w:hAnsi="Arial"/>
                <w:b/>
                <w:spacing w:val="-1"/>
                <w:sz w:val="12"/>
              </w:rPr>
              <w:t>IN REPLY PLEASE REFER TO OUR FILE</w:t>
            </w:r>
          </w:p>
        </w:tc>
      </w:tr>
    </w:tbl>
    <w:p w:rsidR="005F0958" w:rsidRDefault="005F0958" w:rsidP="005F0958">
      <w:pPr>
        <w:rPr>
          <w:sz w:val="24"/>
        </w:rPr>
        <w:sectPr w:rsidR="005F0958" w:rsidSect="005F0958">
          <w:type w:val="continuous"/>
          <w:pgSz w:w="12240" w:h="15840"/>
          <w:pgMar w:top="504" w:right="1440" w:bottom="1440" w:left="1440" w:header="720" w:footer="720" w:gutter="0"/>
          <w:cols w:space="720"/>
        </w:sectPr>
      </w:pPr>
    </w:p>
    <w:p w:rsidR="005F0958" w:rsidRDefault="005F0958" w:rsidP="005F0958">
      <w:r>
        <w:lastRenderedPageBreak/>
        <w:tab/>
      </w:r>
    </w:p>
    <w:tbl>
      <w:tblPr>
        <w:tblStyle w:val="TableGrid"/>
        <w:tblW w:w="8280" w:type="dxa"/>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2610"/>
      </w:tblGrid>
      <w:tr w:rsidR="005F0958" w:rsidTr="00A0116F">
        <w:tc>
          <w:tcPr>
            <w:tcW w:w="5670" w:type="dxa"/>
          </w:tcPr>
          <w:p w:rsidR="005F0958" w:rsidRPr="00774607" w:rsidRDefault="009C4466" w:rsidP="00AB49D2">
            <w:pPr>
              <w:jc w:val="center"/>
              <w:rPr>
                <w:sz w:val="26"/>
                <w:szCs w:val="26"/>
              </w:rPr>
            </w:pPr>
            <w:r>
              <w:rPr>
                <w:sz w:val="26"/>
                <w:szCs w:val="26"/>
              </w:rPr>
              <w:t>July 19</w:t>
            </w:r>
            <w:r w:rsidR="005F0958">
              <w:rPr>
                <w:sz w:val="26"/>
                <w:szCs w:val="26"/>
              </w:rPr>
              <w:t>, 2011</w:t>
            </w:r>
          </w:p>
        </w:tc>
        <w:tc>
          <w:tcPr>
            <w:tcW w:w="2610" w:type="dxa"/>
          </w:tcPr>
          <w:p w:rsidR="005F0958" w:rsidRDefault="005F0958" w:rsidP="00A0116F">
            <w:pPr>
              <w:jc w:val="right"/>
            </w:pPr>
            <w:r>
              <w:rPr>
                <w:b/>
                <w:sz w:val="26"/>
                <w:szCs w:val="26"/>
              </w:rPr>
              <w:t>I-00040105</w:t>
            </w:r>
          </w:p>
        </w:tc>
      </w:tr>
    </w:tbl>
    <w:p w:rsidR="005F0958" w:rsidRDefault="005F0958" w:rsidP="005F0958"/>
    <w:p w:rsidR="005F0958" w:rsidRDefault="005F0958" w:rsidP="005F0958">
      <w:pPr>
        <w:ind w:right="-720"/>
        <w:jc w:val="right"/>
        <w:rPr>
          <w:b/>
          <w:sz w:val="26"/>
          <w:szCs w:val="26"/>
        </w:rPr>
      </w:pPr>
    </w:p>
    <w:p w:rsidR="005F0958" w:rsidRDefault="005F0958" w:rsidP="005F0958">
      <w:pPr>
        <w:ind w:left="720" w:right="576" w:hanging="720"/>
        <w:rPr>
          <w:sz w:val="26"/>
          <w:szCs w:val="26"/>
        </w:rPr>
      </w:pPr>
      <w:r w:rsidRPr="000E3737">
        <w:rPr>
          <w:sz w:val="26"/>
          <w:szCs w:val="26"/>
        </w:rPr>
        <w:t>Re:</w:t>
      </w:r>
      <w:r w:rsidRPr="000E3737">
        <w:rPr>
          <w:b/>
          <w:sz w:val="26"/>
          <w:szCs w:val="26"/>
        </w:rPr>
        <w:tab/>
      </w:r>
      <w:r w:rsidRPr="0084444F">
        <w:rPr>
          <w:sz w:val="26"/>
          <w:szCs w:val="26"/>
        </w:rPr>
        <w:t xml:space="preserve">Investigation Regarding Intrastate Access Charges and IntraLATA </w:t>
      </w:r>
      <w:r>
        <w:rPr>
          <w:sz w:val="26"/>
          <w:szCs w:val="26"/>
        </w:rPr>
        <w:t>T</w:t>
      </w:r>
      <w:r w:rsidRPr="0084444F">
        <w:rPr>
          <w:sz w:val="26"/>
          <w:szCs w:val="26"/>
        </w:rPr>
        <w:t xml:space="preserve">oll Rates of Rural Carriers, and </w:t>
      </w:r>
      <w:r>
        <w:rPr>
          <w:sz w:val="26"/>
          <w:szCs w:val="26"/>
        </w:rPr>
        <w:t>T</w:t>
      </w:r>
      <w:r w:rsidRPr="0084444F">
        <w:rPr>
          <w:sz w:val="26"/>
          <w:szCs w:val="26"/>
        </w:rPr>
        <w:t>he Pennsylvania Universal Service Fund</w:t>
      </w:r>
      <w:r>
        <w:rPr>
          <w:sz w:val="26"/>
          <w:szCs w:val="26"/>
        </w:rPr>
        <w:t>; Docket No</w:t>
      </w:r>
      <w:r w:rsidRPr="00DF0025">
        <w:rPr>
          <w:sz w:val="26"/>
          <w:szCs w:val="26"/>
        </w:rPr>
        <w:t>.</w:t>
      </w:r>
      <w:r>
        <w:rPr>
          <w:sz w:val="26"/>
          <w:szCs w:val="26"/>
        </w:rPr>
        <w:t xml:space="preserve"> </w:t>
      </w:r>
      <w:proofErr w:type="gramStart"/>
      <w:r w:rsidRPr="00DF0025">
        <w:rPr>
          <w:sz w:val="26"/>
          <w:szCs w:val="26"/>
        </w:rPr>
        <w:t>I-00040105</w:t>
      </w:r>
      <w:r w:rsidRPr="0084444F">
        <w:rPr>
          <w:sz w:val="26"/>
          <w:szCs w:val="26"/>
        </w:rPr>
        <w:t>.</w:t>
      </w:r>
      <w:proofErr w:type="gramEnd"/>
      <w:r>
        <w:rPr>
          <w:sz w:val="26"/>
          <w:szCs w:val="26"/>
        </w:rPr>
        <w:t xml:space="preserve"> </w:t>
      </w:r>
    </w:p>
    <w:p w:rsidR="005F0958" w:rsidRDefault="005F0958" w:rsidP="005F0958">
      <w:pPr>
        <w:ind w:left="720" w:hanging="720"/>
        <w:rPr>
          <w:sz w:val="26"/>
          <w:szCs w:val="26"/>
        </w:rPr>
      </w:pPr>
      <w:r>
        <w:rPr>
          <w:sz w:val="26"/>
          <w:szCs w:val="26"/>
        </w:rPr>
        <w:tab/>
      </w:r>
      <w:r>
        <w:rPr>
          <w:sz w:val="26"/>
          <w:szCs w:val="26"/>
        </w:rPr>
        <w:tab/>
      </w:r>
      <w:r>
        <w:rPr>
          <w:sz w:val="26"/>
          <w:szCs w:val="26"/>
        </w:rPr>
        <w:tab/>
      </w:r>
      <w:r>
        <w:rPr>
          <w:sz w:val="26"/>
          <w:szCs w:val="26"/>
        </w:rPr>
        <w:tab/>
      </w:r>
      <w:r>
        <w:rPr>
          <w:sz w:val="26"/>
          <w:szCs w:val="26"/>
        </w:rPr>
        <w:tab/>
      </w:r>
    </w:p>
    <w:p w:rsidR="005F0958" w:rsidRPr="000E3737" w:rsidRDefault="005F0958" w:rsidP="005F0958">
      <w:pPr>
        <w:ind w:left="720" w:right="576"/>
        <w:rPr>
          <w:b/>
          <w:sz w:val="26"/>
          <w:szCs w:val="26"/>
        </w:rPr>
      </w:pPr>
      <w:proofErr w:type="gramStart"/>
      <w:r>
        <w:rPr>
          <w:sz w:val="26"/>
          <w:szCs w:val="26"/>
        </w:rPr>
        <w:t xml:space="preserve">AT&amp;T Communications of Pennsylvania, LLC et al v. Armstrong Telephone Company Pennsylvania, </w:t>
      </w:r>
      <w:r w:rsidRPr="008D2E47">
        <w:rPr>
          <w:i/>
          <w:sz w:val="26"/>
          <w:szCs w:val="26"/>
        </w:rPr>
        <w:t>et al</w:t>
      </w:r>
      <w:r w:rsidR="008D2E47">
        <w:rPr>
          <w:sz w:val="26"/>
          <w:szCs w:val="26"/>
        </w:rPr>
        <w:t>.</w:t>
      </w:r>
      <w:r>
        <w:rPr>
          <w:sz w:val="26"/>
          <w:szCs w:val="26"/>
        </w:rPr>
        <w:t>; Docket No.</w:t>
      </w:r>
      <w:proofErr w:type="gramEnd"/>
      <w:r>
        <w:rPr>
          <w:sz w:val="26"/>
          <w:szCs w:val="26"/>
        </w:rPr>
        <w:t xml:space="preserve"> </w:t>
      </w:r>
      <w:proofErr w:type="gramStart"/>
      <w:r w:rsidRPr="00DF0025">
        <w:rPr>
          <w:sz w:val="26"/>
          <w:szCs w:val="26"/>
        </w:rPr>
        <w:t>C-2009-2098380</w:t>
      </w:r>
      <w:r>
        <w:rPr>
          <w:sz w:val="26"/>
          <w:szCs w:val="26"/>
        </w:rPr>
        <w:t>,</w:t>
      </w:r>
      <w:r w:rsidRPr="00DF0025">
        <w:rPr>
          <w:sz w:val="26"/>
          <w:szCs w:val="26"/>
        </w:rPr>
        <w:t xml:space="preserve"> </w:t>
      </w:r>
      <w:r w:rsidRPr="00CA141B">
        <w:rPr>
          <w:i/>
          <w:sz w:val="26"/>
          <w:szCs w:val="26"/>
        </w:rPr>
        <w:t>et al.</w:t>
      </w:r>
      <w:proofErr w:type="gramEnd"/>
    </w:p>
    <w:p w:rsidR="005F0958" w:rsidRPr="000E3737" w:rsidRDefault="005F0958" w:rsidP="005F0958">
      <w:pPr>
        <w:rPr>
          <w:sz w:val="26"/>
          <w:szCs w:val="26"/>
        </w:rPr>
      </w:pPr>
    </w:p>
    <w:p w:rsidR="005F0958" w:rsidRPr="00D12C93" w:rsidRDefault="005F0958" w:rsidP="005F0958">
      <w:pPr>
        <w:rPr>
          <w:sz w:val="26"/>
          <w:szCs w:val="26"/>
        </w:rPr>
      </w:pPr>
    </w:p>
    <w:p w:rsidR="005F0958" w:rsidRDefault="005F0958" w:rsidP="005F0958">
      <w:pPr>
        <w:rPr>
          <w:sz w:val="26"/>
          <w:szCs w:val="26"/>
        </w:rPr>
      </w:pPr>
      <w:r w:rsidRPr="00D12C93">
        <w:rPr>
          <w:sz w:val="26"/>
          <w:szCs w:val="26"/>
        </w:rPr>
        <w:t xml:space="preserve">TO ALL </w:t>
      </w:r>
      <w:r>
        <w:rPr>
          <w:sz w:val="26"/>
          <w:szCs w:val="26"/>
        </w:rPr>
        <w:t xml:space="preserve">INTERESTED </w:t>
      </w:r>
      <w:r w:rsidRPr="00D12C93">
        <w:rPr>
          <w:sz w:val="26"/>
          <w:szCs w:val="26"/>
        </w:rPr>
        <w:t>PARTIES</w:t>
      </w:r>
      <w:r>
        <w:rPr>
          <w:sz w:val="26"/>
          <w:szCs w:val="26"/>
        </w:rPr>
        <w:t>:</w:t>
      </w:r>
    </w:p>
    <w:p w:rsidR="005F0958" w:rsidRPr="00D12C93" w:rsidRDefault="005F0958" w:rsidP="005F0958">
      <w:pPr>
        <w:rPr>
          <w:sz w:val="26"/>
          <w:szCs w:val="26"/>
        </w:rPr>
      </w:pPr>
    </w:p>
    <w:p w:rsidR="005F0958" w:rsidRDefault="005F0958" w:rsidP="005F0958">
      <w:pPr>
        <w:ind w:firstLine="1440"/>
        <w:rPr>
          <w:sz w:val="26"/>
          <w:szCs w:val="26"/>
        </w:rPr>
      </w:pPr>
      <w:r>
        <w:rPr>
          <w:sz w:val="26"/>
          <w:szCs w:val="26"/>
        </w:rPr>
        <w:t>This letter is to inform all interested parties that the Pennsylvania Public Utility Commission, in a Public Meeting held on June 30, 2011, acted to adopt an Opinion and Order in the above-captioned proceedings concerning various matters related to the conclusion of the intrastate switched access charge reform investigation for rural local exchange telephone companies and potential modifications to the Pennsylvania Universal Service Fund.</w:t>
      </w:r>
    </w:p>
    <w:p w:rsidR="005F0958" w:rsidRDefault="005F0958" w:rsidP="005F0958">
      <w:pPr>
        <w:ind w:firstLine="1440"/>
        <w:rPr>
          <w:sz w:val="26"/>
          <w:szCs w:val="26"/>
        </w:rPr>
      </w:pPr>
    </w:p>
    <w:p w:rsidR="005F0958" w:rsidRDefault="005F0958" w:rsidP="005F0958">
      <w:pPr>
        <w:ind w:firstLine="1440"/>
        <w:rPr>
          <w:sz w:val="26"/>
          <w:szCs w:val="26"/>
        </w:rPr>
      </w:pPr>
      <w:r>
        <w:rPr>
          <w:sz w:val="26"/>
          <w:szCs w:val="26"/>
        </w:rPr>
        <w:t xml:space="preserve">The Opinion and Order was entered on </w:t>
      </w:r>
      <w:r w:rsidR="00F13375">
        <w:rPr>
          <w:sz w:val="26"/>
          <w:szCs w:val="26"/>
        </w:rPr>
        <w:t>July 18</w:t>
      </w:r>
      <w:r>
        <w:rPr>
          <w:sz w:val="26"/>
          <w:szCs w:val="26"/>
        </w:rPr>
        <w:t xml:space="preserve">, 2011, and is in excess of 200 pages.  In lieu of publishing the entire Opinion and Order in the </w:t>
      </w:r>
      <w:r>
        <w:rPr>
          <w:i/>
          <w:sz w:val="26"/>
          <w:szCs w:val="26"/>
        </w:rPr>
        <w:t>Pennsylvania Bulletin</w:t>
      </w:r>
      <w:r>
        <w:rPr>
          <w:sz w:val="26"/>
          <w:szCs w:val="26"/>
        </w:rPr>
        <w:t>, we hereby inform interested parties that the entered Opinion and Order may be downloaded from and viewed on the Pennsylvania Public Utility Commission’s official website using the following link:</w:t>
      </w:r>
    </w:p>
    <w:p w:rsidR="005F0958" w:rsidRDefault="005F0958" w:rsidP="005F0958">
      <w:pPr>
        <w:ind w:firstLine="1440"/>
        <w:rPr>
          <w:sz w:val="26"/>
          <w:szCs w:val="26"/>
        </w:rPr>
      </w:pPr>
    </w:p>
    <w:p w:rsidR="005F0958" w:rsidRDefault="00697F51" w:rsidP="005F0958">
      <w:pPr>
        <w:jc w:val="center"/>
        <w:rPr>
          <w:sz w:val="26"/>
          <w:szCs w:val="26"/>
        </w:rPr>
      </w:pPr>
      <w:hyperlink r:id="rId6" w:history="1">
        <w:r w:rsidR="005F0958" w:rsidRPr="00584740">
          <w:rPr>
            <w:rStyle w:val="Hyperlink"/>
            <w:sz w:val="26"/>
            <w:szCs w:val="26"/>
          </w:rPr>
          <w:t>http://www.puc.state.pa.us/general/search.aspx</w:t>
        </w:r>
      </w:hyperlink>
    </w:p>
    <w:p w:rsidR="005F0958" w:rsidRDefault="005F0958" w:rsidP="005F0958">
      <w:pPr>
        <w:ind w:firstLine="1440"/>
        <w:rPr>
          <w:sz w:val="26"/>
          <w:szCs w:val="26"/>
        </w:rPr>
      </w:pPr>
    </w:p>
    <w:p w:rsidR="005F0958" w:rsidRDefault="005F0958" w:rsidP="005F0958">
      <w:pPr>
        <w:rPr>
          <w:sz w:val="26"/>
          <w:szCs w:val="26"/>
        </w:rPr>
      </w:pPr>
      <w:r>
        <w:rPr>
          <w:sz w:val="26"/>
          <w:szCs w:val="26"/>
        </w:rPr>
        <w:t xml:space="preserve">After accessing this link enter “I-00040105” (without the quotes) in the “Docket Number” field and the entry date of the Opinion and Order, </w:t>
      </w:r>
      <w:r w:rsidRPr="00F13375">
        <w:rPr>
          <w:sz w:val="26"/>
          <w:szCs w:val="26"/>
        </w:rPr>
        <w:t>“</w:t>
      </w:r>
      <w:r w:rsidR="00F13375" w:rsidRPr="00F13375">
        <w:rPr>
          <w:sz w:val="26"/>
          <w:szCs w:val="26"/>
        </w:rPr>
        <w:t>07/18/2011</w:t>
      </w:r>
      <w:r w:rsidRPr="00F13375">
        <w:rPr>
          <w:sz w:val="26"/>
          <w:szCs w:val="26"/>
        </w:rPr>
        <w:t>”</w:t>
      </w:r>
      <w:r>
        <w:rPr>
          <w:sz w:val="26"/>
          <w:szCs w:val="26"/>
        </w:rPr>
        <w:t xml:space="preserve"> (without the quotes) in the “From” and “To” fields after the “Document Served Date.”</w:t>
      </w:r>
    </w:p>
    <w:p w:rsidR="005F0958" w:rsidRDefault="005F0958" w:rsidP="005F0958">
      <w:pPr>
        <w:rPr>
          <w:sz w:val="26"/>
          <w:szCs w:val="26"/>
        </w:rPr>
      </w:pPr>
    </w:p>
    <w:p w:rsidR="005F0958" w:rsidRDefault="005F0958" w:rsidP="005F0958">
      <w:pPr>
        <w:rPr>
          <w:sz w:val="26"/>
          <w:szCs w:val="26"/>
        </w:rPr>
      </w:pPr>
      <w:r>
        <w:rPr>
          <w:sz w:val="26"/>
          <w:szCs w:val="26"/>
        </w:rPr>
        <w:tab/>
      </w:r>
      <w:r>
        <w:rPr>
          <w:sz w:val="26"/>
          <w:szCs w:val="26"/>
        </w:rPr>
        <w:tab/>
        <w:t>Please contact Robert A. Marinko by telephone at (717) 783-3930 or by e</w:t>
      </w:r>
      <w:r>
        <w:rPr>
          <w:sz w:val="26"/>
          <w:szCs w:val="26"/>
        </w:rPr>
        <w:noBreakHyphen/>
        <w:t xml:space="preserve">mail at </w:t>
      </w:r>
      <w:hyperlink r:id="rId7" w:history="1">
        <w:r w:rsidRPr="00584740">
          <w:rPr>
            <w:rStyle w:val="Hyperlink"/>
            <w:sz w:val="26"/>
            <w:szCs w:val="26"/>
          </w:rPr>
          <w:t>rmarinko@state.pa.us</w:t>
        </w:r>
      </w:hyperlink>
      <w:r>
        <w:rPr>
          <w:sz w:val="26"/>
          <w:szCs w:val="26"/>
        </w:rPr>
        <w:t>, concerning any questions related to this matter.</w:t>
      </w:r>
    </w:p>
    <w:p w:rsidR="005F0958" w:rsidRPr="00ED09BA" w:rsidRDefault="005F0958" w:rsidP="005F0958">
      <w:pPr>
        <w:rPr>
          <w:sz w:val="26"/>
          <w:szCs w:val="26"/>
        </w:rPr>
      </w:pPr>
    </w:p>
    <w:p w:rsidR="005F0958" w:rsidRDefault="005F0958" w:rsidP="005F0958">
      <w:pPr>
        <w:rPr>
          <w:sz w:val="26"/>
          <w:szCs w:val="26"/>
        </w:rPr>
      </w:pPr>
    </w:p>
    <w:p w:rsidR="005F0958" w:rsidRDefault="009C4466" w:rsidP="005F0958">
      <w:pPr>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3228975</wp:posOffset>
            </wp:positionH>
            <wp:positionV relativeFrom="paragraph">
              <wp:posOffset>106045</wp:posOffset>
            </wp:positionV>
            <wp:extent cx="2200275" cy="838200"/>
            <wp:effectExtent l="1905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F0958">
        <w:rPr>
          <w:sz w:val="26"/>
          <w:szCs w:val="26"/>
        </w:rPr>
        <w:tab/>
      </w:r>
      <w:r w:rsidR="005F0958">
        <w:rPr>
          <w:sz w:val="26"/>
          <w:szCs w:val="26"/>
        </w:rPr>
        <w:tab/>
      </w:r>
      <w:r w:rsidR="005F0958">
        <w:rPr>
          <w:sz w:val="26"/>
          <w:szCs w:val="26"/>
        </w:rPr>
        <w:tab/>
      </w:r>
      <w:r w:rsidR="005F0958">
        <w:rPr>
          <w:sz w:val="26"/>
          <w:szCs w:val="26"/>
        </w:rPr>
        <w:tab/>
      </w:r>
      <w:r w:rsidR="005F0958">
        <w:rPr>
          <w:sz w:val="26"/>
          <w:szCs w:val="26"/>
        </w:rPr>
        <w:tab/>
      </w:r>
      <w:r w:rsidR="005F0958">
        <w:rPr>
          <w:sz w:val="26"/>
          <w:szCs w:val="26"/>
        </w:rPr>
        <w:tab/>
      </w:r>
      <w:r w:rsidR="005F0958">
        <w:rPr>
          <w:sz w:val="26"/>
          <w:szCs w:val="26"/>
        </w:rPr>
        <w:tab/>
      </w:r>
      <w:r w:rsidR="005F0958">
        <w:rPr>
          <w:sz w:val="26"/>
          <w:szCs w:val="26"/>
        </w:rPr>
        <w:tab/>
        <w:t xml:space="preserve">Very truly yours, </w:t>
      </w:r>
    </w:p>
    <w:p w:rsidR="005F0958" w:rsidRDefault="005F0958" w:rsidP="005F0958">
      <w:pPr>
        <w:rPr>
          <w:sz w:val="26"/>
          <w:szCs w:val="26"/>
        </w:rPr>
      </w:pPr>
    </w:p>
    <w:p w:rsidR="005F0958" w:rsidRDefault="005F0958" w:rsidP="005F0958">
      <w:pPr>
        <w:rPr>
          <w:sz w:val="26"/>
          <w:szCs w:val="26"/>
        </w:rPr>
      </w:pPr>
    </w:p>
    <w:p w:rsidR="005F0958" w:rsidRDefault="005F0958" w:rsidP="005F0958">
      <w:pPr>
        <w:rPr>
          <w:sz w:val="26"/>
          <w:szCs w:val="26"/>
        </w:rPr>
      </w:pPr>
    </w:p>
    <w:p w:rsidR="005F0958" w:rsidRDefault="005F0958" w:rsidP="005F0958">
      <w:pPr>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C52EB6" w:rsidRPr="005F0958" w:rsidRDefault="005F0958" w:rsidP="005F0958">
      <w:r w:rsidRPr="00D12C93">
        <w:rPr>
          <w:sz w:val="26"/>
          <w:szCs w:val="26"/>
        </w:rPr>
        <w:tab/>
      </w:r>
      <w:r w:rsidRPr="00D12C93">
        <w:rPr>
          <w:sz w:val="26"/>
          <w:szCs w:val="26"/>
        </w:rPr>
        <w:tab/>
      </w:r>
      <w:r w:rsidRPr="00D12C93">
        <w:rPr>
          <w:sz w:val="26"/>
          <w:szCs w:val="26"/>
        </w:rPr>
        <w:tab/>
      </w:r>
      <w:r>
        <w:rPr>
          <w:sz w:val="26"/>
          <w:szCs w:val="26"/>
        </w:rPr>
        <w:tab/>
      </w:r>
      <w:r>
        <w:rPr>
          <w:sz w:val="26"/>
          <w:szCs w:val="26"/>
        </w:rPr>
        <w:tab/>
      </w:r>
      <w:r w:rsidRPr="00D12C93">
        <w:rPr>
          <w:sz w:val="26"/>
          <w:szCs w:val="26"/>
        </w:rPr>
        <w:tab/>
      </w:r>
      <w:r w:rsidRPr="00D12C93">
        <w:rPr>
          <w:sz w:val="26"/>
          <w:szCs w:val="26"/>
        </w:rPr>
        <w:tab/>
      </w:r>
      <w:r w:rsidRPr="00D12C93">
        <w:rPr>
          <w:sz w:val="26"/>
          <w:szCs w:val="26"/>
        </w:rPr>
        <w:tab/>
        <w:t>Secretary</w:t>
      </w:r>
    </w:p>
    <w:sectPr w:rsidR="00C52EB6" w:rsidRPr="005F0958" w:rsidSect="007D0FBD">
      <w:type w:val="continuous"/>
      <w:pgSz w:w="12240" w:h="15840"/>
      <w:pgMar w:top="50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2B94"/>
    <w:rsid w:val="00056DE2"/>
    <w:rsid w:val="0006217B"/>
    <w:rsid w:val="00065494"/>
    <w:rsid w:val="00065FA5"/>
    <w:rsid w:val="00087996"/>
    <w:rsid w:val="000977EC"/>
    <w:rsid w:val="000E1A1C"/>
    <w:rsid w:val="00181AC7"/>
    <w:rsid w:val="00183B20"/>
    <w:rsid w:val="00185D09"/>
    <w:rsid w:val="001907B1"/>
    <w:rsid w:val="0019345D"/>
    <w:rsid w:val="001B430D"/>
    <w:rsid w:val="001C46D9"/>
    <w:rsid w:val="001C702D"/>
    <w:rsid w:val="00204AD0"/>
    <w:rsid w:val="00232845"/>
    <w:rsid w:val="0025560C"/>
    <w:rsid w:val="002920AD"/>
    <w:rsid w:val="00296BB6"/>
    <w:rsid w:val="002B44F3"/>
    <w:rsid w:val="002B62E6"/>
    <w:rsid w:val="002E11E8"/>
    <w:rsid w:val="00320FE4"/>
    <w:rsid w:val="0034202A"/>
    <w:rsid w:val="00354A97"/>
    <w:rsid w:val="003606EB"/>
    <w:rsid w:val="00366356"/>
    <w:rsid w:val="003851F7"/>
    <w:rsid w:val="00395BA6"/>
    <w:rsid w:val="003F4A94"/>
    <w:rsid w:val="00455E5B"/>
    <w:rsid w:val="004569EA"/>
    <w:rsid w:val="00475994"/>
    <w:rsid w:val="00480C28"/>
    <w:rsid w:val="00483258"/>
    <w:rsid w:val="004B0328"/>
    <w:rsid w:val="004B6344"/>
    <w:rsid w:val="004C3587"/>
    <w:rsid w:val="004F0C27"/>
    <w:rsid w:val="004F2157"/>
    <w:rsid w:val="004F569A"/>
    <w:rsid w:val="00546B89"/>
    <w:rsid w:val="00581438"/>
    <w:rsid w:val="00582241"/>
    <w:rsid w:val="00587CCC"/>
    <w:rsid w:val="005917D1"/>
    <w:rsid w:val="00597B14"/>
    <w:rsid w:val="005A124F"/>
    <w:rsid w:val="005B4CAE"/>
    <w:rsid w:val="005C6C54"/>
    <w:rsid w:val="005E0820"/>
    <w:rsid w:val="005E203B"/>
    <w:rsid w:val="005F0958"/>
    <w:rsid w:val="005F341F"/>
    <w:rsid w:val="005F4487"/>
    <w:rsid w:val="005F7FE0"/>
    <w:rsid w:val="006261E7"/>
    <w:rsid w:val="00644289"/>
    <w:rsid w:val="00651182"/>
    <w:rsid w:val="006541DB"/>
    <w:rsid w:val="00683B07"/>
    <w:rsid w:val="00697F51"/>
    <w:rsid w:val="006A5F3B"/>
    <w:rsid w:val="006B7E55"/>
    <w:rsid w:val="006C681E"/>
    <w:rsid w:val="006E7430"/>
    <w:rsid w:val="006F2853"/>
    <w:rsid w:val="006F3E97"/>
    <w:rsid w:val="00700D70"/>
    <w:rsid w:val="00736D36"/>
    <w:rsid w:val="00747180"/>
    <w:rsid w:val="00760B6F"/>
    <w:rsid w:val="007633D9"/>
    <w:rsid w:val="0076747D"/>
    <w:rsid w:val="00774607"/>
    <w:rsid w:val="007756C1"/>
    <w:rsid w:val="007D0FBD"/>
    <w:rsid w:val="007D4FD1"/>
    <w:rsid w:val="007E1DA2"/>
    <w:rsid w:val="007F6B69"/>
    <w:rsid w:val="008255D3"/>
    <w:rsid w:val="00842EBF"/>
    <w:rsid w:val="0084444F"/>
    <w:rsid w:val="008573FB"/>
    <w:rsid w:val="008644FD"/>
    <w:rsid w:val="00884366"/>
    <w:rsid w:val="00894B88"/>
    <w:rsid w:val="008A6D58"/>
    <w:rsid w:val="008C2CA5"/>
    <w:rsid w:val="008C4D35"/>
    <w:rsid w:val="008D2E47"/>
    <w:rsid w:val="008E4D76"/>
    <w:rsid w:val="0090073F"/>
    <w:rsid w:val="00920273"/>
    <w:rsid w:val="00950A70"/>
    <w:rsid w:val="009574B2"/>
    <w:rsid w:val="00965FFA"/>
    <w:rsid w:val="0096639B"/>
    <w:rsid w:val="00966B4A"/>
    <w:rsid w:val="009A497B"/>
    <w:rsid w:val="009B2419"/>
    <w:rsid w:val="009C4466"/>
    <w:rsid w:val="009D22AF"/>
    <w:rsid w:val="00A13778"/>
    <w:rsid w:val="00A33299"/>
    <w:rsid w:val="00A47424"/>
    <w:rsid w:val="00A57EEC"/>
    <w:rsid w:val="00A6317B"/>
    <w:rsid w:val="00A701F5"/>
    <w:rsid w:val="00A80F12"/>
    <w:rsid w:val="00AA38E4"/>
    <w:rsid w:val="00AB49D2"/>
    <w:rsid w:val="00AD48D2"/>
    <w:rsid w:val="00B1548F"/>
    <w:rsid w:val="00B2191B"/>
    <w:rsid w:val="00B22C59"/>
    <w:rsid w:val="00B30A45"/>
    <w:rsid w:val="00B62B94"/>
    <w:rsid w:val="00B91006"/>
    <w:rsid w:val="00B968FE"/>
    <w:rsid w:val="00BC12F1"/>
    <w:rsid w:val="00BC3B04"/>
    <w:rsid w:val="00BC7403"/>
    <w:rsid w:val="00C04137"/>
    <w:rsid w:val="00C04CFD"/>
    <w:rsid w:val="00C3274E"/>
    <w:rsid w:val="00C33A94"/>
    <w:rsid w:val="00C52EB6"/>
    <w:rsid w:val="00C56DB9"/>
    <w:rsid w:val="00C64C80"/>
    <w:rsid w:val="00C75E3D"/>
    <w:rsid w:val="00C95EF0"/>
    <w:rsid w:val="00CA141B"/>
    <w:rsid w:val="00CA1430"/>
    <w:rsid w:val="00CB4C20"/>
    <w:rsid w:val="00CB7F64"/>
    <w:rsid w:val="00CC16FA"/>
    <w:rsid w:val="00CD2099"/>
    <w:rsid w:val="00D008C8"/>
    <w:rsid w:val="00D27E7A"/>
    <w:rsid w:val="00D61CBA"/>
    <w:rsid w:val="00D672BA"/>
    <w:rsid w:val="00D81060"/>
    <w:rsid w:val="00D83946"/>
    <w:rsid w:val="00DB5FC3"/>
    <w:rsid w:val="00DC09CB"/>
    <w:rsid w:val="00DD023D"/>
    <w:rsid w:val="00DE14A0"/>
    <w:rsid w:val="00DF0025"/>
    <w:rsid w:val="00E146DC"/>
    <w:rsid w:val="00E53130"/>
    <w:rsid w:val="00E77239"/>
    <w:rsid w:val="00E84518"/>
    <w:rsid w:val="00E963BE"/>
    <w:rsid w:val="00EA73F7"/>
    <w:rsid w:val="00ED09BA"/>
    <w:rsid w:val="00F13375"/>
    <w:rsid w:val="00F2058A"/>
    <w:rsid w:val="00F212F8"/>
    <w:rsid w:val="00FC7523"/>
    <w:rsid w:val="00FD6BFD"/>
    <w:rsid w:val="00FD74DF"/>
    <w:rsid w:val="00FE3EF9"/>
    <w:rsid w:val="00FE6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B9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B94"/>
    <w:rPr>
      <w:rFonts w:ascii="Tahoma" w:hAnsi="Tahoma" w:cs="Tahoma"/>
      <w:sz w:val="16"/>
      <w:szCs w:val="16"/>
    </w:rPr>
  </w:style>
  <w:style w:type="character" w:customStyle="1" w:styleId="BalloonTextChar">
    <w:name w:val="Balloon Text Char"/>
    <w:basedOn w:val="DefaultParagraphFont"/>
    <w:link w:val="BalloonText"/>
    <w:uiPriority w:val="99"/>
    <w:semiHidden/>
    <w:rsid w:val="00B62B94"/>
    <w:rPr>
      <w:rFonts w:ascii="Tahoma" w:eastAsia="Times New Roman" w:hAnsi="Tahoma" w:cs="Tahoma"/>
      <w:sz w:val="16"/>
      <w:szCs w:val="16"/>
    </w:rPr>
  </w:style>
  <w:style w:type="character" w:styleId="Hyperlink">
    <w:name w:val="Hyperlink"/>
    <w:basedOn w:val="DefaultParagraphFont"/>
    <w:uiPriority w:val="99"/>
    <w:unhideWhenUsed/>
    <w:rsid w:val="00ED09BA"/>
    <w:rPr>
      <w:color w:val="0000FF" w:themeColor="hyperlink"/>
      <w:u w:val="single"/>
    </w:rPr>
  </w:style>
  <w:style w:type="table" w:styleId="TableGrid">
    <w:name w:val="Table Grid"/>
    <w:basedOn w:val="TableNormal"/>
    <w:uiPriority w:val="59"/>
    <w:rsid w:val="007746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marinko@state.p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uc.state.pa.us/general/search.asp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42046-00F1-486A-B890-20BDDE48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msamuel</dc:creator>
  <cp:keywords/>
  <dc:description/>
  <cp:lastModifiedBy>Administrator</cp:lastModifiedBy>
  <cp:revision>4</cp:revision>
  <cp:lastPrinted>2011-07-18T18:21:00Z</cp:lastPrinted>
  <dcterms:created xsi:type="dcterms:W3CDTF">2011-07-18T11:59:00Z</dcterms:created>
  <dcterms:modified xsi:type="dcterms:W3CDTF">2011-07-18T18:21:00Z</dcterms:modified>
</cp:coreProperties>
</file>