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9717D">
        <w:trPr>
          <w:trHeight w:val="990"/>
        </w:trPr>
        <w:tc>
          <w:tcPr>
            <w:tcW w:w="1363" w:type="dxa"/>
          </w:tcPr>
          <w:p w:rsidR="00E9717D" w:rsidRDefault="000A4304" w:rsidP="00E9717D">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E9717D" w:rsidRDefault="00E9717D" w:rsidP="00E9717D">
            <w:pPr>
              <w:suppressAutoHyphens/>
              <w:spacing w:line="204" w:lineRule="auto"/>
              <w:jc w:val="center"/>
              <w:rPr>
                <w:rFonts w:ascii="Arial" w:hAnsi="Arial"/>
                <w:color w:val="000080"/>
                <w:spacing w:val="-3"/>
                <w:sz w:val="26"/>
              </w:rPr>
            </w:pPr>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9717D" w:rsidRDefault="00E9717D" w:rsidP="00E9717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9717D" w:rsidRDefault="00E9717D" w:rsidP="00E9717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p>
          <w:p w:rsidR="00E9717D" w:rsidRDefault="00E9717D" w:rsidP="00E9717D">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9717D" w:rsidRDefault="00E9717D" w:rsidP="00E9717D">
      <w:pPr>
        <w:pStyle w:val="Heading1"/>
        <w:ind w:left="5310" w:firstLine="270"/>
        <w:jc w:val="center"/>
        <w:rPr>
          <w:sz w:val="24"/>
          <w:szCs w:val="24"/>
        </w:rPr>
        <w:sectPr w:rsidR="00E9717D" w:rsidSect="005D0EA3">
          <w:type w:val="continuous"/>
          <w:pgSz w:w="12240" w:h="15840"/>
          <w:pgMar w:top="720" w:right="1440" w:bottom="1440" w:left="1440" w:header="720" w:footer="720" w:gutter="0"/>
          <w:cols w:space="720"/>
        </w:sectPr>
      </w:pPr>
    </w:p>
    <w:p w:rsidR="0048433B" w:rsidRDefault="0048433B" w:rsidP="0048433B">
      <w:pPr>
        <w:jc w:val="center"/>
        <w:rPr>
          <w:szCs w:val="24"/>
        </w:rPr>
      </w:pPr>
      <w:r>
        <w:rPr>
          <w:szCs w:val="24"/>
        </w:rPr>
        <w:lastRenderedPageBreak/>
        <w:t>July 22, 2011</w:t>
      </w:r>
    </w:p>
    <w:p w:rsidR="00157C40" w:rsidRPr="00905ACF" w:rsidRDefault="00C34A64" w:rsidP="0048433B">
      <w:pPr>
        <w:jc w:val="center"/>
        <w:rPr>
          <w:szCs w:val="24"/>
        </w:rPr>
      </w:pPr>
      <w:r w:rsidRPr="00905ACF">
        <w:rPr>
          <w:szCs w:val="24"/>
        </w:rPr>
        <w:fldChar w:fldCharType="begin">
          <w:ffData>
            <w:name w:val="Text15"/>
            <w:enabled/>
            <w:calcOnExit w:val="0"/>
            <w:textInput/>
          </w:ffData>
        </w:fldChar>
      </w:r>
      <w:bookmarkStart w:id="0" w:name="Text15"/>
      <w:r w:rsidR="006721A8" w:rsidRPr="00905ACF">
        <w:rPr>
          <w:szCs w:val="24"/>
        </w:rPr>
        <w:instrText xml:space="preserve"> FORMTEXT </w:instrText>
      </w:r>
      <w:r w:rsidRPr="00905ACF">
        <w:rPr>
          <w:szCs w:val="24"/>
        </w:rPr>
      </w:r>
      <w:r w:rsidRPr="00905ACF">
        <w:rPr>
          <w:szCs w:val="24"/>
        </w:rPr>
        <w:fldChar w:fldCharType="end"/>
      </w:r>
      <w:bookmarkEnd w:id="0"/>
    </w:p>
    <w:p w:rsidR="00272D3C" w:rsidRPr="000F55B9" w:rsidRDefault="00C97AC7" w:rsidP="00C97AC7">
      <w:pPr>
        <w:jc w:val="right"/>
        <w:rPr>
          <w:color w:val="000000" w:themeColor="text1"/>
          <w:szCs w:val="24"/>
        </w:rPr>
      </w:pPr>
      <w:r w:rsidRPr="000F55B9">
        <w:rPr>
          <w:color w:val="000000" w:themeColor="text1"/>
          <w:szCs w:val="24"/>
        </w:rPr>
        <w:t>Docket No. R-20</w:t>
      </w:r>
      <w:r w:rsidR="00251F8D" w:rsidRPr="000F55B9">
        <w:rPr>
          <w:color w:val="000000" w:themeColor="text1"/>
          <w:szCs w:val="24"/>
        </w:rPr>
        <w:t xml:space="preserve">11-2237581 </w:t>
      </w:r>
      <w:r w:rsidR="00C34A64" w:rsidRPr="000F55B9">
        <w:rPr>
          <w:color w:val="000000" w:themeColor="text1"/>
          <w:szCs w:val="24"/>
        </w:rPr>
        <w:fldChar w:fldCharType="begin">
          <w:ffData>
            <w:name w:val="Text15"/>
            <w:enabled/>
            <w:calcOnExit w:val="0"/>
            <w:textInput/>
          </w:ffData>
        </w:fldChar>
      </w:r>
      <w:r w:rsidR="00272D3C" w:rsidRPr="000F55B9">
        <w:rPr>
          <w:color w:val="000000" w:themeColor="text1"/>
          <w:szCs w:val="24"/>
        </w:rPr>
        <w:instrText xml:space="preserve"> FORMTEXT </w:instrText>
      </w:r>
      <w:r w:rsidR="00C34A64" w:rsidRPr="000F55B9">
        <w:rPr>
          <w:color w:val="000000" w:themeColor="text1"/>
          <w:szCs w:val="24"/>
        </w:rPr>
      </w:r>
      <w:r w:rsidR="00C34A64" w:rsidRPr="000F55B9">
        <w:rPr>
          <w:color w:val="000000" w:themeColor="text1"/>
          <w:szCs w:val="24"/>
        </w:rPr>
        <w:fldChar w:fldCharType="end"/>
      </w:r>
    </w:p>
    <w:p w:rsidR="00272D3C" w:rsidRPr="000F55B9" w:rsidRDefault="00486A7A" w:rsidP="00266BF8">
      <w:pPr>
        <w:pStyle w:val="BodyText"/>
        <w:jc w:val="right"/>
        <w:rPr>
          <w:color w:val="000000" w:themeColor="text1"/>
        </w:rPr>
      </w:pPr>
      <w:r w:rsidRPr="000F55B9">
        <w:rPr>
          <w:color w:val="000000" w:themeColor="text1"/>
          <w:szCs w:val="24"/>
        </w:rPr>
        <w:t xml:space="preserve">                                                           </w:t>
      </w:r>
      <w:r w:rsidR="00C97AC7" w:rsidRPr="000F55B9">
        <w:rPr>
          <w:color w:val="000000" w:themeColor="text1"/>
          <w:szCs w:val="24"/>
        </w:rPr>
        <w:t xml:space="preserve">                </w:t>
      </w:r>
      <w:r w:rsidR="00C97AC7" w:rsidRPr="000F55B9">
        <w:rPr>
          <w:color w:val="000000" w:themeColor="text1"/>
        </w:rPr>
        <w:t>Utility Code:</w:t>
      </w:r>
      <w:r w:rsidR="00251F8D" w:rsidRPr="000F55B9">
        <w:rPr>
          <w:color w:val="000000" w:themeColor="text1"/>
        </w:rPr>
        <w:t xml:space="preserve"> 310828</w:t>
      </w:r>
      <w:r w:rsidR="00C97AC7" w:rsidRPr="000F55B9">
        <w:rPr>
          <w:color w:val="000000" w:themeColor="text1"/>
        </w:rPr>
        <w:t xml:space="preserve"> </w:t>
      </w:r>
    </w:p>
    <w:p w:rsidR="00272D3C" w:rsidRPr="000F55B9" w:rsidRDefault="005349D5" w:rsidP="00272D3C">
      <w:pPr>
        <w:rPr>
          <w:caps/>
          <w:color w:val="000000" w:themeColor="text1"/>
          <w:szCs w:val="24"/>
        </w:rPr>
      </w:pPr>
      <w:r w:rsidRPr="000F55B9">
        <w:rPr>
          <w:caps/>
          <w:color w:val="000000" w:themeColor="text1"/>
          <w:szCs w:val="24"/>
        </w:rPr>
        <w:t>MICHAEL A GRUIN</w:t>
      </w:r>
    </w:p>
    <w:p w:rsidR="005349D5" w:rsidRPr="000F55B9" w:rsidRDefault="005349D5" w:rsidP="00272D3C">
      <w:pPr>
        <w:rPr>
          <w:caps/>
          <w:color w:val="000000" w:themeColor="text1"/>
          <w:szCs w:val="24"/>
        </w:rPr>
      </w:pPr>
      <w:r w:rsidRPr="000F55B9">
        <w:rPr>
          <w:caps/>
          <w:color w:val="000000" w:themeColor="text1"/>
          <w:szCs w:val="24"/>
        </w:rPr>
        <w:t>STEVENS &amp; LEE</w:t>
      </w:r>
    </w:p>
    <w:p w:rsidR="005349D5" w:rsidRPr="000F55B9" w:rsidRDefault="005349D5" w:rsidP="00272D3C">
      <w:pPr>
        <w:rPr>
          <w:caps/>
          <w:color w:val="000000" w:themeColor="text1"/>
          <w:szCs w:val="24"/>
        </w:rPr>
      </w:pPr>
      <w:r w:rsidRPr="000F55B9">
        <w:rPr>
          <w:caps/>
          <w:color w:val="000000" w:themeColor="text1"/>
          <w:szCs w:val="24"/>
        </w:rPr>
        <w:t>FOR FIBERNET TELECOMMUNICATIONS</w:t>
      </w:r>
    </w:p>
    <w:p w:rsidR="005349D5" w:rsidRPr="000F55B9" w:rsidRDefault="005349D5" w:rsidP="00272D3C">
      <w:pPr>
        <w:rPr>
          <w:caps/>
          <w:color w:val="000000" w:themeColor="text1"/>
          <w:szCs w:val="24"/>
        </w:rPr>
      </w:pPr>
      <w:r w:rsidRPr="000F55B9">
        <w:rPr>
          <w:caps/>
          <w:color w:val="000000" w:themeColor="text1"/>
          <w:szCs w:val="24"/>
        </w:rPr>
        <w:t>17</w:t>
      </w:r>
      <w:r w:rsidRPr="000F55B9">
        <w:rPr>
          <w:caps/>
          <w:color w:val="000000" w:themeColor="text1"/>
          <w:szCs w:val="24"/>
          <w:vertAlign w:val="superscript"/>
        </w:rPr>
        <w:t>TH</w:t>
      </w:r>
      <w:r w:rsidRPr="000F55B9">
        <w:rPr>
          <w:caps/>
          <w:color w:val="000000" w:themeColor="text1"/>
          <w:szCs w:val="24"/>
        </w:rPr>
        <w:t xml:space="preserve"> NORTH 2</w:t>
      </w:r>
      <w:r w:rsidRPr="000F55B9">
        <w:rPr>
          <w:caps/>
          <w:color w:val="000000" w:themeColor="text1"/>
          <w:szCs w:val="24"/>
          <w:vertAlign w:val="superscript"/>
        </w:rPr>
        <w:t>ND</w:t>
      </w:r>
      <w:r w:rsidRPr="000F55B9">
        <w:rPr>
          <w:caps/>
          <w:color w:val="000000" w:themeColor="text1"/>
          <w:szCs w:val="24"/>
        </w:rPr>
        <w:t xml:space="preserve"> ST</w:t>
      </w:r>
    </w:p>
    <w:p w:rsidR="005349D5" w:rsidRPr="000F55B9" w:rsidRDefault="005349D5" w:rsidP="00272D3C">
      <w:pPr>
        <w:rPr>
          <w:caps/>
          <w:color w:val="000000" w:themeColor="text1"/>
          <w:szCs w:val="24"/>
        </w:rPr>
      </w:pPr>
      <w:r w:rsidRPr="000F55B9">
        <w:rPr>
          <w:caps/>
          <w:color w:val="000000" w:themeColor="text1"/>
          <w:szCs w:val="24"/>
        </w:rPr>
        <w:t>16</w:t>
      </w:r>
      <w:r w:rsidRPr="000F55B9">
        <w:rPr>
          <w:caps/>
          <w:color w:val="000000" w:themeColor="text1"/>
          <w:szCs w:val="24"/>
          <w:vertAlign w:val="superscript"/>
        </w:rPr>
        <w:t>TH</w:t>
      </w:r>
      <w:r w:rsidRPr="000F55B9">
        <w:rPr>
          <w:caps/>
          <w:color w:val="000000" w:themeColor="text1"/>
          <w:szCs w:val="24"/>
        </w:rPr>
        <w:t xml:space="preserve"> FLOOR</w:t>
      </w:r>
    </w:p>
    <w:p w:rsidR="005349D5" w:rsidRPr="000F55B9" w:rsidRDefault="005349D5" w:rsidP="00272D3C">
      <w:pPr>
        <w:rPr>
          <w:color w:val="000000" w:themeColor="text1"/>
          <w:szCs w:val="24"/>
        </w:rPr>
      </w:pPr>
      <w:r w:rsidRPr="000F55B9">
        <w:rPr>
          <w:caps/>
          <w:color w:val="000000" w:themeColor="text1"/>
          <w:szCs w:val="24"/>
        </w:rPr>
        <w:t>HARRISBURG PA 1712</w:t>
      </w:r>
      <w:r w:rsidR="000F55B9" w:rsidRPr="000F55B9">
        <w:rPr>
          <w:caps/>
          <w:color w:val="000000" w:themeColor="text1"/>
          <w:szCs w:val="24"/>
        </w:rPr>
        <w:t>0</w:t>
      </w:r>
    </w:p>
    <w:p w:rsidR="00272D3C" w:rsidRPr="000F55B9" w:rsidRDefault="00272D3C" w:rsidP="00272D3C">
      <w:pPr>
        <w:ind w:left="-90" w:firstLine="90"/>
        <w:jc w:val="both"/>
        <w:rPr>
          <w:color w:val="000000" w:themeColor="text1"/>
          <w:szCs w:val="24"/>
        </w:rPr>
      </w:pPr>
    </w:p>
    <w:p w:rsidR="00C97AC7" w:rsidRDefault="00C97AC7" w:rsidP="00272D3C">
      <w:pPr>
        <w:ind w:left="-90" w:firstLine="90"/>
        <w:jc w:val="both"/>
        <w:rPr>
          <w:color w:val="000000" w:themeColor="text1"/>
          <w:szCs w:val="24"/>
        </w:rPr>
      </w:pPr>
    </w:p>
    <w:p w:rsidR="0048433B" w:rsidRDefault="0048433B" w:rsidP="00272D3C">
      <w:pPr>
        <w:ind w:left="-90" w:firstLine="90"/>
        <w:jc w:val="both"/>
        <w:rPr>
          <w:color w:val="000000" w:themeColor="text1"/>
          <w:szCs w:val="24"/>
        </w:rPr>
      </w:pPr>
    </w:p>
    <w:p w:rsidR="0048433B" w:rsidRPr="000F55B9" w:rsidRDefault="0048433B" w:rsidP="00272D3C">
      <w:pPr>
        <w:ind w:left="-90" w:firstLine="90"/>
        <w:jc w:val="both"/>
        <w:rPr>
          <w:color w:val="000000" w:themeColor="text1"/>
          <w:szCs w:val="24"/>
        </w:rPr>
      </w:pPr>
    </w:p>
    <w:p w:rsidR="00272D3C" w:rsidRPr="000F55B9" w:rsidRDefault="00272D3C" w:rsidP="00272D3C">
      <w:pPr>
        <w:ind w:left="1440" w:hanging="720"/>
        <w:jc w:val="both"/>
        <w:rPr>
          <w:color w:val="000000" w:themeColor="text1"/>
          <w:szCs w:val="24"/>
        </w:rPr>
      </w:pPr>
      <w:r w:rsidRPr="000F55B9">
        <w:rPr>
          <w:color w:val="000000" w:themeColor="text1"/>
          <w:szCs w:val="24"/>
        </w:rPr>
        <w:t>Re:</w:t>
      </w:r>
      <w:r w:rsidRPr="000F55B9">
        <w:rPr>
          <w:color w:val="000000" w:themeColor="text1"/>
          <w:szCs w:val="24"/>
        </w:rPr>
        <w:tab/>
      </w:r>
      <w:proofErr w:type="spellStart"/>
      <w:r w:rsidR="005349D5" w:rsidRPr="000F55B9">
        <w:rPr>
          <w:color w:val="000000" w:themeColor="text1"/>
          <w:szCs w:val="24"/>
        </w:rPr>
        <w:t>Fibernet</w:t>
      </w:r>
      <w:proofErr w:type="spellEnd"/>
      <w:r w:rsidR="005349D5" w:rsidRPr="000F55B9">
        <w:rPr>
          <w:color w:val="000000" w:themeColor="text1"/>
          <w:szCs w:val="24"/>
        </w:rPr>
        <w:t xml:space="preserve"> Telecommunications of Pennsylvania</w:t>
      </w:r>
      <w:r w:rsidR="00D05FD6" w:rsidRPr="000F55B9">
        <w:rPr>
          <w:color w:val="000000" w:themeColor="text1"/>
          <w:szCs w:val="24"/>
        </w:rPr>
        <w:t>,</w:t>
      </w:r>
      <w:r w:rsidR="005349D5" w:rsidRPr="000F55B9">
        <w:rPr>
          <w:color w:val="000000" w:themeColor="text1"/>
          <w:szCs w:val="24"/>
        </w:rPr>
        <w:t xml:space="preserve"> LLC</w:t>
      </w:r>
      <w:r w:rsidR="00F62D1B">
        <w:rPr>
          <w:color w:val="000000" w:themeColor="text1"/>
          <w:szCs w:val="24"/>
        </w:rPr>
        <w:t xml:space="preserve"> (Company)</w:t>
      </w:r>
    </w:p>
    <w:p w:rsidR="00272D3C" w:rsidRPr="000F55B9" w:rsidRDefault="00272D3C" w:rsidP="00F62D1B">
      <w:pPr>
        <w:ind w:left="1440"/>
        <w:jc w:val="both"/>
        <w:rPr>
          <w:color w:val="000000" w:themeColor="text1"/>
          <w:szCs w:val="24"/>
        </w:rPr>
      </w:pPr>
      <w:r w:rsidRPr="000F55B9">
        <w:rPr>
          <w:color w:val="000000" w:themeColor="text1"/>
          <w:szCs w:val="24"/>
        </w:rPr>
        <w:t>Revision</w:t>
      </w:r>
      <w:r w:rsidR="00F721B6" w:rsidRPr="000F55B9">
        <w:rPr>
          <w:color w:val="000000" w:themeColor="text1"/>
          <w:szCs w:val="24"/>
        </w:rPr>
        <w:t>s</w:t>
      </w:r>
      <w:r w:rsidRPr="000F55B9">
        <w:rPr>
          <w:color w:val="000000" w:themeColor="text1"/>
          <w:szCs w:val="24"/>
        </w:rPr>
        <w:t xml:space="preserve"> to</w:t>
      </w:r>
      <w:r w:rsidR="00F721B6" w:rsidRPr="000F55B9">
        <w:rPr>
          <w:color w:val="000000" w:themeColor="text1"/>
          <w:szCs w:val="24"/>
        </w:rPr>
        <w:t xml:space="preserve"> </w:t>
      </w:r>
      <w:r w:rsidR="002510B7">
        <w:rPr>
          <w:color w:val="000000" w:themeColor="text1"/>
          <w:szCs w:val="24"/>
        </w:rPr>
        <w:t xml:space="preserve">Switched Access </w:t>
      </w:r>
      <w:r w:rsidRPr="000F55B9">
        <w:rPr>
          <w:color w:val="000000" w:themeColor="text1"/>
          <w:szCs w:val="24"/>
        </w:rPr>
        <w:t xml:space="preserve">Tariff </w:t>
      </w:r>
    </w:p>
    <w:p w:rsidR="00272D3C" w:rsidRPr="00E9717D" w:rsidRDefault="00272D3C" w:rsidP="00F62D1B">
      <w:pPr>
        <w:rPr>
          <w:szCs w:val="24"/>
        </w:rPr>
      </w:pPr>
    </w:p>
    <w:p w:rsidR="005553DC" w:rsidRDefault="00272D3C" w:rsidP="00272D3C">
      <w:pPr>
        <w:rPr>
          <w:color w:val="000000" w:themeColor="text1"/>
          <w:szCs w:val="24"/>
        </w:rPr>
      </w:pPr>
      <w:r w:rsidRPr="000F55B9">
        <w:rPr>
          <w:color w:val="000000" w:themeColor="text1"/>
          <w:szCs w:val="24"/>
        </w:rPr>
        <w:t>Dear M</w:t>
      </w:r>
      <w:r w:rsidR="00D05FD6" w:rsidRPr="000F55B9">
        <w:rPr>
          <w:color w:val="000000" w:themeColor="text1"/>
          <w:szCs w:val="24"/>
        </w:rPr>
        <w:t>r. Gruin</w:t>
      </w:r>
      <w:r w:rsidRPr="000F55B9">
        <w:rPr>
          <w:color w:val="000000" w:themeColor="text1"/>
          <w:szCs w:val="24"/>
        </w:rPr>
        <w:t>:</w:t>
      </w:r>
    </w:p>
    <w:p w:rsidR="00512B29" w:rsidRPr="000F55B9" w:rsidRDefault="00512B29" w:rsidP="00272D3C">
      <w:pPr>
        <w:rPr>
          <w:color w:val="000000" w:themeColor="text1"/>
          <w:szCs w:val="24"/>
        </w:rPr>
      </w:pPr>
    </w:p>
    <w:p w:rsidR="00734009" w:rsidRPr="00DD368C" w:rsidRDefault="00734009" w:rsidP="00512B29">
      <w:pPr>
        <w:pStyle w:val="BodyText"/>
        <w:ind w:firstLine="720"/>
        <w:rPr>
          <w:szCs w:val="24"/>
        </w:rPr>
      </w:pPr>
      <w:r w:rsidRPr="00DD368C">
        <w:rPr>
          <w:szCs w:val="24"/>
        </w:rPr>
        <w:t>Commission Staff reviewed the tariff revisions, referenced below.  Suspension or further investigation does not appear warranted at this time.  Therefore, in accordance with 52 Pa. Code, the tariff revisions are effective by operation of law according to the effective dates contained on each page, and the case will be closed.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revisions.</w:t>
      </w:r>
    </w:p>
    <w:p w:rsidR="00272D3C" w:rsidRPr="00E9717D" w:rsidRDefault="00272D3C" w:rsidP="00272D3C">
      <w:pPr>
        <w:pStyle w:val="BodyText"/>
        <w:rPr>
          <w:szCs w:val="24"/>
        </w:rPr>
      </w:pPr>
    </w:p>
    <w:tbl>
      <w:tblPr>
        <w:tblW w:w="9241" w:type="dxa"/>
        <w:jc w:val="center"/>
        <w:tblInd w:w="-2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71"/>
        <w:gridCol w:w="900"/>
        <w:gridCol w:w="4193"/>
        <w:gridCol w:w="1350"/>
        <w:gridCol w:w="1327"/>
      </w:tblGrid>
      <w:tr w:rsidR="001A1A45" w:rsidRPr="00272D3C" w:rsidTr="00101C33">
        <w:trPr>
          <w:tblHeader/>
          <w:jc w:val="center"/>
        </w:trPr>
        <w:tc>
          <w:tcPr>
            <w:tcW w:w="1471" w:type="dxa"/>
          </w:tcPr>
          <w:p w:rsidR="001A1A45" w:rsidRPr="00272D3C" w:rsidRDefault="001A1A45" w:rsidP="00101C33">
            <w:pPr>
              <w:pStyle w:val="BodyText"/>
              <w:jc w:val="center"/>
              <w:rPr>
                <w:b/>
                <w:szCs w:val="24"/>
              </w:rPr>
            </w:pPr>
            <w:r w:rsidRPr="00272D3C">
              <w:rPr>
                <w:b/>
                <w:szCs w:val="24"/>
              </w:rPr>
              <w:t xml:space="preserve">Supplement </w:t>
            </w:r>
          </w:p>
        </w:tc>
        <w:tc>
          <w:tcPr>
            <w:tcW w:w="900" w:type="dxa"/>
          </w:tcPr>
          <w:p w:rsidR="001A1A45" w:rsidRPr="00272D3C" w:rsidRDefault="001A1A45" w:rsidP="00101C33">
            <w:pPr>
              <w:pStyle w:val="BodyText"/>
              <w:jc w:val="center"/>
              <w:rPr>
                <w:b/>
                <w:szCs w:val="24"/>
              </w:rPr>
            </w:pPr>
            <w:r w:rsidRPr="00272D3C">
              <w:rPr>
                <w:b/>
                <w:szCs w:val="24"/>
              </w:rPr>
              <w:t xml:space="preserve">Tariff </w:t>
            </w:r>
          </w:p>
        </w:tc>
        <w:tc>
          <w:tcPr>
            <w:tcW w:w="4193" w:type="dxa"/>
          </w:tcPr>
          <w:p w:rsidR="001A1A45" w:rsidRPr="00272D3C" w:rsidRDefault="001A1A45" w:rsidP="00101C33">
            <w:pPr>
              <w:pStyle w:val="BodyText"/>
              <w:jc w:val="center"/>
              <w:rPr>
                <w:b/>
                <w:szCs w:val="24"/>
              </w:rPr>
            </w:pPr>
            <w:r w:rsidRPr="00272D3C">
              <w:rPr>
                <w:b/>
                <w:szCs w:val="24"/>
              </w:rPr>
              <w:t>Description</w:t>
            </w:r>
          </w:p>
        </w:tc>
        <w:tc>
          <w:tcPr>
            <w:tcW w:w="1350" w:type="dxa"/>
          </w:tcPr>
          <w:p w:rsidR="001A1A45" w:rsidRPr="00272D3C" w:rsidRDefault="001A1A45" w:rsidP="00101C33">
            <w:pPr>
              <w:pStyle w:val="BodyText"/>
              <w:jc w:val="center"/>
              <w:rPr>
                <w:b/>
                <w:szCs w:val="24"/>
              </w:rPr>
            </w:pPr>
            <w:r w:rsidRPr="00272D3C">
              <w:rPr>
                <w:b/>
                <w:szCs w:val="24"/>
              </w:rPr>
              <w:t>Filed</w:t>
            </w:r>
          </w:p>
        </w:tc>
        <w:tc>
          <w:tcPr>
            <w:tcW w:w="1327" w:type="dxa"/>
          </w:tcPr>
          <w:p w:rsidR="001A1A45" w:rsidRPr="00272D3C" w:rsidRDefault="001A1A45" w:rsidP="00101C33">
            <w:pPr>
              <w:pStyle w:val="BodyText"/>
              <w:jc w:val="center"/>
              <w:rPr>
                <w:b/>
                <w:szCs w:val="24"/>
              </w:rPr>
            </w:pPr>
            <w:r w:rsidRPr="00272D3C">
              <w:rPr>
                <w:b/>
                <w:szCs w:val="24"/>
              </w:rPr>
              <w:t>Effective</w:t>
            </w:r>
          </w:p>
        </w:tc>
      </w:tr>
      <w:tr w:rsidR="001A1A45" w:rsidRPr="00272D3C" w:rsidTr="00101C33">
        <w:trPr>
          <w:jc w:val="center"/>
        </w:trPr>
        <w:tc>
          <w:tcPr>
            <w:tcW w:w="1471" w:type="dxa"/>
          </w:tcPr>
          <w:p w:rsidR="001A1A45" w:rsidRPr="00272D3C" w:rsidRDefault="00D05FD6" w:rsidP="00101C33">
            <w:pPr>
              <w:pStyle w:val="BodyText"/>
              <w:jc w:val="center"/>
              <w:rPr>
                <w:szCs w:val="24"/>
              </w:rPr>
            </w:pPr>
            <w:r>
              <w:rPr>
                <w:szCs w:val="24"/>
              </w:rPr>
              <w:t>1</w:t>
            </w:r>
          </w:p>
        </w:tc>
        <w:tc>
          <w:tcPr>
            <w:tcW w:w="900" w:type="dxa"/>
          </w:tcPr>
          <w:p w:rsidR="001A1A45" w:rsidRPr="00272D3C" w:rsidRDefault="00D05FD6" w:rsidP="00101C33">
            <w:pPr>
              <w:pStyle w:val="BodyText"/>
              <w:jc w:val="center"/>
              <w:rPr>
                <w:szCs w:val="24"/>
              </w:rPr>
            </w:pPr>
            <w:r>
              <w:rPr>
                <w:szCs w:val="24"/>
              </w:rPr>
              <w:t>4</w:t>
            </w:r>
          </w:p>
        </w:tc>
        <w:tc>
          <w:tcPr>
            <w:tcW w:w="4193" w:type="dxa"/>
          </w:tcPr>
          <w:p w:rsidR="001A1A45" w:rsidRPr="00272D3C" w:rsidRDefault="00512B29" w:rsidP="00512B29">
            <w:pPr>
              <w:pStyle w:val="BodyText"/>
              <w:rPr>
                <w:szCs w:val="24"/>
              </w:rPr>
            </w:pPr>
            <w:r>
              <w:rPr>
                <w:szCs w:val="24"/>
              </w:rPr>
              <w:t>Decreases the Company</w:t>
            </w:r>
            <w:r w:rsidR="00F62D1B">
              <w:rPr>
                <w:szCs w:val="24"/>
              </w:rPr>
              <w:t>’s blended</w:t>
            </w:r>
            <w:r>
              <w:rPr>
                <w:szCs w:val="24"/>
              </w:rPr>
              <w:t xml:space="preserve"> intrastate switched access</w:t>
            </w:r>
            <w:r w:rsidR="002510B7">
              <w:rPr>
                <w:szCs w:val="24"/>
              </w:rPr>
              <w:t xml:space="preserve"> </w:t>
            </w:r>
            <w:r w:rsidR="00F62D1B">
              <w:rPr>
                <w:szCs w:val="24"/>
              </w:rPr>
              <w:t>rates</w:t>
            </w:r>
            <w:r w:rsidR="00344D5E">
              <w:rPr>
                <w:szCs w:val="24"/>
              </w:rPr>
              <w:t>, revises Toll-Free 8XX D</w:t>
            </w:r>
            <w:r w:rsidR="000F55B9">
              <w:rPr>
                <w:szCs w:val="24"/>
              </w:rPr>
              <w:t>ata</w:t>
            </w:r>
            <w:r w:rsidR="00344D5E">
              <w:rPr>
                <w:szCs w:val="24"/>
              </w:rPr>
              <w:t>base Q</w:t>
            </w:r>
            <w:r w:rsidR="000F55B9">
              <w:rPr>
                <w:szCs w:val="24"/>
              </w:rPr>
              <w:t xml:space="preserve">uery rates and adds additional service areas </w:t>
            </w:r>
            <w:r w:rsidR="002510B7">
              <w:rPr>
                <w:szCs w:val="24"/>
              </w:rPr>
              <w:t>with</w:t>
            </w:r>
            <w:r w:rsidR="000F55B9">
              <w:rPr>
                <w:szCs w:val="24"/>
              </w:rPr>
              <w:t>in the Company’s authorized service territory</w:t>
            </w:r>
          </w:p>
        </w:tc>
        <w:tc>
          <w:tcPr>
            <w:tcW w:w="1350" w:type="dxa"/>
          </w:tcPr>
          <w:p w:rsidR="001A1A45" w:rsidRPr="00344D5E" w:rsidRDefault="00D05FD6" w:rsidP="00101C33">
            <w:pPr>
              <w:pStyle w:val="BodyText"/>
              <w:jc w:val="center"/>
              <w:rPr>
                <w:color w:val="000000" w:themeColor="text1"/>
                <w:szCs w:val="24"/>
              </w:rPr>
            </w:pPr>
            <w:r w:rsidRPr="00344D5E">
              <w:rPr>
                <w:color w:val="000000" w:themeColor="text1"/>
                <w:szCs w:val="24"/>
              </w:rPr>
              <w:t>04/21/2011</w:t>
            </w:r>
          </w:p>
        </w:tc>
        <w:tc>
          <w:tcPr>
            <w:tcW w:w="1327" w:type="dxa"/>
          </w:tcPr>
          <w:p w:rsidR="001A1A45" w:rsidRPr="00344D5E" w:rsidRDefault="00D05FD6" w:rsidP="00101C33">
            <w:pPr>
              <w:pStyle w:val="BodyText"/>
              <w:jc w:val="center"/>
              <w:rPr>
                <w:color w:val="000000" w:themeColor="text1"/>
                <w:szCs w:val="24"/>
              </w:rPr>
            </w:pPr>
            <w:r w:rsidRPr="00344D5E">
              <w:rPr>
                <w:color w:val="000000" w:themeColor="text1"/>
                <w:szCs w:val="24"/>
              </w:rPr>
              <w:t>04/22/2011</w:t>
            </w:r>
          </w:p>
        </w:tc>
      </w:tr>
    </w:tbl>
    <w:p w:rsidR="000F55B9" w:rsidRPr="00D3369D" w:rsidRDefault="000F55B9" w:rsidP="000F55B9">
      <w:pPr>
        <w:pStyle w:val="BodyText"/>
        <w:rPr>
          <w:b/>
          <w:color w:val="000000" w:themeColor="text1"/>
          <w:szCs w:val="24"/>
        </w:rPr>
      </w:pPr>
    </w:p>
    <w:p w:rsidR="000F55B9" w:rsidRPr="00AB57AD" w:rsidRDefault="00D3369D" w:rsidP="000F55B9">
      <w:pPr>
        <w:pStyle w:val="BodyText"/>
        <w:ind w:firstLine="720"/>
        <w:rPr>
          <w:color w:val="000000" w:themeColor="text1"/>
          <w:szCs w:val="24"/>
        </w:rPr>
      </w:pPr>
      <w:r w:rsidRPr="00AB57AD">
        <w:rPr>
          <w:color w:val="000000" w:themeColor="text1"/>
          <w:szCs w:val="24"/>
        </w:rPr>
        <w:t xml:space="preserve">Be advised that Commission Staff makes no determination whether the Company’s switched access rates are in compliance with Act 183, P.L. 1398 (66 Pa. C.S. § </w:t>
      </w:r>
      <w:r w:rsidR="00AB57AD" w:rsidRPr="00AB57AD">
        <w:rPr>
          <w:color w:val="000000" w:themeColor="text1"/>
          <w:szCs w:val="24"/>
        </w:rPr>
        <w:t xml:space="preserve">3017(c)), which states as follows: </w:t>
      </w:r>
    </w:p>
    <w:p w:rsidR="00AB57AD" w:rsidRPr="00AB57AD" w:rsidRDefault="00AB57AD" w:rsidP="000F55B9">
      <w:pPr>
        <w:pStyle w:val="BodyText"/>
        <w:ind w:firstLine="720"/>
        <w:rPr>
          <w:color w:val="000000" w:themeColor="text1"/>
          <w:szCs w:val="24"/>
        </w:rPr>
      </w:pPr>
    </w:p>
    <w:p w:rsidR="00AB57AD" w:rsidRPr="00AB57AD" w:rsidRDefault="00AB57AD" w:rsidP="00AB57AD">
      <w:pPr>
        <w:pStyle w:val="BodyText"/>
        <w:ind w:left="1440" w:right="1440"/>
        <w:rPr>
          <w:color w:val="000000" w:themeColor="text1"/>
          <w:szCs w:val="24"/>
        </w:rPr>
      </w:pPr>
      <w:r w:rsidRPr="00AB57AD">
        <w:rPr>
          <w:color w:val="000000" w:themeColor="text1"/>
          <w:szCs w:val="24"/>
        </w:rPr>
        <w:t>(c) Limitation. – No Telecommunications carrier providing competitive local exchange telecommunications service may charge access rates higher than those charged by the incumbent local exchange telecommunications company in the same service territory unless such carrier can demonstrate that the higher access rates are cost justified.</w:t>
      </w:r>
    </w:p>
    <w:p w:rsidR="00344D5E" w:rsidRDefault="00344D5E" w:rsidP="000F55B9">
      <w:pPr>
        <w:pStyle w:val="BodyText"/>
        <w:ind w:firstLine="720"/>
        <w:rPr>
          <w:b/>
          <w:color w:val="000000" w:themeColor="text1"/>
          <w:szCs w:val="24"/>
        </w:rPr>
      </w:pPr>
    </w:p>
    <w:p w:rsidR="00344D5E" w:rsidRPr="009307DB" w:rsidRDefault="00344D5E" w:rsidP="000F55B9">
      <w:pPr>
        <w:pStyle w:val="BodyText"/>
        <w:ind w:firstLine="720"/>
        <w:rPr>
          <w:color w:val="000000" w:themeColor="text1"/>
          <w:szCs w:val="24"/>
        </w:rPr>
      </w:pPr>
      <w:r w:rsidRPr="009307DB">
        <w:rPr>
          <w:color w:val="000000" w:themeColor="text1"/>
          <w:szCs w:val="24"/>
        </w:rPr>
        <w:t xml:space="preserve">Further, it should be noted that the instant Supplement did not include a “List of Modifications” page </w:t>
      </w:r>
      <w:r w:rsidR="00D64159" w:rsidRPr="009307DB">
        <w:rPr>
          <w:color w:val="000000" w:themeColor="text1"/>
          <w:szCs w:val="24"/>
        </w:rPr>
        <w:t>as required p</w:t>
      </w:r>
      <w:r w:rsidR="008F601B" w:rsidRPr="009307DB">
        <w:rPr>
          <w:color w:val="000000" w:themeColor="text1"/>
          <w:szCs w:val="24"/>
        </w:rPr>
        <w:t xml:space="preserve">ursuant to 52 Pa. Code § 53.22.  </w:t>
      </w:r>
      <w:r w:rsidR="009307DB">
        <w:rPr>
          <w:color w:val="000000" w:themeColor="text1"/>
          <w:szCs w:val="24"/>
        </w:rPr>
        <w:t>A</w:t>
      </w:r>
      <w:r w:rsidR="008F601B" w:rsidRPr="009307DB">
        <w:rPr>
          <w:color w:val="000000" w:themeColor="text1"/>
          <w:szCs w:val="24"/>
        </w:rPr>
        <w:t>ll future filings of this type must be filed with an accompanying “List of Modifications” page.  The Company is advised to ensure all future filings are fully compliant with th</w:t>
      </w:r>
      <w:r w:rsidR="00005D95" w:rsidRPr="009307DB">
        <w:rPr>
          <w:color w:val="000000" w:themeColor="text1"/>
          <w:szCs w:val="24"/>
        </w:rPr>
        <w:t xml:space="preserve">e Public Utility Code, 66 Pa. C.S. § 101 </w:t>
      </w:r>
      <w:r w:rsidR="00005D95" w:rsidRPr="009307DB">
        <w:rPr>
          <w:i/>
          <w:color w:val="000000" w:themeColor="text1"/>
          <w:szCs w:val="24"/>
        </w:rPr>
        <w:t>et seq</w:t>
      </w:r>
      <w:r w:rsidR="00005D95" w:rsidRPr="009307DB">
        <w:rPr>
          <w:color w:val="000000" w:themeColor="text1"/>
          <w:szCs w:val="24"/>
        </w:rPr>
        <w:t xml:space="preserve">., Commission Regulations, 52 Pa. Code § 1.1 </w:t>
      </w:r>
      <w:r w:rsidR="00005D95" w:rsidRPr="009307DB">
        <w:rPr>
          <w:i/>
          <w:color w:val="000000" w:themeColor="text1"/>
          <w:szCs w:val="24"/>
        </w:rPr>
        <w:t>et seq</w:t>
      </w:r>
      <w:r w:rsidR="00005D95" w:rsidRPr="009307DB">
        <w:rPr>
          <w:color w:val="000000" w:themeColor="text1"/>
          <w:szCs w:val="24"/>
        </w:rPr>
        <w:t xml:space="preserve">., and all Commission Orders.  </w:t>
      </w:r>
      <w:r w:rsidR="00D64159" w:rsidRPr="009307DB">
        <w:rPr>
          <w:color w:val="000000" w:themeColor="text1"/>
          <w:szCs w:val="24"/>
        </w:rPr>
        <w:t xml:space="preserve"> </w:t>
      </w:r>
    </w:p>
    <w:p w:rsidR="00512B29" w:rsidRPr="00D3369D" w:rsidRDefault="00512B29" w:rsidP="00674304">
      <w:pPr>
        <w:pStyle w:val="BodyText"/>
        <w:rPr>
          <w:color w:val="0000FF"/>
          <w:szCs w:val="24"/>
        </w:rPr>
      </w:pPr>
    </w:p>
    <w:p w:rsidR="009307DB" w:rsidRPr="009307DB" w:rsidRDefault="009307DB" w:rsidP="009307DB">
      <w:pPr>
        <w:autoSpaceDE w:val="0"/>
        <w:autoSpaceDN w:val="0"/>
        <w:adjustRightInd w:val="0"/>
        <w:ind w:firstLine="720"/>
        <w:rPr>
          <w:rFonts w:cs="Courier New"/>
          <w:color w:val="000000" w:themeColor="text1"/>
          <w:szCs w:val="24"/>
        </w:rPr>
      </w:pPr>
      <w:proofErr w:type="gramStart"/>
      <w:r w:rsidRPr="009307DB">
        <w:rPr>
          <w:rStyle w:val="Strong"/>
          <w:rFonts w:eastAsia="Batang"/>
          <w:b w:val="0"/>
          <w:color w:val="000000" w:themeColor="text1"/>
        </w:rPr>
        <w:t>In accord with Docket No.</w:t>
      </w:r>
      <w:proofErr w:type="gramEnd"/>
      <w:r w:rsidRPr="009307DB">
        <w:rPr>
          <w:rStyle w:val="Strong"/>
          <w:rFonts w:eastAsia="Batang"/>
          <w:b w:val="0"/>
          <w:color w:val="000000" w:themeColor="text1"/>
        </w:rPr>
        <w:t xml:space="preserve"> M-00981052 and our Secretarial Letters issued September 28, 2000, and November 30, 2001, a Pennsylvania telecommunications carrier is required to maintain its most </w:t>
      </w:r>
      <w:r w:rsidRPr="009307DB">
        <w:rPr>
          <w:rStyle w:val="Strong"/>
          <w:b w:val="0"/>
          <w:color w:val="000000" w:themeColor="text1"/>
        </w:rPr>
        <w:t xml:space="preserve">current PUC approved tariff and any pending tariff supplements </w:t>
      </w:r>
      <w:r w:rsidRPr="009307DB">
        <w:rPr>
          <w:rStyle w:val="Strong"/>
          <w:rFonts w:eastAsia="Batang"/>
          <w:b w:val="0"/>
          <w:color w:val="000000" w:themeColor="text1"/>
        </w:rPr>
        <w:t xml:space="preserve">on its website with a link to the Commission’s website.  However, </w:t>
      </w:r>
      <w:r>
        <w:rPr>
          <w:rStyle w:val="Strong"/>
          <w:rFonts w:eastAsia="Batang"/>
          <w:b w:val="0"/>
          <w:color w:val="000000" w:themeColor="text1"/>
        </w:rPr>
        <w:t xml:space="preserve">Commission </w:t>
      </w:r>
      <w:r w:rsidRPr="009307DB">
        <w:rPr>
          <w:rStyle w:val="Strong"/>
          <w:rFonts w:eastAsia="Batang"/>
          <w:b w:val="0"/>
          <w:color w:val="000000" w:themeColor="text1"/>
        </w:rPr>
        <w:t xml:space="preserve">staff was unable to access the Company’s </w:t>
      </w:r>
      <w:r>
        <w:rPr>
          <w:rStyle w:val="Strong"/>
          <w:rFonts w:eastAsia="Batang"/>
          <w:b w:val="0"/>
          <w:color w:val="000000" w:themeColor="text1"/>
        </w:rPr>
        <w:t xml:space="preserve">current tariff </w:t>
      </w:r>
      <w:r w:rsidRPr="009307DB">
        <w:rPr>
          <w:rStyle w:val="Strong"/>
          <w:rFonts w:eastAsia="Batang"/>
          <w:b w:val="0"/>
          <w:color w:val="000000" w:themeColor="text1"/>
        </w:rPr>
        <w:t xml:space="preserve">online. </w:t>
      </w:r>
      <w:r w:rsidRPr="009307DB">
        <w:rPr>
          <w:b/>
          <w:bCs/>
          <w:color w:val="000000" w:themeColor="text1"/>
        </w:rPr>
        <w:t xml:space="preserve"> </w:t>
      </w:r>
      <w:r w:rsidRPr="009307DB">
        <w:rPr>
          <w:rFonts w:cs="Courier New"/>
          <w:b/>
          <w:color w:val="000000" w:themeColor="text1"/>
          <w:szCs w:val="24"/>
        </w:rPr>
        <w:t xml:space="preserve">Therefore, within 10 days of the date of this letter, the Company is directed to update its online tariffs </w:t>
      </w:r>
      <w:r w:rsidRPr="009307DB">
        <w:rPr>
          <w:b/>
          <w:color w:val="000000" w:themeColor="text1"/>
        </w:rPr>
        <w:t xml:space="preserve">and provide confirmation to J. Elaine McDonald at </w:t>
      </w:r>
      <w:r w:rsidRPr="009307DB">
        <w:rPr>
          <w:b/>
          <w:color w:val="0000FF"/>
          <w:u w:val="single"/>
        </w:rPr>
        <w:t>jmcdonald@state.pa.us</w:t>
      </w:r>
      <w:r w:rsidRPr="009307DB">
        <w:rPr>
          <w:rFonts w:cs="Courier New"/>
          <w:b/>
          <w:color w:val="000000" w:themeColor="text1"/>
          <w:szCs w:val="24"/>
        </w:rPr>
        <w:t>.</w:t>
      </w:r>
    </w:p>
    <w:p w:rsidR="00D05FD6" w:rsidRDefault="00D05FD6" w:rsidP="00DF2E12">
      <w:pPr>
        <w:autoSpaceDE w:val="0"/>
        <w:autoSpaceDN w:val="0"/>
        <w:adjustRightInd w:val="0"/>
        <w:ind w:firstLine="720"/>
        <w:rPr>
          <w:rStyle w:val="Strong"/>
          <w:rFonts w:eastAsia="Batang"/>
          <w:b w:val="0"/>
          <w:color w:val="0000FF"/>
        </w:rPr>
      </w:pPr>
    </w:p>
    <w:p w:rsidR="00272D3C" w:rsidRPr="008559DE" w:rsidRDefault="00272D3C" w:rsidP="00DF2E12">
      <w:pPr>
        <w:pStyle w:val="BodyText"/>
        <w:ind w:firstLine="720"/>
        <w:rPr>
          <w:color w:val="000000" w:themeColor="text1"/>
          <w:szCs w:val="24"/>
        </w:rPr>
      </w:pPr>
      <w:r w:rsidRPr="00E9717D">
        <w:rPr>
          <w:szCs w:val="24"/>
        </w:rPr>
        <w:t>If you are</w:t>
      </w:r>
      <w:r w:rsidR="00E965F7">
        <w:rPr>
          <w:szCs w:val="24"/>
        </w:rPr>
        <w:t xml:space="preserve"> </w:t>
      </w:r>
      <w:r w:rsidRPr="00E9717D">
        <w:rPr>
          <w:szCs w:val="24"/>
        </w:rPr>
        <w:t>dissatisfied with the resolution of this matter, you may, as set forth in 52 Pa. Code §</w:t>
      </w:r>
      <w:r w:rsidR="00352AFA">
        <w:rPr>
          <w:szCs w:val="24"/>
        </w:rPr>
        <w:t xml:space="preserve"> </w:t>
      </w:r>
      <w:r w:rsidRPr="00E9717D">
        <w:rPr>
          <w:szCs w:val="24"/>
        </w:rPr>
        <w:t xml:space="preserve">5.44, file a petition with the Commission within </w:t>
      </w:r>
      <w:r>
        <w:rPr>
          <w:szCs w:val="24"/>
        </w:rPr>
        <w:t>2</w:t>
      </w:r>
      <w:r w:rsidRPr="00E9717D">
        <w:rPr>
          <w:szCs w:val="24"/>
        </w:rPr>
        <w:t xml:space="preserve">0 days of the date of this letter.  If you have any </w:t>
      </w:r>
      <w:r w:rsidRPr="00D05FD6">
        <w:rPr>
          <w:color w:val="000000" w:themeColor="text1"/>
          <w:szCs w:val="24"/>
        </w:rPr>
        <w:t xml:space="preserve">questions in this matter, please contact </w:t>
      </w:r>
      <w:r w:rsidR="00D05FD6" w:rsidRPr="00D05FD6">
        <w:rPr>
          <w:color w:val="000000" w:themeColor="text1"/>
          <w:szCs w:val="24"/>
        </w:rPr>
        <w:t>Derek Vogelsong</w:t>
      </w:r>
      <w:r w:rsidRPr="00D05FD6">
        <w:rPr>
          <w:color w:val="000000" w:themeColor="text1"/>
          <w:szCs w:val="24"/>
        </w:rPr>
        <w:t xml:space="preserve">, Telco Group, Bureau of Fixed Utility Services at </w:t>
      </w:r>
      <w:r w:rsidR="00352AFA" w:rsidRPr="00D05FD6">
        <w:rPr>
          <w:color w:val="000000" w:themeColor="text1"/>
          <w:szCs w:val="24"/>
        </w:rPr>
        <w:t>(</w:t>
      </w:r>
      <w:r w:rsidRPr="00D05FD6">
        <w:rPr>
          <w:color w:val="000000" w:themeColor="text1"/>
          <w:szCs w:val="24"/>
        </w:rPr>
        <w:t>717</w:t>
      </w:r>
      <w:r w:rsidR="00352AFA" w:rsidRPr="00D05FD6">
        <w:rPr>
          <w:color w:val="000000" w:themeColor="text1"/>
          <w:szCs w:val="24"/>
        </w:rPr>
        <w:t>)</w:t>
      </w:r>
      <w:r w:rsidRPr="00D05FD6">
        <w:rPr>
          <w:color w:val="000000" w:themeColor="text1"/>
          <w:szCs w:val="24"/>
        </w:rPr>
        <w:t xml:space="preserve"> </w:t>
      </w:r>
      <w:r w:rsidR="00D05FD6" w:rsidRPr="00D05FD6">
        <w:rPr>
          <w:color w:val="000000" w:themeColor="text1"/>
          <w:szCs w:val="24"/>
        </w:rPr>
        <w:t>787-3861</w:t>
      </w:r>
      <w:r w:rsidR="00D05FD6">
        <w:rPr>
          <w:szCs w:val="24"/>
        </w:rPr>
        <w:t xml:space="preserve"> or </w:t>
      </w:r>
      <w:hyperlink r:id="rId8" w:history="1">
        <w:r w:rsidR="00005D95" w:rsidRPr="00B5084E">
          <w:rPr>
            <w:rStyle w:val="Hyperlink"/>
            <w:szCs w:val="24"/>
          </w:rPr>
          <w:t>devogelson@state.pa.us</w:t>
        </w:r>
      </w:hyperlink>
      <w:r w:rsidR="008559DE">
        <w:rPr>
          <w:color w:val="000000" w:themeColor="text1"/>
          <w:szCs w:val="24"/>
        </w:rPr>
        <w:t>.</w:t>
      </w:r>
    </w:p>
    <w:p w:rsidR="00272D3C" w:rsidRPr="00E9717D" w:rsidRDefault="00272D3C" w:rsidP="00272D3C">
      <w:pPr>
        <w:rPr>
          <w:szCs w:val="24"/>
        </w:rPr>
      </w:pPr>
    </w:p>
    <w:p w:rsidR="00272D3C" w:rsidRPr="00E9717D" w:rsidRDefault="0048433B" w:rsidP="00272D3C">
      <w:pPr>
        <w:rPr>
          <w:szCs w:val="24"/>
        </w:rPr>
      </w:pPr>
      <w:r>
        <w:rPr>
          <w:noProof/>
          <w:szCs w:val="24"/>
        </w:rPr>
        <w:drawing>
          <wp:anchor distT="0" distB="0" distL="114300" distR="114300" simplePos="0" relativeHeight="251659264" behindDoc="1" locked="0" layoutInCell="1" allowOverlap="1">
            <wp:simplePos x="0" y="0"/>
            <wp:positionH relativeFrom="column">
              <wp:posOffset>2362200</wp:posOffset>
            </wp:positionH>
            <wp:positionV relativeFrom="paragraph">
              <wp:posOffset>0</wp:posOffset>
            </wp:positionV>
            <wp:extent cx="2200275" cy="83820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272D3C" w:rsidRPr="00E9717D">
        <w:rPr>
          <w:szCs w:val="24"/>
        </w:rPr>
        <w:tab/>
      </w:r>
      <w:r w:rsidR="00272D3C" w:rsidRPr="00E9717D">
        <w:rPr>
          <w:szCs w:val="24"/>
        </w:rPr>
        <w:tab/>
      </w:r>
      <w:r w:rsidR="00272D3C" w:rsidRPr="00E9717D">
        <w:rPr>
          <w:szCs w:val="24"/>
        </w:rPr>
        <w:tab/>
      </w:r>
      <w:r w:rsidR="00272D3C" w:rsidRPr="00E9717D">
        <w:rPr>
          <w:szCs w:val="24"/>
        </w:rPr>
        <w:tab/>
      </w:r>
      <w:r w:rsidR="00272D3C" w:rsidRPr="00E9717D">
        <w:rPr>
          <w:szCs w:val="24"/>
        </w:rPr>
        <w:tab/>
      </w:r>
      <w:r w:rsidR="00272D3C" w:rsidRPr="00E9717D">
        <w:rPr>
          <w:szCs w:val="24"/>
        </w:rPr>
        <w:tab/>
        <w:t>Sincerely,</w:t>
      </w:r>
    </w:p>
    <w:p w:rsidR="00272D3C" w:rsidRDefault="00272D3C" w:rsidP="00272D3C">
      <w:pPr>
        <w:rPr>
          <w:szCs w:val="24"/>
        </w:rPr>
      </w:pPr>
    </w:p>
    <w:p w:rsidR="005553DC" w:rsidRPr="00E9717D" w:rsidRDefault="005553DC" w:rsidP="00272D3C">
      <w:pPr>
        <w:rPr>
          <w:szCs w:val="24"/>
        </w:rPr>
      </w:pPr>
    </w:p>
    <w:p w:rsidR="00272D3C" w:rsidRPr="00E9717D" w:rsidRDefault="00272D3C" w:rsidP="00272D3C">
      <w:pPr>
        <w:rPr>
          <w:szCs w:val="24"/>
        </w:rPr>
      </w:pPr>
    </w:p>
    <w:p w:rsidR="00272D3C" w:rsidRPr="00E9717D" w:rsidRDefault="00272D3C" w:rsidP="00272D3C">
      <w:pPr>
        <w:pStyle w:val="Heading2"/>
        <w:tabs>
          <w:tab w:val="left" w:pos="4320"/>
        </w:tabs>
        <w:ind w:left="0" w:firstLine="0"/>
        <w:rPr>
          <w:szCs w:val="24"/>
        </w:rPr>
      </w:pPr>
      <w:r w:rsidRPr="00E9717D">
        <w:rPr>
          <w:szCs w:val="24"/>
        </w:rPr>
        <w:tab/>
      </w:r>
      <w:r w:rsidR="000A4304" w:rsidRPr="00CE3555">
        <w:rPr>
          <w:szCs w:val="24"/>
        </w:rPr>
        <w:t>Rosemary Chiavetta</w:t>
      </w:r>
    </w:p>
    <w:p w:rsidR="00272D3C" w:rsidRPr="00E9717D" w:rsidRDefault="00272D3C" w:rsidP="00272D3C">
      <w:pPr>
        <w:pStyle w:val="Heading2"/>
        <w:tabs>
          <w:tab w:val="left" w:pos="4320"/>
        </w:tabs>
        <w:ind w:left="0" w:firstLine="0"/>
        <w:rPr>
          <w:szCs w:val="24"/>
        </w:rPr>
      </w:pPr>
      <w:r w:rsidRPr="00E9717D">
        <w:rPr>
          <w:szCs w:val="24"/>
        </w:rPr>
        <w:tab/>
        <w:t>Secretary</w:t>
      </w:r>
    </w:p>
    <w:p w:rsidR="00272D3C" w:rsidRPr="00E9717D" w:rsidRDefault="00272D3C" w:rsidP="00272D3C">
      <w:pPr>
        <w:rPr>
          <w:szCs w:val="24"/>
        </w:rPr>
      </w:pPr>
    </w:p>
    <w:p w:rsidR="00272D3C" w:rsidRPr="00E9717D" w:rsidRDefault="00272D3C" w:rsidP="00272D3C">
      <w:pPr>
        <w:rPr>
          <w:szCs w:val="24"/>
        </w:rPr>
      </w:pPr>
      <w:r w:rsidRPr="00E9717D">
        <w:rPr>
          <w:szCs w:val="24"/>
        </w:rPr>
        <w:t>cc:</w:t>
      </w:r>
      <w:r w:rsidRPr="00E9717D">
        <w:rPr>
          <w:szCs w:val="24"/>
        </w:rPr>
        <w:tab/>
      </w:r>
      <w:r>
        <w:rPr>
          <w:szCs w:val="24"/>
        </w:rPr>
        <w:t>Elaine McDonald</w:t>
      </w:r>
      <w:r w:rsidRPr="00E9717D">
        <w:rPr>
          <w:szCs w:val="24"/>
        </w:rPr>
        <w:t>, FUS</w:t>
      </w:r>
    </w:p>
    <w:p w:rsidR="00272D3C" w:rsidRDefault="00272D3C" w:rsidP="00272D3C">
      <w:pPr>
        <w:rPr>
          <w:color w:val="FF00FF"/>
          <w:szCs w:val="24"/>
        </w:rPr>
      </w:pPr>
      <w:r w:rsidRPr="00E9717D">
        <w:rPr>
          <w:szCs w:val="24"/>
        </w:rPr>
        <w:tab/>
      </w:r>
      <w:r w:rsidRPr="00B10D25">
        <w:rPr>
          <w:szCs w:val="24"/>
        </w:rPr>
        <w:t>Kathleen Aunkst</w:t>
      </w:r>
      <w:r w:rsidRPr="00E9717D">
        <w:rPr>
          <w:szCs w:val="24"/>
        </w:rPr>
        <w:t>, Secretary’s Bureau</w:t>
      </w:r>
    </w:p>
    <w:p w:rsidR="00272D3C" w:rsidRDefault="00F60DFC" w:rsidP="00272D3C">
      <w:pPr>
        <w:rPr>
          <w:color w:val="FF00FF"/>
          <w:szCs w:val="24"/>
        </w:rPr>
      </w:pPr>
      <w:r>
        <w:rPr>
          <w:color w:val="FF00FF"/>
          <w:szCs w:val="24"/>
        </w:rPr>
        <w:tab/>
      </w:r>
    </w:p>
    <w:p w:rsidR="00A24641" w:rsidRPr="00A46305" w:rsidRDefault="00A24641" w:rsidP="00272D3C">
      <w:pPr>
        <w:pStyle w:val="BodyText"/>
        <w:jc w:val="right"/>
      </w:pPr>
    </w:p>
    <w:sectPr w:rsidR="00A24641" w:rsidRPr="00A46305" w:rsidSect="00531804">
      <w:type w:val="continuous"/>
      <w:pgSz w:w="12240" w:h="15840"/>
      <w:pgMar w:top="1440" w:right="1440" w:bottom="1440" w:left="144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B8E" w:rsidRDefault="00EA3B8E">
      <w:r>
        <w:separator/>
      </w:r>
    </w:p>
  </w:endnote>
  <w:endnote w:type="continuationSeparator" w:id="0">
    <w:p w:rsidR="00EA3B8E" w:rsidRDefault="00EA3B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B8E" w:rsidRDefault="00EA3B8E">
      <w:r>
        <w:separator/>
      </w:r>
    </w:p>
  </w:footnote>
  <w:footnote w:type="continuationSeparator" w:id="0">
    <w:p w:rsidR="00EA3B8E" w:rsidRDefault="00EA3B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7770C"/>
    <w:rsid w:val="00005D95"/>
    <w:rsid w:val="00010B34"/>
    <w:rsid w:val="00010B7E"/>
    <w:rsid w:val="00026F1F"/>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A4304"/>
    <w:rsid w:val="000C1530"/>
    <w:rsid w:val="000D01DF"/>
    <w:rsid w:val="000D03CA"/>
    <w:rsid w:val="000D0FD9"/>
    <w:rsid w:val="000E07BF"/>
    <w:rsid w:val="000E3B2C"/>
    <w:rsid w:val="000E6A31"/>
    <w:rsid w:val="000F55B9"/>
    <w:rsid w:val="001264B6"/>
    <w:rsid w:val="00131DDA"/>
    <w:rsid w:val="001334FC"/>
    <w:rsid w:val="00142BA3"/>
    <w:rsid w:val="00150A3B"/>
    <w:rsid w:val="00150F8B"/>
    <w:rsid w:val="001535C8"/>
    <w:rsid w:val="00157C40"/>
    <w:rsid w:val="00162439"/>
    <w:rsid w:val="0016278E"/>
    <w:rsid w:val="0017540A"/>
    <w:rsid w:val="0017760B"/>
    <w:rsid w:val="00181935"/>
    <w:rsid w:val="0018720B"/>
    <w:rsid w:val="00191FE1"/>
    <w:rsid w:val="001A1A45"/>
    <w:rsid w:val="001A2153"/>
    <w:rsid w:val="001B4A58"/>
    <w:rsid w:val="001D1712"/>
    <w:rsid w:val="001F4A76"/>
    <w:rsid w:val="00212299"/>
    <w:rsid w:val="00227576"/>
    <w:rsid w:val="002311CC"/>
    <w:rsid w:val="00231244"/>
    <w:rsid w:val="00244511"/>
    <w:rsid w:val="002510B7"/>
    <w:rsid w:val="00251F8D"/>
    <w:rsid w:val="00256182"/>
    <w:rsid w:val="00266BF8"/>
    <w:rsid w:val="00267FC7"/>
    <w:rsid w:val="00272D3C"/>
    <w:rsid w:val="00294B4B"/>
    <w:rsid w:val="002D043D"/>
    <w:rsid w:val="002F1221"/>
    <w:rsid w:val="002F2CF3"/>
    <w:rsid w:val="00303F21"/>
    <w:rsid w:val="003107D6"/>
    <w:rsid w:val="003212C6"/>
    <w:rsid w:val="00323D97"/>
    <w:rsid w:val="00331BA5"/>
    <w:rsid w:val="0033489B"/>
    <w:rsid w:val="003404ED"/>
    <w:rsid w:val="00344D5E"/>
    <w:rsid w:val="0034777A"/>
    <w:rsid w:val="0035078F"/>
    <w:rsid w:val="00352AFA"/>
    <w:rsid w:val="003B1A94"/>
    <w:rsid w:val="003C1936"/>
    <w:rsid w:val="003C2ACF"/>
    <w:rsid w:val="003D021C"/>
    <w:rsid w:val="003E6E97"/>
    <w:rsid w:val="003F44B6"/>
    <w:rsid w:val="003F7CE2"/>
    <w:rsid w:val="00401C75"/>
    <w:rsid w:val="004159C6"/>
    <w:rsid w:val="00420E46"/>
    <w:rsid w:val="00466AD7"/>
    <w:rsid w:val="00470AE3"/>
    <w:rsid w:val="00471C2A"/>
    <w:rsid w:val="004728E1"/>
    <w:rsid w:val="0048433B"/>
    <w:rsid w:val="00486A7A"/>
    <w:rsid w:val="004B3F1D"/>
    <w:rsid w:val="004B6F33"/>
    <w:rsid w:val="004D2C06"/>
    <w:rsid w:val="004E0233"/>
    <w:rsid w:val="00512B29"/>
    <w:rsid w:val="00515CB8"/>
    <w:rsid w:val="00522057"/>
    <w:rsid w:val="00527E1A"/>
    <w:rsid w:val="00531804"/>
    <w:rsid w:val="00533855"/>
    <w:rsid w:val="005349D5"/>
    <w:rsid w:val="00536EAA"/>
    <w:rsid w:val="00541572"/>
    <w:rsid w:val="0054596A"/>
    <w:rsid w:val="0054688F"/>
    <w:rsid w:val="005519DE"/>
    <w:rsid w:val="005548F3"/>
    <w:rsid w:val="005553DC"/>
    <w:rsid w:val="00571CC5"/>
    <w:rsid w:val="00574F8B"/>
    <w:rsid w:val="005758E5"/>
    <w:rsid w:val="00583A30"/>
    <w:rsid w:val="0058733C"/>
    <w:rsid w:val="00597EC1"/>
    <w:rsid w:val="005A7E07"/>
    <w:rsid w:val="005D0EA3"/>
    <w:rsid w:val="005D298F"/>
    <w:rsid w:val="005D669C"/>
    <w:rsid w:val="005E55FF"/>
    <w:rsid w:val="005F3F27"/>
    <w:rsid w:val="00600756"/>
    <w:rsid w:val="006011EB"/>
    <w:rsid w:val="00621754"/>
    <w:rsid w:val="006238FB"/>
    <w:rsid w:val="00633EEA"/>
    <w:rsid w:val="00635A69"/>
    <w:rsid w:val="006504C9"/>
    <w:rsid w:val="00651853"/>
    <w:rsid w:val="0065332E"/>
    <w:rsid w:val="00654399"/>
    <w:rsid w:val="00657116"/>
    <w:rsid w:val="00663517"/>
    <w:rsid w:val="006721A8"/>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4679"/>
    <w:rsid w:val="00777420"/>
    <w:rsid w:val="00794AEA"/>
    <w:rsid w:val="007979C9"/>
    <w:rsid w:val="007A21E6"/>
    <w:rsid w:val="007A2F47"/>
    <w:rsid w:val="007C3C93"/>
    <w:rsid w:val="007C5683"/>
    <w:rsid w:val="007D0340"/>
    <w:rsid w:val="007E5F19"/>
    <w:rsid w:val="007F16BF"/>
    <w:rsid w:val="007F36B4"/>
    <w:rsid w:val="007F78A1"/>
    <w:rsid w:val="008159FD"/>
    <w:rsid w:val="00833958"/>
    <w:rsid w:val="00834BEC"/>
    <w:rsid w:val="00841BD1"/>
    <w:rsid w:val="008559DE"/>
    <w:rsid w:val="00856AB4"/>
    <w:rsid w:val="00862F80"/>
    <w:rsid w:val="008704FE"/>
    <w:rsid w:val="00882E3F"/>
    <w:rsid w:val="008834E0"/>
    <w:rsid w:val="00885F07"/>
    <w:rsid w:val="008A6E17"/>
    <w:rsid w:val="008B3037"/>
    <w:rsid w:val="008B4EAD"/>
    <w:rsid w:val="008B53AC"/>
    <w:rsid w:val="008B66F2"/>
    <w:rsid w:val="008B7249"/>
    <w:rsid w:val="008B7B5D"/>
    <w:rsid w:val="008C2E2F"/>
    <w:rsid w:val="008C37D1"/>
    <w:rsid w:val="008C5915"/>
    <w:rsid w:val="008D56BF"/>
    <w:rsid w:val="008E0D47"/>
    <w:rsid w:val="008E73B0"/>
    <w:rsid w:val="008F3AEB"/>
    <w:rsid w:val="008F4B6C"/>
    <w:rsid w:val="008F601B"/>
    <w:rsid w:val="00900849"/>
    <w:rsid w:val="00905ACF"/>
    <w:rsid w:val="00914CFE"/>
    <w:rsid w:val="009206A1"/>
    <w:rsid w:val="009307DB"/>
    <w:rsid w:val="009417CD"/>
    <w:rsid w:val="0095390B"/>
    <w:rsid w:val="00955C6D"/>
    <w:rsid w:val="00960081"/>
    <w:rsid w:val="009612BE"/>
    <w:rsid w:val="00961A05"/>
    <w:rsid w:val="009847E8"/>
    <w:rsid w:val="009877CD"/>
    <w:rsid w:val="009925D5"/>
    <w:rsid w:val="00993F00"/>
    <w:rsid w:val="009A0779"/>
    <w:rsid w:val="009C2EDE"/>
    <w:rsid w:val="009C7E2D"/>
    <w:rsid w:val="009D4442"/>
    <w:rsid w:val="009F49F6"/>
    <w:rsid w:val="00A0093B"/>
    <w:rsid w:val="00A10484"/>
    <w:rsid w:val="00A12DE2"/>
    <w:rsid w:val="00A171DB"/>
    <w:rsid w:val="00A24641"/>
    <w:rsid w:val="00A31208"/>
    <w:rsid w:val="00A43134"/>
    <w:rsid w:val="00A46305"/>
    <w:rsid w:val="00A47D19"/>
    <w:rsid w:val="00A97571"/>
    <w:rsid w:val="00AB0C2C"/>
    <w:rsid w:val="00AB556F"/>
    <w:rsid w:val="00AB57AD"/>
    <w:rsid w:val="00AB5F58"/>
    <w:rsid w:val="00AB67BC"/>
    <w:rsid w:val="00AC597D"/>
    <w:rsid w:val="00AC62AC"/>
    <w:rsid w:val="00AF0D8C"/>
    <w:rsid w:val="00AF5BD4"/>
    <w:rsid w:val="00B0488D"/>
    <w:rsid w:val="00B10D25"/>
    <w:rsid w:val="00B11DA5"/>
    <w:rsid w:val="00B13ECF"/>
    <w:rsid w:val="00B16E7A"/>
    <w:rsid w:val="00B20675"/>
    <w:rsid w:val="00B23F5E"/>
    <w:rsid w:val="00B264D5"/>
    <w:rsid w:val="00B32990"/>
    <w:rsid w:val="00B472C6"/>
    <w:rsid w:val="00B64F2D"/>
    <w:rsid w:val="00B800F7"/>
    <w:rsid w:val="00B8278F"/>
    <w:rsid w:val="00B95752"/>
    <w:rsid w:val="00B977B2"/>
    <w:rsid w:val="00BA064B"/>
    <w:rsid w:val="00BA0E50"/>
    <w:rsid w:val="00BC76A3"/>
    <w:rsid w:val="00BD13EF"/>
    <w:rsid w:val="00BD24A2"/>
    <w:rsid w:val="00BD6B09"/>
    <w:rsid w:val="00BE46FD"/>
    <w:rsid w:val="00BE51E5"/>
    <w:rsid w:val="00BF0CE9"/>
    <w:rsid w:val="00C22074"/>
    <w:rsid w:val="00C25A0A"/>
    <w:rsid w:val="00C33E42"/>
    <w:rsid w:val="00C34A64"/>
    <w:rsid w:val="00C3562A"/>
    <w:rsid w:val="00C70A0F"/>
    <w:rsid w:val="00C7770C"/>
    <w:rsid w:val="00C92AAA"/>
    <w:rsid w:val="00C97AC7"/>
    <w:rsid w:val="00CB3A5E"/>
    <w:rsid w:val="00CF103F"/>
    <w:rsid w:val="00CF57C9"/>
    <w:rsid w:val="00CF7CEF"/>
    <w:rsid w:val="00D02C14"/>
    <w:rsid w:val="00D05FD6"/>
    <w:rsid w:val="00D15212"/>
    <w:rsid w:val="00D15C97"/>
    <w:rsid w:val="00D23E68"/>
    <w:rsid w:val="00D3369D"/>
    <w:rsid w:val="00D4608E"/>
    <w:rsid w:val="00D50808"/>
    <w:rsid w:val="00D5571A"/>
    <w:rsid w:val="00D64159"/>
    <w:rsid w:val="00D6758E"/>
    <w:rsid w:val="00D847C6"/>
    <w:rsid w:val="00D875A6"/>
    <w:rsid w:val="00D90DA2"/>
    <w:rsid w:val="00DA168C"/>
    <w:rsid w:val="00DA7314"/>
    <w:rsid w:val="00DB6062"/>
    <w:rsid w:val="00DC28DA"/>
    <w:rsid w:val="00DC3ACB"/>
    <w:rsid w:val="00DC6980"/>
    <w:rsid w:val="00DD0701"/>
    <w:rsid w:val="00DD0892"/>
    <w:rsid w:val="00DD1390"/>
    <w:rsid w:val="00DE34B0"/>
    <w:rsid w:val="00DF2E12"/>
    <w:rsid w:val="00E060EE"/>
    <w:rsid w:val="00E11251"/>
    <w:rsid w:val="00E200A1"/>
    <w:rsid w:val="00E22A88"/>
    <w:rsid w:val="00E2671D"/>
    <w:rsid w:val="00E31FD0"/>
    <w:rsid w:val="00E36AE3"/>
    <w:rsid w:val="00E36D68"/>
    <w:rsid w:val="00E4351A"/>
    <w:rsid w:val="00E5456F"/>
    <w:rsid w:val="00E579D8"/>
    <w:rsid w:val="00E73F89"/>
    <w:rsid w:val="00E86FC9"/>
    <w:rsid w:val="00E965F7"/>
    <w:rsid w:val="00E9717D"/>
    <w:rsid w:val="00EA3B8E"/>
    <w:rsid w:val="00EA42F2"/>
    <w:rsid w:val="00EA6E47"/>
    <w:rsid w:val="00EB3229"/>
    <w:rsid w:val="00EB6E43"/>
    <w:rsid w:val="00ED021A"/>
    <w:rsid w:val="00ED78C6"/>
    <w:rsid w:val="00EE2764"/>
    <w:rsid w:val="00EE3DC3"/>
    <w:rsid w:val="00EE5D1E"/>
    <w:rsid w:val="00EF21CF"/>
    <w:rsid w:val="00EF3697"/>
    <w:rsid w:val="00EF6B14"/>
    <w:rsid w:val="00EF7CCD"/>
    <w:rsid w:val="00F007AF"/>
    <w:rsid w:val="00F10C7F"/>
    <w:rsid w:val="00F11F75"/>
    <w:rsid w:val="00F12B60"/>
    <w:rsid w:val="00F20234"/>
    <w:rsid w:val="00F25353"/>
    <w:rsid w:val="00F3436F"/>
    <w:rsid w:val="00F408CF"/>
    <w:rsid w:val="00F50CBC"/>
    <w:rsid w:val="00F5665E"/>
    <w:rsid w:val="00F60DFC"/>
    <w:rsid w:val="00F61260"/>
    <w:rsid w:val="00F62D1B"/>
    <w:rsid w:val="00F721B6"/>
    <w:rsid w:val="00F7367E"/>
    <w:rsid w:val="00F743A5"/>
    <w:rsid w:val="00F851EF"/>
    <w:rsid w:val="00F93B8B"/>
    <w:rsid w:val="00F94022"/>
    <w:rsid w:val="00FB1170"/>
    <w:rsid w:val="00FB3F71"/>
    <w:rsid w:val="00FC56E0"/>
    <w:rsid w:val="00FD03EF"/>
    <w:rsid w:val="00FE394D"/>
    <w:rsid w:val="00FE39BE"/>
    <w:rsid w:val="00FF5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link w:val="BodyTextChar"/>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character" w:customStyle="1" w:styleId="BodyTextChar">
    <w:name w:val="Body Text Char"/>
    <w:basedOn w:val="DefaultParagraphFont"/>
    <w:link w:val="BodyText"/>
    <w:rsid w:val="00D64159"/>
    <w:rPr>
      <w:sz w:val="24"/>
    </w:rPr>
  </w:style>
</w:styles>
</file>

<file path=word/webSettings.xml><?xml version="1.0" encoding="utf-8"?>
<w:webSettings xmlns:r="http://schemas.openxmlformats.org/officeDocument/2006/relationships" xmlns:w="http://schemas.openxmlformats.org/wordprocessingml/2006/main">
  <w:divs>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evogelson@state.pa.u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9C5EA-F061-4612-A47B-23BA817E8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Pages>
  <Words>524</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3510</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TUZINSKI</dc:creator>
  <cp:keywords/>
  <dc:description/>
  <cp:lastModifiedBy>Administrator</cp:lastModifiedBy>
  <cp:revision>9</cp:revision>
  <cp:lastPrinted>2011-07-22T12:32:00Z</cp:lastPrinted>
  <dcterms:created xsi:type="dcterms:W3CDTF">2011-01-11T16:21:00Z</dcterms:created>
  <dcterms:modified xsi:type="dcterms:W3CDTF">2011-07-22T12:33:00Z</dcterms:modified>
</cp:coreProperties>
</file>