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97" w:rsidRPr="00C0451E" w:rsidRDefault="001D6D97" w:rsidP="001D6D97">
      <w:pPr>
        <w:jc w:val="center"/>
        <w:rPr>
          <w:b/>
          <w:sz w:val="26"/>
          <w:szCs w:val="26"/>
        </w:rPr>
      </w:pPr>
      <w:r w:rsidRPr="00C0451E">
        <w:rPr>
          <w:b/>
          <w:sz w:val="26"/>
          <w:szCs w:val="26"/>
        </w:rPr>
        <w:t>PENNSYLVANIA</w:t>
      </w:r>
    </w:p>
    <w:p w:rsidR="001D6D97" w:rsidRPr="00C0451E" w:rsidRDefault="001D6D97" w:rsidP="001D6D97">
      <w:pPr>
        <w:jc w:val="center"/>
        <w:rPr>
          <w:b/>
          <w:sz w:val="26"/>
          <w:szCs w:val="26"/>
        </w:rPr>
      </w:pPr>
      <w:r w:rsidRPr="00C0451E">
        <w:rPr>
          <w:b/>
          <w:sz w:val="26"/>
          <w:szCs w:val="26"/>
        </w:rPr>
        <w:t>PUBLIC UTILITY COMMISSION</w:t>
      </w:r>
    </w:p>
    <w:p w:rsidR="008E79F0" w:rsidRDefault="001D6D97" w:rsidP="001D6D97">
      <w:pPr>
        <w:jc w:val="center"/>
        <w:rPr>
          <w:b/>
          <w:sz w:val="26"/>
          <w:szCs w:val="26"/>
        </w:rPr>
      </w:pPr>
      <w:r w:rsidRPr="00C0451E">
        <w:rPr>
          <w:b/>
          <w:sz w:val="26"/>
          <w:szCs w:val="26"/>
        </w:rPr>
        <w:t>Harrisburg, PA  17105-3265</w:t>
      </w:r>
    </w:p>
    <w:tbl>
      <w:tblPr>
        <w:tblW w:w="0" w:type="auto"/>
        <w:tblLayout w:type="fixed"/>
        <w:tblLook w:val="0000"/>
      </w:tblPr>
      <w:tblGrid>
        <w:gridCol w:w="5148"/>
        <w:gridCol w:w="5148"/>
      </w:tblGrid>
      <w:tr w:rsidR="001D6D97" w:rsidRPr="00C0451E" w:rsidTr="00937932">
        <w:tc>
          <w:tcPr>
            <w:tcW w:w="5148" w:type="dxa"/>
          </w:tcPr>
          <w:p w:rsidR="001D6D97" w:rsidRDefault="001D6D97" w:rsidP="00937932">
            <w:pPr>
              <w:rPr>
                <w:sz w:val="26"/>
                <w:szCs w:val="26"/>
              </w:rPr>
            </w:pPr>
          </w:p>
          <w:p w:rsidR="001D6D97" w:rsidRPr="00C0451E" w:rsidRDefault="001D6D97" w:rsidP="00937932">
            <w:pPr>
              <w:rPr>
                <w:sz w:val="26"/>
                <w:szCs w:val="26"/>
              </w:rPr>
            </w:pPr>
          </w:p>
        </w:tc>
        <w:tc>
          <w:tcPr>
            <w:tcW w:w="5148" w:type="dxa"/>
          </w:tcPr>
          <w:p w:rsidR="001D6D97" w:rsidRDefault="001D6D97" w:rsidP="00937932">
            <w:pPr>
              <w:ind w:firstLine="612"/>
              <w:rPr>
                <w:sz w:val="26"/>
                <w:szCs w:val="26"/>
              </w:rPr>
            </w:pPr>
          </w:p>
          <w:p w:rsidR="001D6D97" w:rsidRPr="00C0451E" w:rsidRDefault="001D6D97" w:rsidP="00937932">
            <w:pPr>
              <w:ind w:firstLine="612"/>
              <w:rPr>
                <w:sz w:val="26"/>
                <w:szCs w:val="26"/>
              </w:rPr>
            </w:pPr>
            <w:r w:rsidRPr="00C0451E">
              <w:rPr>
                <w:sz w:val="26"/>
                <w:szCs w:val="26"/>
              </w:rPr>
              <w:t xml:space="preserve">Public Meeting held </w:t>
            </w:r>
            <w:r w:rsidR="00A967C0">
              <w:rPr>
                <w:sz w:val="26"/>
                <w:szCs w:val="26"/>
              </w:rPr>
              <w:t>July 28</w:t>
            </w:r>
            <w:r>
              <w:rPr>
                <w:sz w:val="26"/>
                <w:szCs w:val="26"/>
              </w:rPr>
              <w:t>, 2011</w:t>
            </w:r>
          </w:p>
        </w:tc>
      </w:tr>
      <w:tr w:rsidR="001D6D97" w:rsidRPr="00C0451E" w:rsidTr="00937932">
        <w:tc>
          <w:tcPr>
            <w:tcW w:w="5148" w:type="dxa"/>
          </w:tcPr>
          <w:p w:rsidR="001D6D97" w:rsidRPr="00C0451E" w:rsidRDefault="001D6D97" w:rsidP="00937932">
            <w:pPr>
              <w:rPr>
                <w:sz w:val="26"/>
                <w:szCs w:val="26"/>
              </w:rPr>
            </w:pPr>
            <w:r w:rsidRPr="00C0451E">
              <w:rPr>
                <w:sz w:val="26"/>
                <w:szCs w:val="26"/>
              </w:rPr>
              <w:t>Commissioners Present:</w:t>
            </w:r>
          </w:p>
        </w:tc>
        <w:tc>
          <w:tcPr>
            <w:tcW w:w="5148" w:type="dxa"/>
          </w:tcPr>
          <w:p w:rsidR="001D6D97" w:rsidRPr="00C0451E" w:rsidRDefault="001D6D97" w:rsidP="00937932">
            <w:pPr>
              <w:rPr>
                <w:sz w:val="26"/>
                <w:szCs w:val="26"/>
              </w:rPr>
            </w:pPr>
          </w:p>
        </w:tc>
      </w:tr>
    </w:tbl>
    <w:p w:rsidR="001D6D97" w:rsidRPr="00C0451E" w:rsidRDefault="001D6D97" w:rsidP="001D6D97">
      <w:pPr>
        <w:rPr>
          <w:sz w:val="26"/>
          <w:szCs w:val="26"/>
        </w:rPr>
      </w:pPr>
    </w:p>
    <w:tbl>
      <w:tblPr>
        <w:tblW w:w="10296" w:type="dxa"/>
        <w:tblLayout w:type="fixed"/>
        <w:tblLook w:val="0000"/>
      </w:tblPr>
      <w:tblGrid>
        <w:gridCol w:w="5958"/>
        <w:gridCol w:w="2898"/>
        <w:gridCol w:w="522"/>
        <w:gridCol w:w="918"/>
      </w:tblGrid>
      <w:tr w:rsidR="001D6D97" w:rsidRPr="00C0451E" w:rsidTr="00937932">
        <w:tc>
          <w:tcPr>
            <w:tcW w:w="9378" w:type="dxa"/>
            <w:gridSpan w:val="3"/>
          </w:tcPr>
          <w:p w:rsidR="001D6D97" w:rsidRPr="00C0451E" w:rsidRDefault="00FD3ABD" w:rsidP="00937932">
            <w:pPr>
              <w:overflowPunct/>
              <w:ind w:left="180"/>
              <w:textAlignment w:val="auto"/>
              <w:rPr>
                <w:sz w:val="26"/>
                <w:szCs w:val="26"/>
              </w:rPr>
            </w:pPr>
            <w:r>
              <w:rPr>
                <w:sz w:val="26"/>
                <w:szCs w:val="26"/>
              </w:rPr>
              <w:t xml:space="preserve">   </w:t>
            </w:r>
            <w:r w:rsidR="001D6D97">
              <w:rPr>
                <w:sz w:val="26"/>
                <w:szCs w:val="26"/>
              </w:rPr>
              <w:t xml:space="preserve">Robert F. </w:t>
            </w:r>
            <w:proofErr w:type="spellStart"/>
            <w:r w:rsidR="001D6D97">
              <w:rPr>
                <w:sz w:val="26"/>
                <w:szCs w:val="26"/>
              </w:rPr>
              <w:t>Powelson</w:t>
            </w:r>
            <w:proofErr w:type="spellEnd"/>
            <w:r w:rsidR="001D6D97">
              <w:rPr>
                <w:sz w:val="26"/>
                <w:szCs w:val="26"/>
              </w:rPr>
              <w:t>, Chairman</w:t>
            </w:r>
          </w:p>
        </w:tc>
        <w:tc>
          <w:tcPr>
            <w:tcW w:w="918" w:type="dxa"/>
          </w:tcPr>
          <w:p w:rsidR="001D6D97" w:rsidRPr="00C0451E" w:rsidRDefault="001D6D97" w:rsidP="00937932">
            <w:pPr>
              <w:rPr>
                <w:sz w:val="26"/>
                <w:szCs w:val="26"/>
              </w:rPr>
            </w:pPr>
          </w:p>
        </w:tc>
      </w:tr>
      <w:tr w:rsidR="001D6D97" w:rsidRPr="00C0451E" w:rsidTr="00937932">
        <w:tc>
          <w:tcPr>
            <w:tcW w:w="9378" w:type="dxa"/>
            <w:gridSpan w:val="3"/>
          </w:tcPr>
          <w:p w:rsidR="001D6D97" w:rsidRPr="00C0451E" w:rsidRDefault="00FD3ABD" w:rsidP="00937932">
            <w:pPr>
              <w:overflowPunct/>
              <w:ind w:left="180"/>
              <w:textAlignment w:val="auto"/>
              <w:rPr>
                <w:sz w:val="26"/>
                <w:szCs w:val="26"/>
              </w:rPr>
            </w:pPr>
            <w:r>
              <w:rPr>
                <w:sz w:val="26"/>
                <w:szCs w:val="26"/>
              </w:rPr>
              <w:t xml:space="preserve">   </w:t>
            </w:r>
            <w:r w:rsidR="001D6D97">
              <w:rPr>
                <w:sz w:val="26"/>
                <w:szCs w:val="26"/>
              </w:rPr>
              <w:t>John F. Coleman</w:t>
            </w:r>
            <w:r w:rsidR="001D6D97" w:rsidRPr="00C0451E">
              <w:rPr>
                <w:sz w:val="26"/>
                <w:szCs w:val="26"/>
              </w:rPr>
              <w:t xml:space="preserve">, </w:t>
            </w:r>
            <w:r w:rsidR="001D6D97">
              <w:rPr>
                <w:sz w:val="26"/>
                <w:szCs w:val="26"/>
              </w:rPr>
              <w:t xml:space="preserve">Jr., </w:t>
            </w:r>
            <w:r w:rsidR="001D6D97" w:rsidRPr="00C0451E">
              <w:rPr>
                <w:sz w:val="26"/>
                <w:szCs w:val="26"/>
              </w:rPr>
              <w:t>Vice Chairman</w:t>
            </w:r>
          </w:p>
        </w:tc>
        <w:tc>
          <w:tcPr>
            <w:tcW w:w="918" w:type="dxa"/>
          </w:tcPr>
          <w:p w:rsidR="001D6D97" w:rsidRPr="00C0451E" w:rsidRDefault="001D6D97" w:rsidP="00937932">
            <w:pPr>
              <w:rPr>
                <w:sz w:val="26"/>
                <w:szCs w:val="26"/>
              </w:rPr>
            </w:pPr>
          </w:p>
        </w:tc>
      </w:tr>
      <w:tr w:rsidR="001D6D97" w:rsidRPr="00C0451E" w:rsidTr="00937932">
        <w:tc>
          <w:tcPr>
            <w:tcW w:w="9378" w:type="dxa"/>
            <w:gridSpan w:val="3"/>
          </w:tcPr>
          <w:p w:rsidR="001D6D97" w:rsidRPr="00C0451E" w:rsidRDefault="00FD3ABD" w:rsidP="00937932">
            <w:pPr>
              <w:overflowPunct/>
              <w:ind w:left="180"/>
              <w:textAlignment w:val="auto"/>
              <w:rPr>
                <w:sz w:val="26"/>
                <w:szCs w:val="26"/>
              </w:rPr>
            </w:pPr>
            <w:r>
              <w:rPr>
                <w:sz w:val="26"/>
                <w:szCs w:val="26"/>
              </w:rPr>
              <w:t xml:space="preserve">   </w:t>
            </w:r>
            <w:r w:rsidR="001D6D97" w:rsidRPr="00C0451E">
              <w:rPr>
                <w:sz w:val="26"/>
                <w:szCs w:val="26"/>
              </w:rPr>
              <w:t>Wayne E. Gardner</w:t>
            </w:r>
          </w:p>
        </w:tc>
        <w:tc>
          <w:tcPr>
            <w:tcW w:w="918" w:type="dxa"/>
          </w:tcPr>
          <w:p w:rsidR="001D6D97" w:rsidRPr="00C0451E" w:rsidRDefault="001D6D97" w:rsidP="00937932">
            <w:pPr>
              <w:rPr>
                <w:sz w:val="26"/>
                <w:szCs w:val="26"/>
              </w:rPr>
            </w:pPr>
          </w:p>
        </w:tc>
      </w:tr>
      <w:tr w:rsidR="001D6D97" w:rsidRPr="00C0451E" w:rsidTr="00937932">
        <w:tc>
          <w:tcPr>
            <w:tcW w:w="9378" w:type="dxa"/>
            <w:gridSpan w:val="3"/>
          </w:tcPr>
          <w:p w:rsidR="001D6D97" w:rsidRPr="00C0451E" w:rsidRDefault="00FD3ABD" w:rsidP="00937932">
            <w:pPr>
              <w:overflowPunct/>
              <w:ind w:left="180"/>
              <w:textAlignment w:val="auto"/>
              <w:rPr>
                <w:sz w:val="26"/>
                <w:szCs w:val="26"/>
              </w:rPr>
            </w:pPr>
            <w:r>
              <w:rPr>
                <w:sz w:val="26"/>
                <w:szCs w:val="26"/>
              </w:rPr>
              <w:t xml:space="preserve">   </w:t>
            </w:r>
            <w:r w:rsidR="001D6D97">
              <w:rPr>
                <w:sz w:val="26"/>
                <w:szCs w:val="26"/>
              </w:rPr>
              <w:t xml:space="preserve">James H. </w:t>
            </w:r>
            <w:proofErr w:type="spellStart"/>
            <w:r w:rsidR="001D6D97">
              <w:rPr>
                <w:sz w:val="26"/>
                <w:szCs w:val="26"/>
              </w:rPr>
              <w:t>Cawley</w:t>
            </w:r>
            <w:proofErr w:type="spellEnd"/>
          </w:p>
        </w:tc>
        <w:tc>
          <w:tcPr>
            <w:tcW w:w="918" w:type="dxa"/>
          </w:tcPr>
          <w:p w:rsidR="001D6D97" w:rsidRPr="00C0451E" w:rsidRDefault="001D6D97" w:rsidP="00937932">
            <w:pPr>
              <w:rPr>
                <w:sz w:val="26"/>
                <w:szCs w:val="26"/>
              </w:rPr>
            </w:pPr>
          </w:p>
        </w:tc>
      </w:tr>
      <w:tr w:rsidR="001D6D97" w:rsidRPr="00C0451E" w:rsidTr="00937932">
        <w:trPr>
          <w:gridAfter w:val="2"/>
          <w:wAfter w:w="1440" w:type="dxa"/>
        </w:trPr>
        <w:tc>
          <w:tcPr>
            <w:tcW w:w="5958" w:type="dxa"/>
          </w:tcPr>
          <w:p w:rsidR="001D6D97" w:rsidRPr="00C0451E" w:rsidRDefault="00FD3ABD" w:rsidP="00937932">
            <w:pPr>
              <w:ind w:left="180"/>
              <w:rPr>
                <w:sz w:val="26"/>
                <w:szCs w:val="26"/>
              </w:rPr>
            </w:pPr>
            <w:r>
              <w:rPr>
                <w:sz w:val="26"/>
                <w:szCs w:val="26"/>
              </w:rPr>
              <w:t xml:space="preserve">   </w:t>
            </w:r>
            <w:r w:rsidR="001D6D97">
              <w:rPr>
                <w:sz w:val="26"/>
                <w:szCs w:val="26"/>
              </w:rPr>
              <w:t>Pamela A. Witmer</w:t>
            </w:r>
          </w:p>
        </w:tc>
        <w:tc>
          <w:tcPr>
            <w:tcW w:w="2898" w:type="dxa"/>
          </w:tcPr>
          <w:p w:rsidR="001D6D97" w:rsidRPr="00C0451E" w:rsidRDefault="001D6D97" w:rsidP="00937932">
            <w:pPr>
              <w:rPr>
                <w:sz w:val="26"/>
                <w:szCs w:val="26"/>
              </w:rPr>
            </w:pPr>
          </w:p>
        </w:tc>
      </w:tr>
      <w:tr w:rsidR="001D6D97" w:rsidRPr="00C0451E" w:rsidTr="00937932">
        <w:trPr>
          <w:gridAfter w:val="2"/>
          <w:wAfter w:w="1440" w:type="dxa"/>
        </w:trPr>
        <w:tc>
          <w:tcPr>
            <w:tcW w:w="5958" w:type="dxa"/>
          </w:tcPr>
          <w:p w:rsidR="001D6D97" w:rsidRPr="00C0451E" w:rsidRDefault="001D6D97" w:rsidP="00937932">
            <w:pPr>
              <w:rPr>
                <w:sz w:val="26"/>
                <w:szCs w:val="26"/>
              </w:rPr>
            </w:pPr>
          </w:p>
        </w:tc>
        <w:tc>
          <w:tcPr>
            <w:tcW w:w="2898" w:type="dxa"/>
          </w:tcPr>
          <w:p w:rsidR="001D6D97" w:rsidRPr="00C0451E" w:rsidRDefault="001D6D97" w:rsidP="00937932">
            <w:pPr>
              <w:rPr>
                <w:sz w:val="26"/>
                <w:szCs w:val="26"/>
              </w:rPr>
            </w:pPr>
          </w:p>
        </w:tc>
      </w:tr>
      <w:tr w:rsidR="001D6D97" w:rsidRPr="00C0451E" w:rsidTr="00937932">
        <w:trPr>
          <w:gridAfter w:val="2"/>
          <w:wAfter w:w="1440" w:type="dxa"/>
        </w:trPr>
        <w:tc>
          <w:tcPr>
            <w:tcW w:w="5958" w:type="dxa"/>
          </w:tcPr>
          <w:p w:rsidR="001D6D97" w:rsidRPr="00F42014" w:rsidRDefault="001D6D97" w:rsidP="00937932">
            <w:pPr>
              <w:jc w:val="center"/>
              <w:rPr>
                <w:b/>
                <w:sz w:val="26"/>
                <w:szCs w:val="26"/>
              </w:rPr>
            </w:pPr>
          </w:p>
        </w:tc>
        <w:tc>
          <w:tcPr>
            <w:tcW w:w="2898" w:type="dxa"/>
          </w:tcPr>
          <w:p w:rsidR="001D6D97" w:rsidRPr="00C0451E" w:rsidRDefault="001D6D97" w:rsidP="00937932">
            <w:pPr>
              <w:rPr>
                <w:sz w:val="26"/>
                <w:szCs w:val="26"/>
              </w:rPr>
            </w:pPr>
          </w:p>
        </w:tc>
      </w:tr>
    </w:tbl>
    <w:p w:rsidR="00B903DA" w:rsidRDefault="001D6D97" w:rsidP="00B903DA">
      <w:pPr>
        <w:rPr>
          <w:sz w:val="26"/>
          <w:szCs w:val="26"/>
        </w:rPr>
      </w:pPr>
      <w:r>
        <w:rPr>
          <w:sz w:val="26"/>
          <w:szCs w:val="26"/>
        </w:rPr>
        <w:t>Petiti</w:t>
      </w:r>
      <w:r w:rsidR="007319B0">
        <w:rPr>
          <w:sz w:val="26"/>
          <w:szCs w:val="26"/>
        </w:rPr>
        <w:t xml:space="preserve">on of Duquesne Light Company </w:t>
      </w:r>
      <w:r>
        <w:rPr>
          <w:sz w:val="26"/>
          <w:szCs w:val="26"/>
        </w:rPr>
        <w:t xml:space="preserve"> </w:t>
      </w:r>
      <w:r w:rsidR="00B903DA">
        <w:rPr>
          <w:sz w:val="26"/>
          <w:szCs w:val="26"/>
        </w:rPr>
        <w:tab/>
      </w:r>
      <w:r w:rsidR="00B903DA">
        <w:rPr>
          <w:sz w:val="26"/>
          <w:szCs w:val="26"/>
        </w:rPr>
        <w:tab/>
      </w:r>
      <w:r w:rsidR="00B903DA">
        <w:rPr>
          <w:sz w:val="26"/>
          <w:szCs w:val="26"/>
        </w:rPr>
        <w:tab/>
      </w:r>
      <w:r w:rsidR="00B903DA">
        <w:rPr>
          <w:sz w:val="26"/>
          <w:szCs w:val="26"/>
        </w:rPr>
        <w:tab/>
        <w:t xml:space="preserve">      </w:t>
      </w:r>
      <w:r w:rsidR="007319B0">
        <w:rPr>
          <w:sz w:val="26"/>
          <w:szCs w:val="26"/>
        </w:rPr>
        <w:t xml:space="preserve">           </w:t>
      </w:r>
      <w:r w:rsidR="00B903DA">
        <w:rPr>
          <w:sz w:val="26"/>
          <w:szCs w:val="26"/>
        </w:rPr>
        <w:t>P-2011-2246066</w:t>
      </w:r>
    </w:p>
    <w:p w:rsidR="00C52F00" w:rsidRDefault="007319B0" w:rsidP="001D6D97">
      <w:pPr>
        <w:rPr>
          <w:sz w:val="26"/>
          <w:szCs w:val="26"/>
        </w:rPr>
      </w:pPr>
      <w:proofErr w:type="gramStart"/>
      <w:r>
        <w:rPr>
          <w:sz w:val="26"/>
          <w:szCs w:val="26"/>
        </w:rPr>
        <w:t>for</w:t>
      </w:r>
      <w:proofErr w:type="gramEnd"/>
      <w:r>
        <w:rPr>
          <w:sz w:val="26"/>
          <w:szCs w:val="26"/>
        </w:rPr>
        <w:t xml:space="preserve"> a </w:t>
      </w:r>
      <w:r w:rsidR="001D6D97">
        <w:rPr>
          <w:sz w:val="26"/>
          <w:szCs w:val="26"/>
        </w:rPr>
        <w:t xml:space="preserve">Permanent Waiver of the EDI 568 </w:t>
      </w:r>
    </w:p>
    <w:p w:rsidR="001D6D97" w:rsidRDefault="001D6D97" w:rsidP="001D6D97">
      <w:pPr>
        <w:rPr>
          <w:sz w:val="26"/>
          <w:szCs w:val="26"/>
        </w:rPr>
      </w:pPr>
      <w:r>
        <w:rPr>
          <w:sz w:val="26"/>
          <w:szCs w:val="26"/>
        </w:rPr>
        <w:t>Obligation for POR Customers</w:t>
      </w:r>
    </w:p>
    <w:p w:rsidR="001D6D97" w:rsidRDefault="001D6D97" w:rsidP="001D6D97">
      <w:pPr>
        <w:spacing w:line="360" w:lineRule="auto"/>
        <w:jc w:val="center"/>
        <w:rPr>
          <w:b/>
          <w:sz w:val="26"/>
          <w:szCs w:val="26"/>
        </w:rPr>
      </w:pPr>
    </w:p>
    <w:p w:rsidR="001D6D97" w:rsidRPr="00F42014" w:rsidRDefault="001D6D97" w:rsidP="001D6D97">
      <w:pPr>
        <w:spacing w:line="360" w:lineRule="auto"/>
        <w:jc w:val="center"/>
        <w:rPr>
          <w:b/>
          <w:sz w:val="26"/>
          <w:szCs w:val="26"/>
        </w:rPr>
      </w:pPr>
      <w:r w:rsidRPr="00F42014">
        <w:rPr>
          <w:b/>
          <w:sz w:val="26"/>
          <w:szCs w:val="26"/>
        </w:rPr>
        <w:t>ORDER</w:t>
      </w:r>
    </w:p>
    <w:p w:rsidR="009E4B3E" w:rsidRDefault="009E4B3E" w:rsidP="001D6D97">
      <w:pPr>
        <w:pStyle w:val="p3"/>
        <w:spacing w:line="360" w:lineRule="auto"/>
        <w:rPr>
          <w:b/>
          <w:sz w:val="26"/>
          <w:szCs w:val="26"/>
        </w:rPr>
      </w:pPr>
    </w:p>
    <w:p w:rsidR="001D6D97" w:rsidRPr="00C0451E" w:rsidRDefault="001D6D97" w:rsidP="00931949">
      <w:pPr>
        <w:pStyle w:val="p3"/>
        <w:spacing w:line="480" w:lineRule="auto"/>
        <w:rPr>
          <w:b/>
          <w:sz w:val="26"/>
          <w:szCs w:val="26"/>
        </w:rPr>
      </w:pPr>
      <w:r w:rsidRPr="00C0451E">
        <w:rPr>
          <w:b/>
          <w:sz w:val="26"/>
          <w:szCs w:val="26"/>
        </w:rPr>
        <w:t>BY THE COMMISSION:</w:t>
      </w:r>
    </w:p>
    <w:p w:rsidR="001D6D97" w:rsidRDefault="00A967C0" w:rsidP="001D6D97">
      <w:pPr>
        <w:pStyle w:val="p3"/>
        <w:tabs>
          <w:tab w:val="clear" w:pos="204"/>
        </w:tabs>
        <w:spacing w:line="360" w:lineRule="auto"/>
        <w:rPr>
          <w:sz w:val="26"/>
          <w:szCs w:val="26"/>
        </w:rPr>
      </w:pPr>
      <w:r>
        <w:rPr>
          <w:sz w:val="26"/>
          <w:szCs w:val="26"/>
        </w:rPr>
        <w:tab/>
      </w:r>
      <w:r w:rsidR="00C52F00">
        <w:rPr>
          <w:sz w:val="26"/>
          <w:szCs w:val="26"/>
        </w:rPr>
        <w:t>On June 10, 2011</w:t>
      </w:r>
      <w:proofErr w:type="gramStart"/>
      <w:r w:rsidR="00C52F00">
        <w:rPr>
          <w:sz w:val="26"/>
          <w:szCs w:val="26"/>
        </w:rPr>
        <w:t xml:space="preserve">,  </w:t>
      </w:r>
      <w:r w:rsidR="001D6D97">
        <w:rPr>
          <w:sz w:val="26"/>
          <w:szCs w:val="26"/>
        </w:rPr>
        <w:t>Duquesne</w:t>
      </w:r>
      <w:proofErr w:type="gramEnd"/>
      <w:r w:rsidR="001D6D97">
        <w:rPr>
          <w:sz w:val="26"/>
          <w:szCs w:val="26"/>
        </w:rPr>
        <w:t xml:space="preserve"> Light Company (Duquesne or the Company) </w:t>
      </w:r>
      <w:r w:rsidR="00C52F00">
        <w:rPr>
          <w:sz w:val="26"/>
          <w:szCs w:val="26"/>
        </w:rPr>
        <w:t>filed a petition</w:t>
      </w:r>
      <w:r w:rsidR="001D6D97">
        <w:rPr>
          <w:sz w:val="26"/>
          <w:szCs w:val="26"/>
        </w:rPr>
        <w:t xml:space="preserve"> for approval of a permanent waiver of the EDI 568 obligation</w:t>
      </w:r>
      <w:r w:rsidR="00C52F00">
        <w:rPr>
          <w:sz w:val="26"/>
          <w:szCs w:val="26"/>
        </w:rPr>
        <w:t xml:space="preserve"> </w:t>
      </w:r>
      <w:r w:rsidR="001D6D97">
        <w:rPr>
          <w:sz w:val="26"/>
          <w:szCs w:val="26"/>
        </w:rPr>
        <w:t>for Duquesne’s customers participating in the Duquesne Purchase of Receiva</w:t>
      </w:r>
      <w:r w:rsidR="00C52F00">
        <w:rPr>
          <w:sz w:val="26"/>
          <w:szCs w:val="26"/>
        </w:rPr>
        <w:t xml:space="preserve">bles (POR) </w:t>
      </w:r>
      <w:r w:rsidR="007D04E0">
        <w:rPr>
          <w:sz w:val="26"/>
          <w:szCs w:val="26"/>
        </w:rPr>
        <w:t>program</w:t>
      </w:r>
      <w:r w:rsidR="00C52F00">
        <w:rPr>
          <w:sz w:val="26"/>
          <w:szCs w:val="26"/>
        </w:rPr>
        <w:t xml:space="preserve"> for so long</w:t>
      </w:r>
      <w:r w:rsidR="001D6D97">
        <w:rPr>
          <w:sz w:val="26"/>
          <w:szCs w:val="26"/>
        </w:rPr>
        <w:t xml:space="preserve"> as Duquesne continues to offer such a POR program.  </w:t>
      </w:r>
      <w:r w:rsidR="00C52F00">
        <w:rPr>
          <w:sz w:val="26"/>
          <w:szCs w:val="26"/>
        </w:rPr>
        <w:t>A copy of this petition was serve</w:t>
      </w:r>
      <w:r w:rsidR="00EC6605">
        <w:rPr>
          <w:sz w:val="26"/>
          <w:szCs w:val="26"/>
        </w:rPr>
        <w:t>d upon</w:t>
      </w:r>
      <w:r w:rsidR="00C52F00">
        <w:rPr>
          <w:sz w:val="26"/>
          <w:szCs w:val="26"/>
        </w:rPr>
        <w:t xml:space="preserve"> t</w:t>
      </w:r>
      <w:r w:rsidR="007F3763">
        <w:rPr>
          <w:sz w:val="26"/>
          <w:szCs w:val="26"/>
        </w:rPr>
        <w:t>he Office of Consumer Advocate (OCA), the Office of Trial Staff (OTS)</w:t>
      </w:r>
      <w:r w:rsidR="00696B38">
        <w:rPr>
          <w:sz w:val="26"/>
          <w:szCs w:val="26"/>
        </w:rPr>
        <w:t>,</w:t>
      </w:r>
      <w:r w:rsidR="007F3763">
        <w:rPr>
          <w:sz w:val="26"/>
          <w:szCs w:val="26"/>
        </w:rPr>
        <w:t xml:space="preserve"> and the Office of Small Business A</w:t>
      </w:r>
      <w:r w:rsidR="00C52F00">
        <w:rPr>
          <w:sz w:val="26"/>
          <w:szCs w:val="26"/>
        </w:rPr>
        <w:t>dvocate (OSBA)</w:t>
      </w:r>
      <w:r w:rsidR="001D6D97">
        <w:rPr>
          <w:sz w:val="26"/>
          <w:szCs w:val="26"/>
        </w:rPr>
        <w:t>.</w:t>
      </w:r>
      <w:r w:rsidR="00C52F00">
        <w:rPr>
          <w:sz w:val="26"/>
          <w:szCs w:val="26"/>
        </w:rPr>
        <w:t xml:space="preserve">  No comments were filed to the petition.</w:t>
      </w:r>
      <w:r w:rsidR="001D6D97">
        <w:rPr>
          <w:sz w:val="26"/>
          <w:szCs w:val="26"/>
        </w:rPr>
        <w:t xml:space="preserve">  </w:t>
      </w:r>
      <w:r w:rsidR="002931DB">
        <w:rPr>
          <w:sz w:val="26"/>
          <w:szCs w:val="26"/>
        </w:rPr>
        <w:t xml:space="preserve">For the reasons stated below, we will grant an indefinite extension of the waiver so long as the POR program does not change in the future in a way that makes the waiver inappropriate. </w:t>
      </w:r>
      <w:r w:rsidR="001D6D97">
        <w:rPr>
          <w:sz w:val="26"/>
          <w:szCs w:val="26"/>
        </w:rPr>
        <w:t xml:space="preserve">  </w:t>
      </w:r>
    </w:p>
    <w:p w:rsidR="00931949" w:rsidRDefault="00931949" w:rsidP="001D6D97">
      <w:pPr>
        <w:pStyle w:val="p3"/>
        <w:tabs>
          <w:tab w:val="clear" w:pos="204"/>
        </w:tabs>
        <w:spacing w:line="360" w:lineRule="auto"/>
        <w:rPr>
          <w:b/>
          <w:sz w:val="26"/>
          <w:szCs w:val="26"/>
        </w:rPr>
      </w:pPr>
    </w:p>
    <w:p w:rsidR="001D6D97" w:rsidRPr="008E22BF" w:rsidRDefault="008E22BF" w:rsidP="00931949">
      <w:pPr>
        <w:pStyle w:val="p3"/>
        <w:tabs>
          <w:tab w:val="clear" w:pos="204"/>
        </w:tabs>
        <w:spacing w:line="480" w:lineRule="auto"/>
        <w:rPr>
          <w:sz w:val="26"/>
          <w:szCs w:val="26"/>
        </w:rPr>
      </w:pPr>
      <w:r>
        <w:rPr>
          <w:b/>
          <w:sz w:val="26"/>
          <w:szCs w:val="26"/>
        </w:rPr>
        <w:t>BACKGROUND</w:t>
      </w:r>
    </w:p>
    <w:p w:rsidR="001D6D97" w:rsidRDefault="001D6D97" w:rsidP="00931949">
      <w:pPr>
        <w:pStyle w:val="p3"/>
        <w:tabs>
          <w:tab w:val="clear" w:pos="204"/>
        </w:tabs>
        <w:spacing w:line="360" w:lineRule="auto"/>
        <w:ind w:firstLine="720"/>
        <w:rPr>
          <w:sz w:val="26"/>
          <w:szCs w:val="26"/>
        </w:rPr>
      </w:pPr>
      <w:r>
        <w:rPr>
          <w:sz w:val="26"/>
          <w:szCs w:val="26"/>
        </w:rPr>
        <w:t>On January 25, 2007, Duquesne petitioned</w:t>
      </w:r>
      <w:r w:rsidR="002931DB">
        <w:rPr>
          <w:sz w:val="26"/>
          <w:szCs w:val="26"/>
        </w:rPr>
        <w:t xml:space="preserve"> </w:t>
      </w:r>
      <w:r>
        <w:rPr>
          <w:sz w:val="26"/>
          <w:szCs w:val="26"/>
        </w:rPr>
        <w:t>for appr</w:t>
      </w:r>
      <w:r w:rsidR="002931DB">
        <w:rPr>
          <w:sz w:val="26"/>
          <w:szCs w:val="26"/>
        </w:rPr>
        <w:t>oval of a three-year pilot POR p</w:t>
      </w:r>
      <w:r>
        <w:rPr>
          <w:sz w:val="26"/>
          <w:szCs w:val="26"/>
        </w:rPr>
        <w:t xml:space="preserve">rogram as part of its </w:t>
      </w:r>
      <w:r w:rsidR="00653E88">
        <w:rPr>
          <w:sz w:val="26"/>
          <w:szCs w:val="26"/>
        </w:rPr>
        <w:t>Provider of Last Resort IV (</w:t>
      </w:r>
      <w:r>
        <w:rPr>
          <w:sz w:val="26"/>
          <w:szCs w:val="26"/>
        </w:rPr>
        <w:t>POLR IV</w:t>
      </w:r>
      <w:r w:rsidR="00653E88">
        <w:rPr>
          <w:sz w:val="26"/>
          <w:szCs w:val="26"/>
        </w:rPr>
        <w:t>)</w:t>
      </w:r>
      <w:r>
        <w:rPr>
          <w:sz w:val="26"/>
          <w:szCs w:val="26"/>
        </w:rPr>
        <w:t xml:space="preserve"> case</w:t>
      </w:r>
      <w:r w:rsidR="00EC6605">
        <w:rPr>
          <w:sz w:val="26"/>
          <w:szCs w:val="26"/>
        </w:rPr>
        <w:t>,</w:t>
      </w:r>
      <w:r w:rsidR="002931DB">
        <w:rPr>
          <w:sz w:val="26"/>
          <w:szCs w:val="26"/>
        </w:rPr>
        <w:t xml:space="preserve"> at Docket No. </w:t>
      </w:r>
      <w:r w:rsidR="00696B38">
        <w:rPr>
          <w:sz w:val="26"/>
          <w:szCs w:val="26"/>
        </w:rPr>
        <w:t xml:space="preserve">           </w:t>
      </w:r>
      <w:proofErr w:type="gramStart"/>
      <w:r w:rsidR="002931DB">
        <w:rPr>
          <w:sz w:val="26"/>
          <w:szCs w:val="26"/>
        </w:rPr>
        <w:lastRenderedPageBreak/>
        <w:t>P-00072247</w:t>
      </w:r>
      <w:r>
        <w:rPr>
          <w:sz w:val="26"/>
          <w:szCs w:val="26"/>
        </w:rPr>
        <w:t>, for those Electric Generation Suppliers (EGS)</w:t>
      </w:r>
      <w:r w:rsidRPr="001D6D97">
        <w:rPr>
          <w:sz w:val="26"/>
          <w:szCs w:val="26"/>
        </w:rPr>
        <w:t xml:space="preserve"> </w:t>
      </w:r>
      <w:r>
        <w:rPr>
          <w:sz w:val="26"/>
          <w:szCs w:val="26"/>
        </w:rPr>
        <w:t>wanting to partici</w:t>
      </w:r>
      <w:r w:rsidR="003B64B7">
        <w:rPr>
          <w:sz w:val="26"/>
          <w:szCs w:val="26"/>
        </w:rPr>
        <w:t>pate in the POR p</w:t>
      </w:r>
      <w:r w:rsidR="00AA2F16">
        <w:rPr>
          <w:sz w:val="26"/>
          <w:szCs w:val="26"/>
        </w:rPr>
        <w:t>rogram</w:t>
      </w:r>
      <w:r>
        <w:rPr>
          <w:sz w:val="26"/>
          <w:szCs w:val="26"/>
        </w:rPr>
        <w:t>.</w:t>
      </w:r>
      <w:proofErr w:type="gramEnd"/>
      <w:r>
        <w:rPr>
          <w:sz w:val="26"/>
          <w:szCs w:val="26"/>
        </w:rPr>
        <w:t xml:space="preserve">  Under the POR </w:t>
      </w:r>
      <w:r w:rsidR="003B64B7">
        <w:rPr>
          <w:sz w:val="26"/>
          <w:szCs w:val="26"/>
        </w:rPr>
        <w:t>p</w:t>
      </w:r>
      <w:r w:rsidR="00AA2F16">
        <w:rPr>
          <w:sz w:val="26"/>
          <w:szCs w:val="26"/>
        </w:rPr>
        <w:t>rogram, Duquesne purchases</w:t>
      </w:r>
      <w:r>
        <w:rPr>
          <w:sz w:val="26"/>
          <w:szCs w:val="26"/>
        </w:rPr>
        <w:t xml:space="preserve"> the account receivables of residential, small, and medium sized commercial and industrial served by EGSs in the Duquesne territory</w:t>
      </w:r>
      <w:r w:rsidR="003B64B7">
        <w:rPr>
          <w:sz w:val="26"/>
          <w:szCs w:val="26"/>
        </w:rPr>
        <w:t xml:space="preserve"> and becomes the owner of the debt</w:t>
      </w:r>
      <w:r>
        <w:rPr>
          <w:sz w:val="26"/>
          <w:szCs w:val="26"/>
        </w:rPr>
        <w:t>.</w:t>
      </w:r>
      <w:r w:rsidR="003B64B7">
        <w:rPr>
          <w:sz w:val="26"/>
          <w:szCs w:val="26"/>
        </w:rPr>
        <w:t xml:space="preserve">  According to Duquesne, the benefit to the EGS is that it removes the collection obligation, reduces the amount of risk from participating EGSs, and removes the work of credit evaluating from the EGS.  </w:t>
      </w:r>
      <w:proofErr w:type="gramStart"/>
      <w:r w:rsidR="003B64B7">
        <w:rPr>
          <w:sz w:val="26"/>
          <w:szCs w:val="26"/>
        </w:rPr>
        <w:t>Duquesne Petition at 2.</w:t>
      </w:r>
      <w:proofErr w:type="gramEnd"/>
      <w:r w:rsidR="003B64B7">
        <w:rPr>
          <w:sz w:val="26"/>
          <w:szCs w:val="26"/>
        </w:rPr>
        <w:t xml:space="preserve"> </w:t>
      </w:r>
      <w:r>
        <w:rPr>
          <w:sz w:val="26"/>
          <w:szCs w:val="26"/>
        </w:rPr>
        <w:t xml:space="preserve"> </w:t>
      </w:r>
    </w:p>
    <w:p w:rsidR="001D6D97" w:rsidRDefault="001D6D97" w:rsidP="001D6D97">
      <w:pPr>
        <w:pStyle w:val="p3"/>
        <w:tabs>
          <w:tab w:val="clear" w:pos="204"/>
        </w:tabs>
        <w:spacing w:line="360" w:lineRule="auto"/>
        <w:rPr>
          <w:sz w:val="26"/>
          <w:szCs w:val="26"/>
        </w:rPr>
      </w:pPr>
    </w:p>
    <w:p w:rsidR="001D6D97" w:rsidRDefault="00A967C0" w:rsidP="001D6D97">
      <w:pPr>
        <w:pStyle w:val="p3"/>
        <w:tabs>
          <w:tab w:val="clear" w:pos="204"/>
        </w:tabs>
        <w:spacing w:line="360" w:lineRule="auto"/>
        <w:rPr>
          <w:sz w:val="26"/>
          <w:szCs w:val="26"/>
        </w:rPr>
      </w:pPr>
      <w:r>
        <w:rPr>
          <w:sz w:val="26"/>
          <w:szCs w:val="26"/>
        </w:rPr>
        <w:tab/>
      </w:r>
      <w:r w:rsidR="001D6D97">
        <w:rPr>
          <w:sz w:val="26"/>
          <w:szCs w:val="26"/>
        </w:rPr>
        <w:t>On June 22</w:t>
      </w:r>
      <w:r w:rsidR="003B64B7">
        <w:rPr>
          <w:sz w:val="26"/>
          <w:szCs w:val="26"/>
        </w:rPr>
        <w:t xml:space="preserve">, 2007, </w:t>
      </w:r>
      <w:r w:rsidR="001D6D97">
        <w:rPr>
          <w:sz w:val="26"/>
          <w:szCs w:val="26"/>
        </w:rPr>
        <w:t>a Settlement Stipulation, which included a POR Agreement signed by joint petitioners and interested parties</w:t>
      </w:r>
      <w:r w:rsidR="008E5706">
        <w:rPr>
          <w:sz w:val="26"/>
          <w:szCs w:val="26"/>
        </w:rPr>
        <w:t>,</w:t>
      </w:r>
      <w:r w:rsidR="001D6D97">
        <w:rPr>
          <w:sz w:val="26"/>
          <w:szCs w:val="26"/>
        </w:rPr>
        <w:t xml:space="preserve"> </w:t>
      </w:r>
      <w:r w:rsidR="003B64B7">
        <w:rPr>
          <w:sz w:val="26"/>
          <w:szCs w:val="26"/>
        </w:rPr>
        <w:t xml:space="preserve">was </w:t>
      </w:r>
      <w:r w:rsidR="001D6D97">
        <w:rPr>
          <w:sz w:val="26"/>
          <w:szCs w:val="26"/>
        </w:rPr>
        <w:t>filed in Duqu</w:t>
      </w:r>
      <w:r w:rsidR="003B64B7">
        <w:rPr>
          <w:sz w:val="26"/>
          <w:szCs w:val="26"/>
        </w:rPr>
        <w:t xml:space="preserve">esne’s </w:t>
      </w:r>
      <w:r w:rsidR="002B0ED2">
        <w:rPr>
          <w:sz w:val="26"/>
          <w:szCs w:val="26"/>
        </w:rPr>
        <w:t>POLR IV and approved by the Commission.</w:t>
      </w:r>
      <w:r w:rsidR="001D6D97">
        <w:rPr>
          <w:sz w:val="26"/>
          <w:szCs w:val="26"/>
        </w:rPr>
        <w:t xml:space="preserve">  </w:t>
      </w:r>
    </w:p>
    <w:p w:rsidR="001D6D97" w:rsidRDefault="001D6D97" w:rsidP="001D6D97">
      <w:pPr>
        <w:pStyle w:val="p3"/>
        <w:tabs>
          <w:tab w:val="clear" w:pos="204"/>
        </w:tabs>
        <w:spacing w:line="360" w:lineRule="auto"/>
        <w:rPr>
          <w:sz w:val="26"/>
          <w:szCs w:val="26"/>
        </w:rPr>
      </w:pPr>
    </w:p>
    <w:p w:rsidR="001D6D97" w:rsidRDefault="00A967C0" w:rsidP="001D6D97">
      <w:pPr>
        <w:pStyle w:val="p3"/>
        <w:tabs>
          <w:tab w:val="clear" w:pos="204"/>
        </w:tabs>
        <w:spacing w:line="360" w:lineRule="auto"/>
        <w:rPr>
          <w:sz w:val="26"/>
          <w:szCs w:val="26"/>
        </w:rPr>
      </w:pPr>
      <w:r>
        <w:rPr>
          <w:sz w:val="26"/>
          <w:szCs w:val="26"/>
        </w:rPr>
        <w:tab/>
      </w:r>
      <w:r w:rsidR="001D6D97">
        <w:rPr>
          <w:sz w:val="26"/>
          <w:szCs w:val="26"/>
        </w:rPr>
        <w:t xml:space="preserve">By Secretarial Letter dated December 28, 2007, the Commission reopened the POLR IV case in order to determine two issues: (1) whether general waiver language that appeared in a portion of </w:t>
      </w:r>
      <w:r w:rsidR="00696B38">
        <w:rPr>
          <w:sz w:val="26"/>
          <w:szCs w:val="26"/>
        </w:rPr>
        <w:t xml:space="preserve">testimony </w:t>
      </w:r>
      <w:r w:rsidR="001D6D97">
        <w:rPr>
          <w:sz w:val="26"/>
          <w:szCs w:val="26"/>
        </w:rPr>
        <w:t>appended to the case extended to “orders;” and (2) if the Company is obligated to comply with the Commission’s Order entered March 19, 1999</w:t>
      </w:r>
      <w:r w:rsidR="002B0ED2">
        <w:rPr>
          <w:sz w:val="26"/>
          <w:szCs w:val="26"/>
        </w:rPr>
        <w:t>,</w:t>
      </w:r>
      <w:r w:rsidR="001D6D97">
        <w:rPr>
          <w:sz w:val="26"/>
          <w:szCs w:val="26"/>
        </w:rPr>
        <w:t xml:space="preserve"> at Docket No. </w:t>
      </w:r>
      <w:proofErr w:type="gramStart"/>
      <w:r w:rsidR="001D6D97">
        <w:rPr>
          <w:sz w:val="26"/>
          <w:szCs w:val="26"/>
        </w:rPr>
        <w:t>M-00960890F0015 regarding Electronic Data Interchange (EDI) obligations.</w:t>
      </w:r>
      <w:proofErr w:type="gramEnd"/>
      <w:r w:rsidR="001D6D97">
        <w:rPr>
          <w:sz w:val="26"/>
          <w:szCs w:val="26"/>
        </w:rPr>
        <w:t xml:space="preserve">  </w:t>
      </w:r>
    </w:p>
    <w:p w:rsidR="001D6D97" w:rsidRDefault="001D6D97" w:rsidP="001D6D97">
      <w:pPr>
        <w:pStyle w:val="p3"/>
        <w:tabs>
          <w:tab w:val="clear" w:pos="204"/>
        </w:tabs>
        <w:spacing w:line="360" w:lineRule="auto"/>
        <w:rPr>
          <w:sz w:val="26"/>
          <w:szCs w:val="26"/>
        </w:rPr>
      </w:pPr>
    </w:p>
    <w:p w:rsidR="001D6D97" w:rsidRDefault="00A967C0" w:rsidP="001D6D97">
      <w:pPr>
        <w:pStyle w:val="p3"/>
        <w:tabs>
          <w:tab w:val="clear" w:pos="204"/>
        </w:tabs>
        <w:spacing w:line="360" w:lineRule="auto"/>
        <w:rPr>
          <w:sz w:val="26"/>
          <w:szCs w:val="26"/>
        </w:rPr>
      </w:pPr>
      <w:r>
        <w:rPr>
          <w:sz w:val="26"/>
          <w:szCs w:val="26"/>
        </w:rPr>
        <w:tab/>
      </w:r>
      <w:r w:rsidR="001D6D97">
        <w:rPr>
          <w:sz w:val="26"/>
          <w:szCs w:val="26"/>
        </w:rPr>
        <w:t>By Order entered June 26, 2008 (EDI 568 Waiver Order), on the above</w:t>
      </w:r>
      <w:r w:rsidR="00AA2F16">
        <w:rPr>
          <w:sz w:val="26"/>
          <w:szCs w:val="26"/>
        </w:rPr>
        <w:t xml:space="preserve"> two</w:t>
      </w:r>
      <w:r w:rsidR="001D6D97">
        <w:rPr>
          <w:sz w:val="26"/>
          <w:szCs w:val="26"/>
        </w:rPr>
        <w:t xml:space="preserve"> issues, the Commission concluded that (1) the general waiver language alleged by the Company does not apply to Commission orders</w:t>
      </w:r>
      <w:r w:rsidR="00970D12">
        <w:rPr>
          <w:sz w:val="26"/>
          <w:szCs w:val="26"/>
        </w:rPr>
        <w:t>; and (2) the requirement to use</w:t>
      </w:r>
      <w:r w:rsidR="001D6D97">
        <w:rPr>
          <w:sz w:val="26"/>
          <w:szCs w:val="26"/>
        </w:rPr>
        <w:t xml:space="preserve"> the EDI 568 collection</w:t>
      </w:r>
      <w:r w:rsidR="0027595A">
        <w:rPr>
          <w:sz w:val="26"/>
          <w:szCs w:val="26"/>
        </w:rPr>
        <w:t>s transaction for Duquesne</w:t>
      </w:r>
      <w:r w:rsidR="002B0ED2">
        <w:rPr>
          <w:sz w:val="26"/>
          <w:szCs w:val="26"/>
        </w:rPr>
        <w:t>’s POR program is</w:t>
      </w:r>
      <w:r w:rsidR="001D6D97">
        <w:rPr>
          <w:sz w:val="26"/>
          <w:szCs w:val="26"/>
        </w:rPr>
        <w:t xml:space="preserve"> waived.  The Commission granted a temporary waiver </w:t>
      </w:r>
      <w:r w:rsidR="001D6D97">
        <w:rPr>
          <w:i/>
          <w:sz w:val="26"/>
          <w:szCs w:val="26"/>
        </w:rPr>
        <w:t>ex post facto</w:t>
      </w:r>
      <w:r w:rsidR="001D6D97">
        <w:rPr>
          <w:sz w:val="26"/>
          <w:szCs w:val="26"/>
        </w:rPr>
        <w:t xml:space="preserve"> of the EDI 568 obliga</w:t>
      </w:r>
      <w:r w:rsidR="002B0ED2">
        <w:rPr>
          <w:sz w:val="26"/>
          <w:szCs w:val="26"/>
        </w:rPr>
        <w:t xml:space="preserve">tion for POR customers and </w:t>
      </w:r>
      <w:r w:rsidR="001D6D97">
        <w:rPr>
          <w:sz w:val="26"/>
          <w:szCs w:val="26"/>
        </w:rPr>
        <w:t xml:space="preserve">directed Duquesne to initiate discussion with the Electronic Data Exchange Working Group (EDEWG) for reaching an acceptable solution on the timing process for the EDI 814 Advance Notice of Intent to Drop and prepare an EDI change control request, as appropriate. </w:t>
      </w:r>
    </w:p>
    <w:p w:rsidR="001D6D97" w:rsidRDefault="001D6D97" w:rsidP="001D6D97">
      <w:pPr>
        <w:pStyle w:val="p3"/>
        <w:tabs>
          <w:tab w:val="clear" w:pos="204"/>
        </w:tabs>
        <w:spacing w:line="360" w:lineRule="auto"/>
        <w:rPr>
          <w:sz w:val="26"/>
          <w:szCs w:val="26"/>
        </w:rPr>
      </w:pPr>
    </w:p>
    <w:p w:rsidR="00712CDC" w:rsidRDefault="00A967C0" w:rsidP="001D6D97">
      <w:pPr>
        <w:pStyle w:val="p3"/>
        <w:tabs>
          <w:tab w:val="clear" w:pos="204"/>
        </w:tabs>
        <w:spacing w:line="360" w:lineRule="auto"/>
        <w:rPr>
          <w:sz w:val="26"/>
          <w:szCs w:val="26"/>
        </w:rPr>
      </w:pPr>
      <w:r>
        <w:rPr>
          <w:sz w:val="26"/>
          <w:szCs w:val="26"/>
        </w:rPr>
        <w:lastRenderedPageBreak/>
        <w:tab/>
      </w:r>
      <w:r w:rsidR="002B0ED2">
        <w:rPr>
          <w:sz w:val="26"/>
          <w:szCs w:val="26"/>
        </w:rPr>
        <w:t>Subsequently by Order entered</w:t>
      </w:r>
      <w:r w:rsidR="001D6D97">
        <w:rPr>
          <w:sz w:val="26"/>
          <w:szCs w:val="26"/>
        </w:rPr>
        <w:t xml:space="preserve"> June 21, 2010</w:t>
      </w:r>
      <w:r w:rsidR="002B0ED2">
        <w:rPr>
          <w:sz w:val="26"/>
          <w:szCs w:val="26"/>
        </w:rPr>
        <w:t>,</w:t>
      </w:r>
      <w:r w:rsidR="001D6D97">
        <w:rPr>
          <w:sz w:val="26"/>
          <w:szCs w:val="26"/>
        </w:rPr>
        <w:t xml:space="preserve"> at Docket No. P-2009-2135500</w:t>
      </w:r>
      <w:r w:rsidR="002B0ED2">
        <w:rPr>
          <w:sz w:val="26"/>
          <w:szCs w:val="26"/>
        </w:rPr>
        <w:t>, the Commission</w:t>
      </w:r>
      <w:r w:rsidR="001D6D97">
        <w:rPr>
          <w:sz w:val="26"/>
          <w:szCs w:val="26"/>
        </w:rPr>
        <w:t xml:space="preserve"> approved</w:t>
      </w:r>
      <w:r w:rsidR="00696B38">
        <w:rPr>
          <w:sz w:val="26"/>
          <w:szCs w:val="26"/>
        </w:rPr>
        <w:t>,</w:t>
      </w:r>
      <w:r w:rsidR="001D6D97">
        <w:rPr>
          <w:sz w:val="26"/>
          <w:szCs w:val="26"/>
        </w:rPr>
        <w:t xml:space="preserve"> </w:t>
      </w:r>
      <w:r w:rsidR="001D6D97">
        <w:rPr>
          <w:i/>
          <w:sz w:val="26"/>
          <w:szCs w:val="26"/>
        </w:rPr>
        <w:t>inter alia</w:t>
      </w:r>
      <w:r w:rsidR="00696B38">
        <w:rPr>
          <w:sz w:val="26"/>
          <w:szCs w:val="26"/>
        </w:rPr>
        <w:t xml:space="preserve">, </w:t>
      </w:r>
      <w:r w:rsidR="001D6D97">
        <w:rPr>
          <w:sz w:val="26"/>
          <w:szCs w:val="26"/>
        </w:rPr>
        <w:t>Duquesne’s proposed continuation of the POR program for</w:t>
      </w:r>
      <w:r w:rsidR="001D6D97" w:rsidRPr="001D6D97">
        <w:rPr>
          <w:sz w:val="26"/>
          <w:szCs w:val="26"/>
        </w:rPr>
        <w:t xml:space="preserve"> </w:t>
      </w:r>
      <w:r w:rsidR="001D6D97">
        <w:rPr>
          <w:sz w:val="26"/>
          <w:szCs w:val="26"/>
        </w:rPr>
        <w:t>th</w:t>
      </w:r>
      <w:r w:rsidR="002B0ED2">
        <w:rPr>
          <w:sz w:val="26"/>
          <w:szCs w:val="26"/>
        </w:rPr>
        <w:t xml:space="preserve">e duration of POLR V, which was set to begin January 1, 2011.  The POR program in POLR </w:t>
      </w:r>
      <w:r w:rsidR="001D6D97">
        <w:rPr>
          <w:sz w:val="26"/>
          <w:szCs w:val="26"/>
        </w:rPr>
        <w:t>V is</w:t>
      </w:r>
      <w:r w:rsidR="004F721A">
        <w:rPr>
          <w:sz w:val="26"/>
          <w:szCs w:val="26"/>
        </w:rPr>
        <w:t xml:space="preserve"> intended to be</w:t>
      </w:r>
      <w:r w:rsidR="001D6D97">
        <w:rPr>
          <w:sz w:val="26"/>
          <w:szCs w:val="26"/>
        </w:rPr>
        <w:t xml:space="preserve"> a permanent program for at</w:t>
      </w:r>
      <w:r w:rsidR="002B0ED2">
        <w:rPr>
          <w:sz w:val="26"/>
          <w:szCs w:val="26"/>
        </w:rPr>
        <w:t xml:space="preserve"> least the period of time POLR </w:t>
      </w:r>
      <w:r w:rsidR="001D6D97">
        <w:rPr>
          <w:sz w:val="26"/>
          <w:szCs w:val="26"/>
        </w:rPr>
        <w:t>V is in e</w:t>
      </w:r>
      <w:r w:rsidR="007F3763">
        <w:rPr>
          <w:sz w:val="26"/>
          <w:szCs w:val="26"/>
        </w:rPr>
        <w:t>ffect</w:t>
      </w:r>
      <w:r w:rsidR="004F721A">
        <w:rPr>
          <w:sz w:val="26"/>
          <w:szCs w:val="26"/>
        </w:rPr>
        <w:t>, i.e., through May 31, 2013</w:t>
      </w:r>
      <w:r w:rsidR="007F3763">
        <w:rPr>
          <w:sz w:val="26"/>
          <w:szCs w:val="26"/>
        </w:rPr>
        <w:t xml:space="preserve">.  </w:t>
      </w:r>
      <w:r w:rsidR="004F721A">
        <w:rPr>
          <w:sz w:val="26"/>
          <w:szCs w:val="26"/>
        </w:rPr>
        <w:t>Duquesne states that it does not know at this time</w:t>
      </w:r>
      <w:r w:rsidR="001D6D97">
        <w:rPr>
          <w:sz w:val="26"/>
          <w:szCs w:val="26"/>
        </w:rPr>
        <w:t xml:space="preserve"> whether the POR program will continue after May 31, 2013.</w:t>
      </w:r>
      <w:r w:rsidR="00000E90">
        <w:rPr>
          <w:sz w:val="26"/>
          <w:szCs w:val="26"/>
        </w:rPr>
        <w:t xml:space="preserve">  </w:t>
      </w:r>
      <w:proofErr w:type="gramStart"/>
      <w:r w:rsidR="00000E90">
        <w:rPr>
          <w:sz w:val="26"/>
          <w:szCs w:val="26"/>
        </w:rPr>
        <w:t>Duquesne Petition at 3.</w:t>
      </w:r>
      <w:proofErr w:type="gramEnd"/>
      <w:r w:rsidR="00712CDC" w:rsidRPr="00712CDC">
        <w:rPr>
          <w:sz w:val="26"/>
          <w:szCs w:val="26"/>
        </w:rPr>
        <w:t xml:space="preserve"> </w:t>
      </w:r>
    </w:p>
    <w:p w:rsidR="00712CDC" w:rsidRDefault="00712CDC" w:rsidP="001D6D97">
      <w:pPr>
        <w:pStyle w:val="p3"/>
        <w:tabs>
          <w:tab w:val="clear" w:pos="204"/>
        </w:tabs>
        <w:spacing w:line="360" w:lineRule="auto"/>
        <w:rPr>
          <w:sz w:val="26"/>
          <w:szCs w:val="26"/>
        </w:rPr>
      </w:pPr>
    </w:p>
    <w:p w:rsidR="001D6D97" w:rsidRDefault="00000E90" w:rsidP="004F721A">
      <w:pPr>
        <w:pStyle w:val="p3"/>
        <w:tabs>
          <w:tab w:val="clear" w:pos="204"/>
        </w:tabs>
        <w:spacing w:line="360" w:lineRule="auto"/>
        <w:ind w:firstLine="720"/>
        <w:rPr>
          <w:sz w:val="26"/>
          <w:szCs w:val="26"/>
        </w:rPr>
      </w:pPr>
      <w:r>
        <w:rPr>
          <w:sz w:val="26"/>
          <w:szCs w:val="26"/>
        </w:rPr>
        <w:t>By its</w:t>
      </w:r>
      <w:r w:rsidR="004F721A">
        <w:rPr>
          <w:sz w:val="26"/>
          <w:szCs w:val="26"/>
        </w:rPr>
        <w:t xml:space="preserve"> petition, </w:t>
      </w:r>
      <w:r w:rsidR="00712CDC">
        <w:rPr>
          <w:sz w:val="26"/>
          <w:szCs w:val="26"/>
        </w:rPr>
        <w:t xml:space="preserve">Duquesne requests a review of the temporary waiver granted three years </w:t>
      </w:r>
      <w:r w:rsidR="004F721A">
        <w:rPr>
          <w:sz w:val="26"/>
          <w:szCs w:val="26"/>
        </w:rPr>
        <w:t>ago.  Since the POR p</w:t>
      </w:r>
      <w:r w:rsidR="00712CDC">
        <w:rPr>
          <w:sz w:val="26"/>
          <w:szCs w:val="26"/>
        </w:rPr>
        <w:t>rogram is continu</w:t>
      </w:r>
      <w:r w:rsidR="004F721A">
        <w:rPr>
          <w:sz w:val="26"/>
          <w:szCs w:val="26"/>
        </w:rPr>
        <w:t>ing at least through May 31, 201</w:t>
      </w:r>
      <w:r w:rsidR="00712CDC">
        <w:rPr>
          <w:sz w:val="26"/>
          <w:szCs w:val="26"/>
        </w:rPr>
        <w:t>3</w:t>
      </w:r>
      <w:r w:rsidR="004F721A">
        <w:rPr>
          <w:sz w:val="26"/>
          <w:szCs w:val="26"/>
        </w:rPr>
        <w:t>,</w:t>
      </w:r>
      <w:r w:rsidR="00712CDC">
        <w:rPr>
          <w:sz w:val="26"/>
          <w:szCs w:val="26"/>
        </w:rPr>
        <w:t xml:space="preserve"> and perhaps thereafter, Duquesne requests a permane</w:t>
      </w:r>
      <w:r w:rsidR="004F721A">
        <w:rPr>
          <w:sz w:val="26"/>
          <w:szCs w:val="26"/>
        </w:rPr>
        <w:t>nt waiver for as long as a POR p</w:t>
      </w:r>
      <w:r w:rsidR="00ED693B">
        <w:rPr>
          <w:sz w:val="26"/>
          <w:szCs w:val="26"/>
        </w:rPr>
        <w:t xml:space="preserve">rogram is in place.  </w:t>
      </w:r>
      <w:r w:rsidR="004F721A">
        <w:rPr>
          <w:sz w:val="26"/>
          <w:szCs w:val="26"/>
        </w:rPr>
        <w:t xml:space="preserve">The waiver would terminate when the POR program terminates.  </w:t>
      </w:r>
      <w:r w:rsidR="00ED693B">
        <w:rPr>
          <w:sz w:val="26"/>
          <w:szCs w:val="26"/>
        </w:rPr>
        <w:t xml:space="preserve">Alternatively, </w:t>
      </w:r>
      <w:r w:rsidR="004F721A">
        <w:rPr>
          <w:sz w:val="26"/>
          <w:szCs w:val="26"/>
        </w:rPr>
        <w:t xml:space="preserve">Duquesne requests that </w:t>
      </w:r>
      <w:r w:rsidR="00ED693B">
        <w:rPr>
          <w:sz w:val="26"/>
          <w:szCs w:val="26"/>
        </w:rPr>
        <w:t xml:space="preserve">if a permanent waiver </w:t>
      </w:r>
      <w:r w:rsidR="004F721A">
        <w:rPr>
          <w:sz w:val="26"/>
          <w:szCs w:val="26"/>
        </w:rPr>
        <w:t xml:space="preserve">is not </w:t>
      </w:r>
      <w:r w:rsidR="00ED693B">
        <w:rPr>
          <w:sz w:val="26"/>
          <w:szCs w:val="26"/>
        </w:rPr>
        <w:t xml:space="preserve">granted, a temporary waiver should be </w:t>
      </w:r>
      <w:r w:rsidR="004F721A">
        <w:rPr>
          <w:sz w:val="26"/>
          <w:szCs w:val="26"/>
        </w:rPr>
        <w:t>granted for so long as the POR p</w:t>
      </w:r>
      <w:r w:rsidR="00ED693B">
        <w:rPr>
          <w:sz w:val="26"/>
          <w:szCs w:val="26"/>
        </w:rPr>
        <w:t xml:space="preserve">rogram continues. </w:t>
      </w:r>
    </w:p>
    <w:p w:rsidR="001D6D97" w:rsidRDefault="001D6D97" w:rsidP="001D6D97">
      <w:pPr>
        <w:pStyle w:val="p3"/>
        <w:tabs>
          <w:tab w:val="clear" w:pos="204"/>
        </w:tabs>
        <w:spacing w:line="360" w:lineRule="auto"/>
        <w:rPr>
          <w:b/>
          <w:sz w:val="26"/>
          <w:szCs w:val="26"/>
          <w:u w:val="single"/>
        </w:rPr>
      </w:pPr>
    </w:p>
    <w:p w:rsidR="001D6D97" w:rsidRPr="008E22BF" w:rsidRDefault="008E22BF" w:rsidP="00F50888">
      <w:pPr>
        <w:pStyle w:val="p3"/>
        <w:tabs>
          <w:tab w:val="clear" w:pos="204"/>
        </w:tabs>
        <w:spacing w:line="480" w:lineRule="auto"/>
        <w:rPr>
          <w:b/>
          <w:sz w:val="26"/>
          <w:szCs w:val="26"/>
        </w:rPr>
      </w:pPr>
      <w:r>
        <w:rPr>
          <w:b/>
          <w:sz w:val="26"/>
          <w:szCs w:val="26"/>
        </w:rPr>
        <w:t>DISCUSSION</w:t>
      </w:r>
    </w:p>
    <w:p w:rsidR="001D6D97" w:rsidRDefault="00A967C0" w:rsidP="001D6D97">
      <w:pPr>
        <w:pStyle w:val="p3"/>
        <w:tabs>
          <w:tab w:val="clear" w:pos="204"/>
        </w:tabs>
        <w:spacing w:line="360" w:lineRule="auto"/>
        <w:rPr>
          <w:sz w:val="26"/>
          <w:szCs w:val="26"/>
        </w:rPr>
      </w:pPr>
      <w:r>
        <w:rPr>
          <w:sz w:val="26"/>
          <w:szCs w:val="26"/>
        </w:rPr>
        <w:tab/>
      </w:r>
      <w:r w:rsidR="007F3763">
        <w:rPr>
          <w:sz w:val="26"/>
          <w:szCs w:val="26"/>
        </w:rPr>
        <w:t>Duquesne initiated discussions with the EDEWG pursuant to the EDI 568 Waiver Order for reaching an acceptable solution to all parties on the timing process for the EDI 814 Advance Notice of Intent to Drop and prepared an EDI change control request, as appropriate in the summer of 2008 during several EDEWG meetings.  Because</w:t>
      </w:r>
      <w:r w:rsidR="001D6D97">
        <w:rPr>
          <w:sz w:val="26"/>
          <w:szCs w:val="26"/>
        </w:rPr>
        <w:t xml:space="preserve"> of the discussions, it was determined that EGSs would continue to receive the EDI 814 Notice of Intent to drop 7-10 days prior to the actual drop.  In the EDEWG meetings in the fall of 2008, members voted in favor of that continued practice.  No EGSs expressed disagreement.  In November 2008, EDEWG closed the matter as having been resolved.  </w:t>
      </w:r>
    </w:p>
    <w:p w:rsidR="001D6D97" w:rsidRDefault="001D6D97" w:rsidP="001D6D97">
      <w:pPr>
        <w:pStyle w:val="p3"/>
        <w:tabs>
          <w:tab w:val="clear" w:pos="204"/>
        </w:tabs>
        <w:spacing w:line="360" w:lineRule="auto"/>
        <w:rPr>
          <w:sz w:val="26"/>
          <w:szCs w:val="26"/>
        </w:rPr>
      </w:pPr>
    </w:p>
    <w:p w:rsidR="001D6D97" w:rsidRDefault="00A967C0" w:rsidP="001D6D97">
      <w:pPr>
        <w:pStyle w:val="p3"/>
        <w:tabs>
          <w:tab w:val="clear" w:pos="204"/>
        </w:tabs>
        <w:spacing w:line="360" w:lineRule="auto"/>
        <w:rPr>
          <w:sz w:val="26"/>
          <w:szCs w:val="26"/>
        </w:rPr>
      </w:pPr>
      <w:r>
        <w:rPr>
          <w:sz w:val="26"/>
          <w:szCs w:val="26"/>
        </w:rPr>
        <w:tab/>
      </w:r>
      <w:r w:rsidR="001D6D97" w:rsidRPr="00C433C5">
        <w:rPr>
          <w:sz w:val="26"/>
          <w:szCs w:val="26"/>
        </w:rPr>
        <w:t xml:space="preserve">The </w:t>
      </w:r>
      <w:r w:rsidR="001D6D97" w:rsidRPr="00705125">
        <w:rPr>
          <w:i/>
          <w:sz w:val="26"/>
          <w:szCs w:val="26"/>
        </w:rPr>
        <w:t>Electronic Data Exchange Standards for Electric Deregulation in the Commonwealth of Pennsylvania Revised Plan</w:t>
      </w:r>
      <w:r w:rsidR="001D6D97" w:rsidRPr="00696B38">
        <w:rPr>
          <w:rStyle w:val="FootnoteReference"/>
          <w:sz w:val="26"/>
          <w:szCs w:val="26"/>
        </w:rPr>
        <w:footnoteReference w:id="1"/>
      </w:r>
      <w:r w:rsidR="001D6D97">
        <w:rPr>
          <w:i/>
          <w:sz w:val="26"/>
          <w:szCs w:val="26"/>
        </w:rPr>
        <w:t xml:space="preserve"> </w:t>
      </w:r>
      <w:r w:rsidR="001D6D97">
        <w:rPr>
          <w:sz w:val="26"/>
          <w:szCs w:val="26"/>
        </w:rPr>
        <w:t xml:space="preserve">(Revised Plan) defines the EDI 568 </w:t>
      </w:r>
      <w:r w:rsidR="001D6D97">
        <w:rPr>
          <w:sz w:val="26"/>
          <w:szCs w:val="26"/>
        </w:rPr>
        <w:lastRenderedPageBreak/>
        <w:t>transaction as follows: “This transaction can be used to enable the transmission of a management report to provide the details of payments and collections made against funds obligated on contracts, orders, and other services.” Revised Plan at 13.  The purpose of the EDI 568 transaction is</w:t>
      </w:r>
      <w:r w:rsidR="0027595A">
        <w:rPr>
          <w:sz w:val="26"/>
          <w:szCs w:val="26"/>
        </w:rPr>
        <w:t xml:space="preserve"> for t</w:t>
      </w:r>
      <w:r w:rsidR="001D6D97">
        <w:rPr>
          <w:sz w:val="26"/>
          <w:szCs w:val="26"/>
        </w:rPr>
        <w:t xml:space="preserve">he </w:t>
      </w:r>
      <w:r w:rsidR="0027595A">
        <w:rPr>
          <w:sz w:val="26"/>
          <w:szCs w:val="26"/>
        </w:rPr>
        <w:t>billing p</w:t>
      </w:r>
      <w:r w:rsidR="001D6D97">
        <w:rPr>
          <w:sz w:val="26"/>
          <w:szCs w:val="26"/>
        </w:rPr>
        <w:t>arty</w:t>
      </w:r>
      <w:r w:rsidR="0027595A">
        <w:rPr>
          <w:sz w:val="26"/>
          <w:szCs w:val="26"/>
        </w:rPr>
        <w:t xml:space="preserve"> to send</w:t>
      </w:r>
      <w:r w:rsidR="001D6D97">
        <w:rPr>
          <w:sz w:val="26"/>
          <w:szCs w:val="26"/>
        </w:rPr>
        <w:t xml:space="preserve"> </w:t>
      </w:r>
      <w:r w:rsidR="0027595A">
        <w:rPr>
          <w:sz w:val="26"/>
          <w:szCs w:val="26"/>
        </w:rPr>
        <w:t>“</w:t>
      </w:r>
      <w:r w:rsidR="001D6D97">
        <w:rPr>
          <w:sz w:val="26"/>
          <w:szCs w:val="26"/>
        </w:rPr>
        <w:t xml:space="preserve">a 568 to the party on whose behalf they are collecting payment to detail how much was paid by the customer in the assumption of receivables (AOR) scenario.  The 568 contains remittance/financial information and credit/credit adjustment information by account.” </w:t>
      </w:r>
      <w:r w:rsidR="001D6D97">
        <w:rPr>
          <w:i/>
          <w:sz w:val="26"/>
          <w:szCs w:val="26"/>
        </w:rPr>
        <w:t>Id.</w:t>
      </w:r>
      <w:r w:rsidR="001D6D97">
        <w:rPr>
          <w:sz w:val="26"/>
          <w:szCs w:val="26"/>
        </w:rPr>
        <w:t xml:space="preserve">  </w:t>
      </w:r>
      <w:r w:rsidR="008C3663">
        <w:rPr>
          <w:sz w:val="26"/>
          <w:szCs w:val="26"/>
        </w:rPr>
        <w:t>In short, the</w:t>
      </w:r>
      <w:r w:rsidR="001D6D97">
        <w:rPr>
          <w:sz w:val="26"/>
          <w:szCs w:val="26"/>
        </w:rPr>
        <w:t xml:space="preserve"> EDI 568 transaction provides notice of customer collections to the EGS.  </w:t>
      </w:r>
    </w:p>
    <w:p w:rsidR="001D6D97" w:rsidRDefault="001D6D97" w:rsidP="001D6D97">
      <w:pPr>
        <w:pStyle w:val="p3"/>
        <w:tabs>
          <w:tab w:val="clear" w:pos="204"/>
        </w:tabs>
        <w:spacing w:line="360" w:lineRule="auto"/>
        <w:ind w:firstLine="1440"/>
        <w:rPr>
          <w:sz w:val="26"/>
          <w:szCs w:val="26"/>
        </w:rPr>
      </w:pPr>
    </w:p>
    <w:p w:rsidR="001D6D97" w:rsidRDefault="00C433C5" w:rsidP="00A967C0">
      <w:pPr>
        <w:pStyle w:val="p3"/>
        <w:tabs>
          <w:tab w:val="clear" w:pos="204"/>
        </w:tabs>
        <w:spacing w:line="360" w:lineRule="auto"/>
        <w:ind w:firstLine="720"/>
        <w:rPr>
          <w:sz w:val="26"/>
          <w:szCs w:val="26"/>
        </w:rPr>
      </w:pPr>
      <w:r>
        <w:rPr>
          <w:sz w:val="26"/>
          <w:szCs w:val="26"/>
        </w:rPr>
        <w:t xml:space="preserve">It is undisputed that under </w:t>
      </w:r>
      <w:r w:rsidR="001D6D97">
        <w:rPr>
          <w:sz w:val="26"/>
          <w:szCs w:val="26"/>
        </w:rPr>
        <w:t>Duquesne’</w:t>
      </w:r>
      <w:r>
        <w:rPr>
          <w:sz w:val="26"/>
          <w:szCs w:val="26"/>
        </w:rPr>
        <w:t xml:space="preserve">s POR program, </w:t>
      </w:r>
      <w:r w:rsidR="001D6D97">
        <w:rPr>
          <w:sz w:val="26"/>
          <w:szCs w:val="26"/>
        </w:rPr>
        <w:t>Duquesne is collecting on all of the customer debt for the POR accounts.  Since Duquesne purchased the account receivable</w:t>
      </w:r>
      <w:r w:rsidR="00705125">
        <w:rPr>
          <w:sz w:val="26"/>
          <w:szCs w:val="26"/>
        </w:rPr>
        <w:t>s</w:t>
      </w:r>
      <w:r w:rsidR="001D6D97">
        <w:rPr>
          <w:sz w:val="26"/>
          <w:szCs w:val="26"/>
        </w:rPr>
        <w:t xml:space="preserve"> through the P</w:t>
      </w:r>
      <w:r>
        <w:rPr>
          <w:sz w:val="26"/>
          <w:szCs w:val="26"/>
        </w:rPr>
        <w:t>OR p</w:t>
      </w:r>
      <w:r w:rsidR="001D6D97">
        <w:rPr>
          <w:sz w:val="26"/>
          <w:szCs w:val="26"/>
        </w:rPr>
        <w:t xml:space="preserve">rogram, it is both the billing party and the owner of debt making the </w:t>
      </w:r>
      <w:r w:rsidR="007F3763">
        <w:rPr>
          <w:sz w:val="26"/>
          <w:szCs w:val="26"/>
        </w:rPr>
        <w:t xml:space="preserve">EDI </w:t>
      </w:r>
      <w:r w:rsidR="001D6D97">
        <w:rPr>
          <w:sz w:val="26"/>
          <w:szCs w:val="26"/>
        </w:rPr>
        <w:t>568 collection notice un</w:t>
      </w:r>
      <w:r w:rsidR="007F3763">
        <w:rPr>
          <w:sz w:val="26"/>
          <w:szCs w:val="26"/>
        </w:rPr>
        <w:t>necessary.  If Duquesne issued the</w:t>
      </w:r>
      <w:r w:rsidR="001D6D97">
        <w:rPr>
          <w:sz w:val="26"/>
          <w:szCs w:val="26"/>
        </w:rPr>
        <w:t xml:space="preserve"> </w:t>
      </w:r>
      <w:r w:rsidR="007F3763">
        <w:rPr>
          <w:sz w:val="26"/>
          <w:szCs w:val="26"/>
        </w:rPr>
        <w:t xml:space="preserve">EDI </w:t>
      </w:r>
      <w:r w:rsidR="001D6D97">
        <w:rPr>
          <w:sz w:val="26"/>
          <w:szCs w:val="26"/>
        </w:rPr>
        <w:t>568 collection notice, it would be a notice f</w:t>
      </w:r>
      <w:r w:rsidR="001327E0">
        <w:rPr>
          <w:sz w:val="26"/>
          <w:szCs w:val="26"/>
        </w:rPr>
        <w:t>rom Duquesne to Duquesne.  Further,</w:t>
      </w:r>
      <w:r w:rsidR="001D6D97">
        <w:rPr>
          <w:sz w:val="26"/>
          <w:szCs w:val="26"/>
        </w:rPr>
        <w:t xml:space="preserve"> EGSs such as Dominion Retail, Inc. (Dominion)</w:t>
      </w:r>
      <w:r w:rsidR="001D6D97">
        <w:rPr>
          <w:rStyle w:val="FootnoteReference"/>
          <w:sz w:val="26"/>
          <w:szCs w:val="26"/>
        </w:rPr>
        <w:footnoteReference w:id="2"/>
      </w:r>
      <w:r w:rsidR="007F3763">
        <w:rPr>
          <w:sz w:val="26"/>
          <w:szCs w:val="26"/>
        </w:rPr>
        <w:t xml:space="preserve"> </w:t>
      </w:r>
      <w:r w:rsidR="001D6D97">
        <w:rPr>
          <w:sz w:val="26"/>
          <w:szCs w:val="26"/>
        </w:rPr>
        <w:t>supported the temporary waiver of the EDI 568.  Dominion commented during the proceedings</w:t>
      </w:r>
      <w:r w:rsidR="00705125">
        <w:rPr>
          <w:sz w:val="26"/>
          <w:szCs w:val="26"/>
        </w:rPr>
        <w:t xml:space="preserve"> to grant the temporary waiver that</w:t>
      </w:r>
      <w:r w:rsidR="001D6D97">
        <w:rPr>
          <w:sz w:val="26"/>
          <w:szCs w:val="26"/>
        </w:rPr>
        <w:t xml:space="preserve"> “suppliers such as Dominion that will participate in the POR program have no need for the EDI 568.  Mandating that it be sent anyway would only add extraneous and costly administrative requirements to both Duquesne and suppliers to the ultimate detriment of the POR customers.</w:t>
      </w:r>
      <w:r w:rsidR="007F3763">
        <w:rPr>
          <w:sz w:val="26"/>
          <w:szCs w:val="26"/>
        </w:rPr>
        <w:t xml:space="preserve">” </w:t>
      </w:r>
      <w:proofErr w:type="gramStart"/>
      <w:r w:rsidR="001D6D97">
        <w:rPr>
          <w:sz w:val="26"/>
          <w:szCs w:val="26"/>
        </w:rPr>
        <w:t>Dominion Comments at 2.</w:t>
      </w:r>
      <w:proofErr w:type="gramEnd"/>
      <w:r w:rsidR="001D6D97">
        <w:rPr>
          <w:sz w:val="26"/>
          <w:szCs w:val="26"/>
        </w:rPr>
        <w:t xml:space="preserve">    </w:t>
      </w:r>
    </w:p>
    <w:p w:rsidR="001D6D97" w:rsidRDefault="001D6D97" w:rsidP="001D6D97">
      <w:pPr>
        <w:pStyle w:val="p3"/>
        <w:tabs>
          <w:tab w:val="clear" w:pos="204"/>
        </w:tabs>
        <w:spacing w:line="360" w:lineRule="auto"/>
        <w:rPr>
          <w:sz w:val="26"/>
          <w:szCs w:val="26"/>
        </w:rPr>
      </w:pPr>
    </w:p>
    <w:p w:rsidR="001D6D97" w:rsidRDefault="00A967C0" w:rsidP="001D6D97">
      <w:pPr>
        <w:pStyle w:val="p3"/>
        <w:tabs>
          <w:tab w:val="clear" w:pos="204"/>
        </w:tabs>
        <w:spacing w:line="360" w:lineRule="auto"/>
        <w:rPr>
          <w:sz w:val="26"/>
          <w:szCs w:val="26"/>
        </w:rPr>
      </w:pPr>
      <w:r>
        <w:rPr>
          <w:sz w:val="26"/>
          <w:szCs w:val="26"/>
        </w:rPr>
        <w:tab/>
      </w:r>
      <w:r w:rsidR="001D6D97">
        <w:rPr>
          <w:sz w:val="26"/>
          <w:szCs w:val="26"/>
        </w:rPr>
        <w:t xml:space="preserve">Duquesne continues to follow the same 568 process it has for years for non-POR accounts.  This includes sending 568 transactions to all suppliers on </w:t>
      </w:r>
      <w:r w:rsidR="001327E0">
        <w:rPr>
          <w:sz w:val="26"/>
          <w:szCs w:val="26"/>
        </w:rPr>
        <w:t xml:space="preserve">whose behalf it is collecting.   </w:t>
      </w:r>
      <w:r w:rsidR="001D6D97">
        <w:rPr>
          <w:sz w:val="26"/>
          <w:szCs w:val="26"/>
        </w:rPr>
        <w:t>Duquesne has not received a</w:t>
      </w:r>
      <w:r w:rsidR="001327E0">
        <w:rPr>
          <w:sz w:val="26"/>
          <w:szCs w:val="26"/>
        </w:rPr>
        <w:t>ny</w:t>
      </w:r>
      <w:r w:rsidR="001D6D97">
        <w:rPr>
          <w:sz w:val="26"/>
          <w:szCs w:val="26"/>
        </w:rPr>
        <w:t xml:space="preserve"> complaint</w:t>
      </w:r>
      <w:r w:rsidR="001327E0">
        <w:rPr>
          <w:sz w:val="26"/>
          <w:szCs w:val="26"/>
        </w:rPr>
        <w:t xml:space="preserve">s </w:t>
      </w:r>
      <w:r w:rsidR="001844AF">
        <w:rPr>
          <w:sz w:val="26"/>
          <w:szCs w:val="26"/>
        </w:rPr>
        <w:t>about it not utilizing the</w:t>
      </w:r>
      <w:r w:rsidR="001D6D97">
        <w:rPr>
          <w:sz w:val="26"/>
          <w:szCs w:val="26"/>
        </w:rPr>
        <w:t xml:space="preserve"> EDI 568 notice.  </w:t>
      </w:r>
    </w:p>
    <w:p w:rsidR="009E4B3E" w:rsidRDefault="009E4B3E" w:rsidP="001D6D97">
      <w:pPr>
        <w:pStyle w:val="p3"/>
        <w:tabs>
          <w:tab w:val="clear" w:pos="204"/>
        </w:tabs>
        <w:spacing w:line="360" w:lineRule="auto"/>
        <w:rPr>
          <w:b/>
          <w:sz w:val="26"/>
          <w:szCs w:val="26"/>
          <w:u w:val="single"/>
        </w:rPr>
      </w:pPr>
    </w:p>
    <w:p w:rsidR="00F50888" w:rsidRDefault="00F50888" w:rsidP="00F50888">
      <w:pPr>
        <w:pStyle w:val="p3"/>
        <w:tabs>
          <w:tab w:val="clear" w:pos="204"/>
        </w:tabs>
        <w:spacing w:line="480" w:lineRule="auto"/>
        <w:rPr>
          <w:b/>
          <w:sz w:val="26"/>
          <w:szCs w:val="26"/>
        </w:rPr>
      </w:pPr>
    </w:p>
    <w:p w:rsidR="001D6D97" w:rsidRPr="008E22BF" w:rsidRDefault="008E22BF" w:rsidP="00F50888">
      <w:pPr>
        <w:pStyle w:val="p3"/>
        <w:tabs>
          <w:tab w:val="clear" w:pos="204"/>
        </w:tabs>
        <w:spacing w:line="480" w:lineRule="auto"/>
        <w:rPr>
          <w:sz w:val="26"/>
          <w:szCs w:val="26"/>
        </w:rPr>
      </w:pPr>
      <w:r>
        <w:rPr>
          <w:b/>
          <w:sz w:val="26"/>
          <w:szCs w:val="26"/>
        </w:rPr>
        <w:lastRenderedPageBreak/>
        <w:t>CONCLUSION</w:t>
      </w:r>
    </w:p>
    <w:p w:rsidR="001D6D97" w:rsidRPr="000B21D8" w:rsidRDefault="00A967C0" w:rsidP="001D6D97">
      <w:pPr>
        <w:pStyle w:val="p3"/>
        <w:tabs>
          <w:tab w:val="clear" w:pos="204"/>
        </w:tabs>
        <w:spacing w:line="360" w:lineRule="auto"/>
        <w:rPr>
          <w:sz w:val="26"/>
          <w:szCs w:val="26"/>
        </w:rPr>
      </w:pPr>
      <w:r>
        <w:rPr>
          <w:sz w:val="26"/>
          <w:szCs w:val="26"/>
        </w:rPr>
        <w:tab/>
      </w:r>
      <w:r w:rsidR="00B50533">
        <w:rPr>
          <w:sz w:val="26"/>
          <w:szCs w:val="26"/>
        </w:rPr>
        <w:t>Because Duquesne is essentially issuing a notice from Duquesne to Duquesne</w:t>
      </w:r>
      <w:r w:rsidR="00937932">
        <w:rPr>
          <w:sz w:val="26"/>
          <w:szCs w:val="26"/>
        </w:rPr>
        <w:t xml:space="preserve"> with its POR accounts</w:t>
      </w:r>
      <w:r w:rsidR="00B50533">
        <w:rPr>
          <w:sz w:val="26"/>
          <w:szCs w:val="26"/>
        </w:rPr>
        <w:t xml:space="preserve">, it makes </w:t>
      </w:r>
      <w:r w:rsidR="001844AF">
        <w:rPr>
          <w:sz w:val="26"/>
          <w:szCs w:val="26"/>
        </w:rPr>
        <w:t>the</w:t>
      </w:r>
      <w:r w:rsidR="00B50533">
        <w:rPr>
          <w:sz w:val="26"/>
          <w:szCs w:val="26"/>
        </w:rPr>
        <w:t xml:space="preserve"> EDI 568 notice unnecessary.  Requiring Duquesne to issue the EDI 568 notice and reapplying for a tem</w:t>
      </w:r>
      <w:r w:rsidR="00937932">
        <w:rPr>
          <w:sz w:val="26"/>
          <w:szCs w:val="26"/>
        </w:rPr>
        <w:t xml:space="preserve">porary waiver </w:t>
      </w:r>
      <w:r w:rsidR="00B50533">
        <w:rPr>
          <w:sz w:val="26"/>
          <w:szCs w:val="26"/>
        </w:rPr>
        <w:t>adds extraneous and costly administrative requirement</w:t>
      </w:r>
      <w:r w:rsidR="00937932">
        <w:rPr>
          <w:sz w:val="26"/>
          <w:szCs w:val="26"/>
        </w:rPr>
        <w:t>s to both Duquesne and its customers</w:t>
      </w:r>
      <w:r w:rsidR="00B50533">
        <w:rPr>
          <w:sz w:val="26"/>
          <w:szCs w:val="26"/>
        </w:rPr>
        <w:t xml:space="preserve">.  </w:t>
      </w:r>
      <w:r w:rsidR="001D6D97">
        <w:rPr>
          <w:sz w:val="26"/>
          <w:szCs w:val="26"/>
        </w:rPr>
        <w:t>Having reviewed all related documentation in this</w:t>
      </w:r>
      <w:r w:rsidR="00937932">
        <w:rPr>
          <w:sz w:val="26"/>
          <w:szCs w:val="26"/>
        </w:rPr>
        <w:t xml:space="preserve"> case, we have determined that an indefinite waiver</w:t>
      </w:r>
      <w:r w:rsidR="001D6D97">
        <w:rPr>
          <w:sz w:val="26"/>
          <w:szCs w:val="26"/>
        </w:rPr>
        <w:t xml:space="preserve"> should be granted</w:t>
      </w:r>
      <w:r w:rsidR="00937932">
        <w:rPr>
          <w:sz w:val="26"/>
          <w:szCs w:val="26"/>
        </w:rPr>
        <w:t xml:space="preserve"> so long as Duquesne’s POR program does not</w:t>
      </w:r>
      <w:r w:rsidR="006614E7">
        <w:rPr>
          <w:sz w:val="26"/>
          <w:szCs w:val="26"/>
        </w:rPr>
        <w:t xml:space="preserve"> change in the future; </w:t>
      </w:r>
      <w:r w:rsidR="001D6D97" w:rsidRPr="00C0451E">
        <w:rPr>
          <w:b/>
          <w:sz w:val="26"/>
          <w:szCs w:val="26"/>
        </w:rPr>
        <w:t>THEREFORE,</w:t>
      </w:r>
    </w:p>
    <w:p w:rsidR="00F50888" w:rsidRDefault="001D6D97" w:rsidP="00F50888">
      <w:pPr>
        <w:spacing w:line="360" w:lineRule="auto"/>
        <w:rPr>
          <w:b/>
          <w:bCs/>
          <w:sz w:val="26"/>
          <w:szCs w:val="26"/>
        </w:rPr>
      </w:pPr>
      <w:r w:rsidRPr="00C0451E">
        <w:rPr>
          <w:b/>
          <w:bCs/>
          <w:sz w:val="26"/>
          <w:szCs w:val="26"/>
        </w:rPr>
        <w:tab/>
      </w:r>
    </w:p>
    <w:p w:rsidR="001D6D97" w:rsidRDefault="001D6D97" w:rsidP="00F50888">
      <w:pPr>
        <w:spacing w:line="360" w:lineRule="auto"/>
        <w:ind w:firstLine="720"/>
        <w:rPr>
          <w:b/>
          <w:bCs/>
          <w:sz w:val="26"/>
          <w:szCs w:val="26"/>
        </w:rPr>
      </w:pPr>
      <w:r w:rsidRPr="00C0451E">
        <w:rPr>
          <w:b/>
          <w:bCs/>
          <w:sz w:val="26"/>
          <w:szCs w:val="26"/>
        </w:rPr>
        <w:t>IT IS ORDERED:</w:t>
      </w:r>
    </w:p>
    <w:p w:rsidR="001D6D97" w:rsidRDefault="001D6D97" w:rsidP="001D6D97">
      <w:pPr>
        <w:spacing w:line="360" w:lineRule="auto"/>
        <w:rPr>
          <w:b/>
          <w:bCs/>
          <w:sz w:val="26"/>
          <w:szCs w:val="26"/>
        </w:rPr>
      </w:pPr>
    </w:p>
    <w:p w:rsidR="001D6D97" w:rsidRPr="00937932" w:rsidRDefault="001D6D97" w:rsidP="00937932">
      <w:pPr>
        <w:pStyle w:val="ListParagraph"/>
        <w:numPr>
          <w:ilvl w:val="0"/>
          <w:numId w:val="2"/>
        </w:numPr>
        <w:spacing w:line="360" w:lineRule="auto"/>
        <w:rPr>
          <w:bCs/>
          <w:sz w:val="26"/>
          <w:szCs w:val="26"/>
        </w:rPr>
      </w:pPr>
      <w:r w:rsidRPr="00A967C0">
        <w:rPr>
          <w:bCs/>
          <w:sz w:val="26"/>
          <w:szCs w:val="26"/>
        </w:rPr>
        <w:t>That Duquesne Light Company i</w:t>
      </w:r>
      <w:r w:rsidR="00937932">
        <w:rPr>
          <w:bCs/>
          <w:sz w:val="26"/>
          <w:szCs w:val="26"/>
        </w:rPr>
        <w:t xml:space="preserve">s granted an indefinite </w:t>
      </w:r>
      <w:r w:rsidR="00C807ED" w:rsidRPr="00A967C0">
        <w:rPr>
          <w:bCs/>
          <w:sz w:val="26"/>
          <w:szCs w:val="26"/>
        </w:rPr>
        <w:t>waiver of</w:t>
      </w:r>
      <w:r w:rsidR="00937932">
        <w:rPr>
          <w:bCs/>
          <w:sz w:val="26"/>
          <w:szCs w:val="26"/>
        </w:rPr>
        <w:t xml:space="preserve"> </w:t>
      </w:r>
      <w:r w:rsidR="00C807ED" w:rsidRPr="00937932">
        <w:rPr>
          <w:bCs/>
          <w:sz w:val="26"/>
          <w:szCs w:val="26"/>
        </w:rPr>
        <w:t xml:space="preserve">the </w:t>
      </w:r>
      <w:r w:rsidR="009459E5" w:rsidRPr="00937932">
        <w:rPr>
          <w:bCs/>
          <w:sz w:val="26"/>
          <w:szCs w:val="26"/>
        </w:rPr>
        <w:t>EDI 568</w:t>
      </w:r>
      <w:r w:rsidR="00C807ED" w:rsidRPr="00937932">
        <w:rPr>
          <w:bCs/>
          <w:sz w:val="26"/>
          <w:szCs w:val="26"/>
        </w:rPr>
        <w:t xml:space="preserve"> obligation for POR c</w:t>
      </w:r>
      <w:r w:rsidRPr="00937932">
        <w:rPr>
          <w:bCs/>
          <w:sz w:val="26"/>
          <w:szCs w:val="26"/>
        </w:rPr>
        <w:t>ustomers</w:t>
      </w:r>
      <w:r w:rsidR="00937932" w:rsidRPr="00937932">
        <w:rPr>
          <w:bCs/>
          <w:sz w:val="26"/>
          <w:szCs w:val="26"/>
        </w:rPr>
        <w:t xml:space="preserve"> so long as the POR program does not change in the future</w:t>
      </w:r>
      <w:r w:rsidRPr="00937932">
        <w:rPr>
          <w:bCs/>
          <w:sz w:val="26"/>
          <w:szCs w:val="26"/>
        </w:rPr>
        <w:t xml:space="preserve">. </w:t>
      </w:r>
    </w:p>
    <w:p w:rsidR="007E47FE" w:rsidRDefault="007E47FE" w:rsidP="001D6D97">
      <w:pPr>
        <w:spacing w:line="360" w:lineRule="auto"/>
        <w:ind w:firstLine="720"/>
        <w:rPr>
          <w:bCs/>
          <w:sz w:val="26"/>
          <w:szCs w:val="26"/>
        </w:rPr>
      </w:pPr>
    </w:p>
    <w:p w:rsidR="007E47FE" w:rsidRPr="00A967C0" w:rsidRDefault="007E47FE" w:rsidP="00A967C0">
      <w:pPr>
        <w:pStyle w:val="ListParagraph"/>
        <w:numPr>
          <w:ilvl w:val="0"/>
          <w:numId w:val="2"/>
        </w:numPr>
        <w:spacing w:line="360" w:lineRule="auto"/>
        <w:rPr>
          <w:bCs/>
          <w:sz w:val="26"/>
          <w:szCs w:val="26"/>
        </w:rPr>
      </w:pPr>
      <w:r w:rsidRPr="00A967C0">
        <w:rPr>
          <w:bCs/>
          <w:sz w:val="26"/>
          <w:szCs w:val="26"/>
        </w:rPr>
        <w:t xml:space="preserve">That this case at Docket No. P-2011-2246066 </w:t>
      </w:r>
      <w:proofErr w:type="gramStart"/>
      <w:r w:rsidRPr="00A967C0">
        <w:rPr>
          <w:bCs/>
          <w:sz w:val="26"/>
          <w:szCs w:val="26"/>
        </w:rPr>
        <w:t>be</w:t>
      </w:r>
      <w:proofErr w:type="gramEnd"/>
      <w:r w:rsidRPr="00A967C0">
        <w:rPr>
          <w:bCs/>
          <w:sz w:val="26"/>
          <w:szCs w:val="26"/>
        </w:rPr>
        <w:t xml:space="preserve"> marked closed. </w:t>
      </w:r>
    </w:p>
    <w:p w:rsidR="007E47FE" w:rsidRDefault="007E47FE" w:rsidP="007E47FE">
      <w:pPr>
        <w:pStyle w:val="ListParagraph"/>
        <w:spacing w:line="360" w:lineRule="auto"/>
        <w:ind w:left="2520"/>
        <w:rPr>
          <w:bCs/>
          <w:sz w:val="26"/>
          <w:szCs w:val="26"/>
        </w:rPr>
      </w:pPr>
    </w:p>
    <w:p w:rsidR="007E47FE" w:rsidRPr="007E47FE" w:rsidRDefault="007E47FE" w:rsidP="00A967C0">
      <w:pPr>
        <w:pStyle w:val="ListParagraph"/>
        <w:numPr>
          <w:ilvl w:val="0"/>
          <w:numId w:val="2"/>
        </w:numPr>
        <w:spacing w:line="360" w:lineRule="auto"/>
        <w:rPr>
          <w:bCs/>
          <w:sz w:val="26"/>
          <w:szCs w:val="26"/>
        </w:rPr>
      </w:pPr>
      <w:r>
        <w:rPr>
          <w:bCs/>
          <w:sz w:val="26"/>
          <w:szCs w:val="26"/>
        </w:rPr>
        <w:t>That a copy of this Order be served on all parties of record.</w:t>
      </w:r>
    </w:p>
    <w:p w:rsidR="001D6D97" w:rsidRPr="00C0451E" w:rsidRDefault="00F91D5D" w:rsidP="007E47FE">
      <w:pPr>
        <w:tabs>
          <w:tab w:val="left" w:pos="4320"/>
        </w:tabs>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2733675</wp:posOffset>
            </wp:positionH>
            <wp:positionV relativeFrom="paragraph">
              <wp:posOffset>170180</wp:posOffset>
            </wp:positionV>
            <wp:extent cx="2200275" cy="838200"/>
            <wp:effectExtent l="19050" t="0" r="9525" b="0"/>
            <wp:wrapNone/>
            <wp:docPr id="32" name="Picture 3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D6D97" w:rsidRPr="00C0451E">
        <w:rPr>
          <w:sz w:val="26"/>
          <w:szCs w:val="26"/>
        </w:rPr>
        <w:tab/>
      </w:r>
    </w:p>
    <w:p w:rsidR="001D6D97" w:rsidRPr="00C0451E" w:rsidRDefault="001D6D97" w:rsidP="001D6D97">
      <w:pPr>
        <w:pStyle w:val="p17"/>
        <w:ind w:left="5057"/>
        <w:rPr>
          <w:b/>
          <w:bCs/>
          <w:sz w:val="26"/>
          <w:szCs w:val="26"/>
        </w:rPr>
      </w:pPr>
      <w:r w:rsidRPr="00C0451E">
        <w:rPr>
          <w:b/>
          <w:bCs/>
          <w:sz w:val="26"/>
          <w:szCs w:val="26"/>
        </w:rPr>
        <w:t>BY THE COMMISSION</w:t>
      </w:r>
    </w:p>
    <w:p w:rsidR="001D6D97" w:rsidRPr="00C0451E" w:rsidRDefault="001D6D97" w:rsidP="001D6D97">
      <w:pPr>
        <w:tabs>
          <w:tab w:val="left" w:pos="5057"/>
        </w:tabs>
        <w:rPr>
          <w:bCs/>
          <w:sz w:val="26"/>
          <w:szCs w:val="26"/>
        </w:rPr>
      </w:pPr>
    </w:p>
    <w:p w:rsidR="001D6D97" w:rsidRPr="00C0451E" w:rsidRDefault="001D6D97" w:rsidP="001D6D97">
      <w:pPr>
        <w:tabs>
          <w:tab w:val="left" w:pos="5057"/>
        </w:tabs>
        <w:rPr>
          <w:b/>
          <w:bCs/>
          <w:sz w:val="26"/>
          <w:szCs w:val="26"/>
        </w:rPr>
      </w:pPr>
    </w:p>
    <w:p w:rsidR="001D6D97" w:rsidRPr="00C0451E" w:rsidRDefault="001D6D97" w:rsidP="001D6D97">
      <w:pPr>
        <w:tabs>
          <w:tab w:val="left" w:pos="5057"/>
        </w:tabs>
        <w:rPr>
          <w:b/>
          <w:bCs/>
          <w:sz w:val="26"/>
          <w:szCs w:val="26"/>
        </w:rPr>
      </w:pPr>
    </w:p>
    <w:p w:rsidR="001D6D97" w:rsidRPr="00C0451E" w:rsidRDefault="001D6D97" w:rsidP="001D6D97">
      <w:pPr>
        <w:pStyle w:val="p18"/>
        <w:ind w:left="5062"/>
        <w:rPr>
          <w:sz w:val="26"/>
          <w:szCs w:val="26"/>
        </w:rPr>
      </w:pPr>
      <w:r w:rsidRPr="00C0451E">
        <w:rPr>
          <w:sz w:val="26"/>
          <w:szCs w:val="26"/>
        </w:rPr>
        <w:t>Rosemary Chiavetta</w:t>
      </w:r>
    </w:p>
    <w:p w:rsidR="001D6D97" w:rsidRPr="00C0451E" w:rsidRDefault="001D6D97" w:rsidP="001D6D97">
      <w:pPr>
        <w:pStyle w:val="p18"/>
        <w:ind w:left="5062"/>
        <w:rPr>
          <w:sz w:val="26"/>
          <w:szCs w:val="26"/>
        </w:rPr>
      </w:pPr>
      <w:r w:rsidRPr="00C0451E">
        <w:rPr>
          <w:sz w:val="26"/>
          <w:szCs w:val="26"/>
        </w:rPr>
        <w:t>Secretary</w:t>
      </w:r>
    </w:p>
    <w:p w:rsidR="001D6D97" w:rsidRPr="00C0451E" w:rsidRDefault="001D6D97" w:rsidP="001D6D97">
      <w:pPr>
        <w:tabs>
          <w:tab w:val="left" w:pos="5062"/>
        </w:tabs>
        <w:rPr>
          <w:sz w:val="26"/>
          <w:szCs w:val="26"/>
        </w:rPr>
      </w:pPr>
    </w:p>
    <w:p w:rsidR="001D6D97" w:rsidRPr="00C0451E" w:rsidRDefault="001D6D97" w:rsidP="001D6D97">
      <w:pPr>
        <w:pStyle w:val="p14"/>
        <w:rPr>
          <w:sz w:val="26"/>
          <w:szCs w:val="26"/>
        </w:rPr>
      </w:pPr>
      <w:r w:rsidRPr="00C0451E">
        <w:rPr>
          <w:sz w:val="26"/>
          <w:szCs w:val="26"/>
        </w:rPr>
        <w:t>(SEAL)</w:t>
      </w:r>
    </w:p>
    <w:p w:rsidR="001D6D97" w:rsidRPr="00C0451E" w:rsidRDefault="001D6D97" w:rsidP="001D6D97">
      <w:pPr>
        <w:tabs>
          <w:tab w:val="left" w:pos="204"/>
        </w:tabs>
        <w:rPr>
          <w:sz w:val="26"/>
          <w:szCs w:val="26"/>
        </w:rPr>
      </w:pPr>
    </w:p>
    <w:p w:rsidR="001D6D97" w:rsidRPr="00C0451E" w:rsidRDefault="001D6D97" w:rsidP="001D6D97">
      <w:pPr>
        <w:pStyle w:val="p14"/>
        <w:rPr>
          <w:sz w:val="26"/>
          <w:szCs w:val="26"/>
        </w:rPr>
      </w:pPr>
      <w:r w:rsidRPr="00C0451E">
        <w:rPr>
          <w:sz w:val="26"/>
          <w:szCs w:val="26"/>
        </w:rPr>
        <w:t>ORDER ADOPTED:</w:t>
      </w:r>
      <w:r w:rsidR="00A967C0">
        <w:rPr>
          <w:sz w:val="26"/>
          <w:szCs w:val="26"/>
        </w:rPr>
        <w:t xml:space="preserve"> </w:t>
      </w:r>
      <w:r w:rsidR="00931949">
        <w:rPr>
          <w:sz w:val="26"/>
          <w:szCs w:val="26"/>
        </w:rPr>
        <w:t xml:space="preserve"> </w:t>
      </w:r>
      <w:r w:rsidR="00A967C0">
        <w:rPr>
          <w:sz w:val="26"/>
          <w:szCs w:val="26"/>
        </w:rPr>
        <w:t>July 28, 2011</w:t>
      </w:r>
      <w:r w:rsidRPr="00C0451E">
        <w:rPr>
          <w:sz w:val="26"/>
          <w:szCs w:val="26"/>
        </w:rPr>
        <w:t xml:space="preserve">  </w:t>
      </w:r>
    </w:p>
    <w:p w:rsidR="001D6D97" w:rsidRPr="00C0451E" w:rsidRDefault="001D6D97" w:rsidP="001D6D97">
      <w:pPr>
        <w:pStyle w:val="p14"/>
        <w:rPr>
          <w:sz w:val="26"/>
          <w:szCs w:val="26"/>
        </w:rPr>
      </w:pPr>
    </w:p>
    <w:p w:rsidR="001D6D97" w:rsidRPr="00C0451E" w:rsidRDefault="001D6D97" w:rsidP="001D6D97">
      <w:pPr>
        <w:pStyle w:val="p14"/>
        <w:rPr>
          <w:sz w:val="26"/>
          <w:szCs w:val="26"/>
        </w:rPr>
      </w:pPr>
      <w:r w:rsidRPr="00C0451E">
        <w:rPr>
          <w:sz w:val="26"/>
          <w:szCs w:val="26"/>
        </w:rPr>
        <w:t xml:space="preserve">ORDER ENTERED:  </w:t>
      </w:r>
      <w:r w:rsidR="00F91D5D">
        <w:rPr>
          <w:sz w:val="26"/>
          <w:szCs w:val="26"/>
        </w:rPr>
        <w:t>July 29, 2011</w:t>
      </w:r>
    </w:p>
    <w:p w:rsidR="001D6D97" w:rsidRDefault="001D6D97" w:rsidP="001D6D97">
      <w:pPr>
        <w:jc w:val="center"/>
      </w:pPr>
    </w:p>
    <w:sectPr w:rsidR="001D6D97" w:rsidSect="004B35C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BEF" w:rsidRDefault="00514BEF" w:rsidP="001D6D97">
      <w:r>
        <w:separator/>
      </w:r>
    </w:p>
  </w:endnote>
  <w:endnote w:type="continuationSeparator" w:id="0">
    <w:p w:rsidR="00514BEF" w:rsidRDefault="00514BEF" w:rsidP="001D6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883614"/>
      <w:docPartObj>
        <w:docPartGallery w:val="Page Numbers (Bottom of Page)"/>
        <w:docPartUnique/>
      </w:docPartObj>
    </w:sdtPr>
    <w:sdtContent>
      <w:p w:rsidR="00937932" w:rsidRDefault="00C724DA">
        <w:pPr>
          <w:pStyle w:val="Footer"/>
          <w:jc w:val="center"/>
        </w:pPr>
        <w:fldSimple w:instr=" PAGE   \* MERGEFORMAT ">
          <w:r w:rsidR="00F91D5D">
            <w:rPr>
              <w:noProof/>
            </w:rPr>
            <w:t>5</w:t>
          </w:r>
        </w:fldSimple>
      </w:p>
    </w:sdtContent>
  </w:sdt>
  <w:p w:rsidR="00937932" w:rsidRDefault="00937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BEF" w:rsidRDefault="00514BEF" w:rsidP="001D6D97">
      <w:r>
        <w:separator/>
      </w:r>
    </w:p>
  </w:footnote>
  <w:footnote w:type="continuationSeparator" w:id="0">
    <w:p w:rsidR="00514BEF" w:rsidRDefault="00514BEF" w:rsidP="001D6D97">
      <w:r>
        <w:continuationSeparator/>
      </w:r>
    </w:p>
  </w:footnote>
  <w:footnote w:id="1">
    <w:p w:rsidR="006F7D1B" w:rsidRDefault="00937932" w:rsidP="001D6D97">
      <w:pPr>
        <w:pStyle w:val="FootnoteText"/>
        <w:rPr>
          <w:sz w:val="22"/>
          <w:szCs w:val="22"/>
        </w:rPr>
      </w:pPr>
      <w:r w:rsidRPr="00043E31">
        <w:rPr>
          <w:rStyle w:val="FootnoteReference"/>
          <w:sz w:val="22"/>
          <w:szCs w:val="22"/>
        </w:rPr>
        <w:footnoteRef/>
      </w:r>
      <w:r w:rsidRPr="00043E31">
        <w:rPr>
          <w:sz w:val="22"/>
          <w:szCs w:val="22"/>
        </w:rPr>
        <w:t xml:space="preserve"> </w:t>
      </w:r>
      <w:r w:rsidRPr="00C433C5">
        <w:rPr>
          <w:i/>
          <w:sz w:val="22"/>
          <w:szCs w:val="22"/>
        </w:rPr>
        <w:t>Electronic Data Exchange Standards for Electric Deregulation in the Commonwealth of Pennsylvania Revised Plan v. 2.6</w:t>
      </w:r>
      <w:r>
        <w:rPr>
          <w:sz w:val="22"/>
          <w:szCs w:val="22"/>
        </w:rPr>
        <w:t>, approved by Commission order entered December 8, 2008</w:t>
      </w:r>
      <w:r w:rsidR="00705125">
        <w:rPr>
          <w:sz w:val="22"/>
          <w:szCs w:val="22"/>
        </w:rPr>
        <w:t>,</w:t>
      </w:r>
      <w:r>
        <w:rPr>
          <w:sz w:val="22"/>
          <w:szCs w:val="22"/>
        </w:rPr>
        <w:t xml:space="preserve"> at Docket No. </w:t>
      </w:r>
    </w:p>
    <w:p w:rsidR="00937932" w:rsidRPr="00043E31" w:rsidRDefault="00937932" w:rsidP="001D6D97">
      <w:pPr>
        <w:pStyle w:val="FootnoteText"/>
        <w:rPr>
          <w:sz w:val="22"/>
          <w:szCs w:val="22"/>
        </w:rPr>
      </w:pPr>
      <w:proofErr w:type="gramStart"/>
      <w:r>
        <w:rPr>
          <w:sz w:val="22"/>
          <w:szCs w:val="22"/>
        </w:rPr>
        <w:t>M-0096089F0015</w:t>
      </w:r>
      <w:r w:rsidR="006F7D1B">
        <w:rPr>
          <w:sz w:val="22"/>
          <w:szCs w:val="22"/>
        </w:rPr>
        <w:t>.</w:t>
      </w:r>
      <w:proofErr w:type="gramEnd"/>
    </w:p>
  </w:footnote>
  <w:footnote w:id="2">
    <w:p w:rsidR="00937932" w:rsidRPr="00165912" w:rsidRDefault="00937932" w:rsidP="001D6D97">
      <w:pPr>
        <w:pStyle w:val="FootnoteText"/>
        <w:rPr>
          <w:sz w:val="22"/>
          <w:szCs w:val="22"/>
        </w:rPr>
      </w:pPr>
      <w:r w:rsidRPr="00165912">
        <w:rPr>
          <w:rStyle w:val="FootnoteReference"/>
          <w:sz w:val="22"/>
          <w:szCs w:val="22"/>
        </w:rPr>
        <w:footnoteRef/>
      </w:r>
      <w:r w:rsidRPr="00165912">
        <w:rPr>
          <w:sz w:val="22"/>
          <w:szCs w:val="22"/>
        </w:rPr>
        <w:t xml:space="preserve"> </w:t>
      </w:r>
      <w:r w:rsidRPr="00165912">
        <w:rPr>
          <w:i/>
          <w:sz w:val="22"/>
          <w:szCs w:val="22"/>
        </w:rPr>
        <w:t xml:space="preserve">See </w:t>
      </w:r>
      <w:r w:rsidRPr="00165912">
        <w:rPr>
          <w:sz w:val="22"/>
          <w:szCs w:val="22"/>
        </w:rPr>
        <w:t xml:space="preserve">Comments of Dominion Retail, Inc. in Response to December 28, 2007 Secretarial Letter at Docket Nos. </w:t>
      </w:r>
      <w:proofErr w:type="gramStart"/>
      <w:r w:rsidRPr="00165912">
        <w:rPr>
          <w:sz w:val="22"/>
          <w:szCs w:val="22"/>
        </w:rPr>
        <w:t>P-00072247 and M-00960890F0015.</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1784C"/>
    <w:multiLevelType w:val="hybridMultilevel"/>
    <w:tmpl w:val="CB0ADDC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732E7C9D"/>
    <w:multiLevelType w:val="hybridMultilevel"/>
    <w:tmpl w:val="9DB0DB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6D97"/>
    <w:rsid w:val="00000E90"/>
    <w:rsid w:val="00084C40"/>
    <w:rsid w:val="001115AA"/>
    <w:rsid w:val="001327E0"/>
    <w:rsid w:val="001844AF"/>
    <w:rsid w:val="001D6D97"/>
    <w:rsid w:val="0027595A"/>
    <w:rsid w:val="002931DB"/>
    <w:rsid w:val="002B0ED2"/>
    <w:rsid w:val="002B3159"/>
    <w:rsid w:val="00365C35"/>
    <w:rsid w:val="003B64B7"/>
    <w:rsid w:val="003C42EA"/>
    <w:rsid w:val="00411538"/>
    <w:rsid w:val="004B35C5"/>
    <w:rsid w:val="004F721A"/>
    <w:rsid w:val="00514BEF"/>
    <w:rsid w:val="005B008A"/>
    <w:rsid w:val="00653E88"/>
    <w:rsid w:val="006614E7"/>
    <w:rsid w:val="00696B38"/>
    <w:rsid w:val="006F7D1B"/>
    <w:rsid w:val="00705125"/>
    <w:rsid w:val="00712CDC"/>
    <w:rsid w:val="007319B0"/>
    <w:rsid w:val="007C7BC8"/>
    <w:rsid w:val="007D04E0"/>
    <w:rsid w:val="007E47FE"/>
    <w:rsid w:val="007F3763"/>
    <w:rsid w:val="00837AD2"/>
    <w:rsid w:val="00844DF1"/>
    <w:rsid w:val="008C3663"/>
    <w:rsid w:val="008E22BF"/>
    <w:rsid w:val="008E311E"/>
    <w:rsid w:val="008E5706"/>
    <w:rsid w:val="008E79F0"/>
    <w:rsid w:val="00931949"/>
    <w:rsid w:val="009356DD"/>
    <w:rsid w:val="00937932"/>
    <w:rsid w:val="009459E5"/>
    <w:rsid w:val="00970D12"/>
    <w:rsid w:val="009E4B3E"/>
    <w:rsid w:val="00A967C0"/>
    <w:rsid w:val="00AA2F16"/>
    <w:rsid w:val="00AE1FDE"/>
    <w:rsid w:val="00B50533"/>
    <w:rsid w:val="00B903DA"/>
    <w:rsid w:val="00C433C5"/>
    <w:rsid w:val="00C52F00"/>
    <w:rsid w:val="00C724DA"/>
    <w:rsid w:val="00C807ED"/>
    <w:rsid w:val="00D3187E"/>
    <w:rsid w:val="00DC5D2E"/>
    <w:rsid w:val="00E74DB6"/>
    <w:rsid w:val="00EC6605"/>
    <w:rsid w:val="00ED693B"/>
    <w:rsid w:val="00F50888"/>
    <w:rsid w:val="00F91D5D"/>
    <w:rsid w:val="00FD3ABD"/>
    <w:rsid w:val="00FE4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D9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entered">
    <w:name w:val="Style Centered"/>
    <w:basedOn w:val="Normal"/>
    <w:rsid w:val="001D6D97"/>
    <w:pPr>
      <w:jc w:val="center"/>
    </w:pPr>
  </w:style>
  <w:style w:type="paragraph" w:customStyle="1" w:styleId="p3">
    <w:name w:val="p3"/>
    <w:basedOn w:val="Normal"/>
    <w:rsid w:val="001D6D97"/>
    <w:pPr>
      <w:widowControl w:val="0"/>
      <w:tabs>
        <w:tab w:val="left" w:pos="204"/>
      </w:tabs>
      <w:overflowPunct/>
      <w:textAlignment w:val="auto"/>
    </w:pPr>
    <w:rPr>
      <w:szCs w:val="24"/>
    </w:rPr>
  </w:style>
  <w:style w:type="paragraph" w:styleId="FootnoteText">
    <w:name w:val="footnote text"/>
    <w:basedOn w:val="Normal"/>
    <w:link w:val="FootnoteTextChar"/>
    <w:semiHidden/>
    <w:rsid w:val="001D6D97"/>
    <w:rPr>
      <w:sz w:val="20"/>
    </w:rPr>
  </w:style>
  <w:style w:type="character" w:customStyle="1" w:styleId="FootnoteTextChar">
    <w:name w:val="Footnote Text Char"/>
    <w:basedOn w:val="DefaultParagraphFont"/>
    <w:link w:val="FootnoteText"/>
    <w:semiHidden/>
    <w:rsid w:val="001D6D97"/>
    <w:rPr>
      <w:rFonts w:ascii="Times New Roman" w:eastAsia="Times New Roman" w:hAnsi="Times New Roman" w:cs="Times New Roman"/>
      <w:sz w:val="20"/>
      <w:szCs w:val="20"/>
    </w:rPr>
  </w:style>
  <w:style w:type="character" w:styleId="FootnoteReference">
    <w:name w:val="footnote reference"/>
    <w:basedOn w:val="DefaultParagraphFont"/>
    <w:semiHidden/>
    <w:rsid w:val="001D6D97"/>
    <w:rPr>
      <w:vertAlign w:val="superscript"/>
    </w:rPr>
  </w:style>
  <w:style w:type="paragraph" w:customStyle="1" w:styleId="p14">
    <w:name w:val="p14"/>
    <w:basedOn w:val="Normal"/>
    <w:rsid w:val="001D6D97"/>
    <w:pPr>
      <w:widowControl w:val="0"/>
      <w:tabs>
        <w:tab w:val="left" w:pos="204"/>
      </w:tabs>
      <w:overflowPunct/>
      <w:textAlignment w:val="auto"/>
    </w:pPr>
    <w:rPr>
      <w:szCs w:val="24"/>
    </w:rPr>
  </w:style>
  <w:style w:type="paragraph" w:customStyle="1" w:styleId="p17">
    <w:name w:val="p17"/>
    <w:basedOn w:val="Normal"/>
    <w:rsid w:val="001D6D97"/>
    <w:pPr>
      <w:widowControl w:val="0"/>
      <w:tabs>
        <w:tab w:val="left" w:pos="5057"/>
      </w:tabs>
      <w:overflowPunct/>
      <w:ind w:left="3617"/>
      <w:textAlignment w:val="auto"/>
    </w:pPr>
    <w:rPr>
      <w:szCs w:val="24"/>
    </w:rPr>
  </w:style>
  <w:style w:type="paragraph" w:customStyle="1" w:styleId="p18">
    <w:name w:val="p18"/>
    <w:basedOn w:val="Normal"/>
    <w:rsid w:val="001D6D97"/>
    <w:pPr>
      <w:widowControl w:val="0"/>
      <w:tabs>
        <w:tab w:val="left" w:pos="5062"/>
      </w:tabs>
      <w:overflowPunct/>
      <w:ind w:left="3622"/>
      <w:textAlignment w:val="auto"/>
    </w:pPr>
    <w:rPr>
      <w:szCs w:val="24"/>
    </w:rPr>
  </w:style>
  <w:style w:type="paragraph" w:styleId="Header">
    <w:name w:val="header"/>
    <w:basedOn w:val="Normal"/>
    <w:link w:val="HeaderChar"/>
    <w:uiPriority w:val="99"/>
    <w:semiHidden/>
    <w:unhideWhenUsed/>
    <w:rsid w:val="004B35C5"/>
    <w:pPr>
      <w:tabs>
        <w:tab w:val="center" w:pos="4680"/>
        <w:tab w:val="right" w:pos="9360"/>
      </w:tabs>
    </w:pPr>
  </w:style>
  <w:style w:type="character" w:customStyle="1" w:styleId="HeaderChar">
    <w:name w:val="Header Char"/>
    <w:basedOn w:val="DefaultParagraphFont"/>
    <w:link w:val="Header"/>
    <w:uiPriority w:val="99"/>
    <w:semiHidden/>
    <w:rsid w:val="004B35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35C5"/>
    <w:pPr>
      <w:tabs>
        <w:tab w:val="center" w:pos="4680"/>
        <w:tab w:val="right" w:pos="9360"/>
      </w:tabs>
    </w:pPr>
  </w:style>
  <w:style w:type="character" w:customStyle="1" w:styleId="FooterChar">
    <w:name w:val="Footer Char"/>
    <w:basedOn w:val="DefaultParagraphFont"/>
    <w:link w:val="Footer"/>
    <w:uiPriority w:val="99"/>
    <w:rsid w:val="004B35C5"/>
    <w:rPr>
      <w:rFonts w:ascii="Times New Roman" w:eastAsia="Times New Roman" w:hAnsi="Times New Roman" w:cs="Times New Roman"/>
      <w:sz w:val="24"/>
      <w:szCs w:val="20"/>
    </w:rPr>
  </w:style>
  <w:style w:type="paragraph" w:styleId="ListParagraph">
    <w:name w:val="List Paragraph"/>
    <w:basedOn w:val="Normal"/>
    <w:uiPriority w:val="34"/>
    <w:qFormat/>
    <w:rsid w:val="007E47FE"/>
    <w:pPr>
      <w:ind w:left="720"/>
      <w:contextualSpacing/>
    </w:pPr>
  </w:style>
  <w:style w:type="paragraph" w:styleId="BalloonText">
    <w:name w:val="Balloon Text"/>
    <w:basedOn w:val="Normal"/>
    <w:link w:val="BalloonTextChar"/>
    <w:uiPriority w:val="99"/>
    <w:semiHidden/>
    <w:unhideWhenUsed/>
    <w:rsid w:val="00F91D5D"/>
    <w:rPr>
      <w:rFonts w:ascii="Tahoma" w:hAnsi="Tahoma" w:cs="Tahoma"/>
      <w:sz w:val="16"/>
      <w:szCs w:val="16"/>
    </w:rPr>
  </w:style>
  <w:style w:type="character" w:customStyle="1" w:styleId="BalloonTextChar">
    <w:name w:val="Balloon Text Char"/>
    <w:basedOn w:val="DefaultParagraphFont"/>
    <w:link w:val="BalloonText"/>
    <w:uiPriority w:val="99"/>
    <w:semiHidden/>
    <w:rsid w:val="00F91D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5</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joncurtis</dc:creator>
  <cp:keywords/>
  <dc:description/>
  <cp:lastModifiedBy>Administrator</cp:lastModifiedBy>
  <cp:revision>27</cp:revision>
  <cp:lastPrinted>2011-07-29T16:56:00Z</cp:lastPrinted>
  <dcterms:created xsi:type="dcterms:W3CDTF">2011-07-08T12:50:00Z</dcterms:created>
  <dcterms:modified xsi:type="dcterms:W3CDTF">2011-07-29T16:56:00Z</dcterms:modified>
</cp:coreProperties>
</file>