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913" w:rsidRPr="004B1CE0" w:rsidRDefault="00DA07D4" w:rsidP="00661A1C">
      <w:pPr>
        <w:jc w:val="center"/>
        <w:rPr>
          <w:rFonts w:ascii="Times New Roman" w:hAnsi="Times New Roman"/>
          <w:b/>
        </w:rPr>
      </w:pPr>
      <w:r w:rsidRPr="004B1CE0">
        <w:rPr>
          <w:rFonts w:ascii="Times New Roman" w:hAnsi="Times New Roman"/>
          <w:b/>
        </w:rPr>
        <w:t>BEFORE THE</w:t>
      </w:r>
    </w:p>
    <w:p w:rsidR="00DA07D4" w:rsidRPr="004B1CE0" w:rsidRDefault="00DA07D4" w:rsidP="00661A1C">
      <w:pPr>
        <w:jc w:val="center"/>
        <w:rPr>
          <w:rFonts w:ascii="Times New Roman" w:hAnsi="Times New Roman"/>
        </w:rPr>
      </w:pPr>
      <w:r w:rsidRPr="004B1CE0">
        <w:rPr>
          <w:rFonts w:ascii="Times New Roman" w:hAnsi="Times New Roman"/>
          <w:b/>
        </w:rPr>
        <w:t>PENNSYLVANIA PUBLIC UTILITY COMMISSION</w:t>
      </w:r>
    </w:p>
    <w:p w:rsidR="00DA07D4" w:rsidRPr="004B1CE0" w:rsidRDefault="00DA07D4" w:rsidP="00661A1C">
      <w:pPr>
        <w:jc w:val="both"/>
        <w:rPr>
          <w:rFonts w:ascii="Times New Roman" w:hAnsi="Times New Roman"/>
        </w:rPr>
      </w:pPr>
    </w:p>
    <w:p w:rsidR="00DA07D4" w:rsidRPr="004B1CE0" w:rsidRDefault="00DA07D4" w:rsidP="00661A1C">
      <w:pPr>
        <w:jc w:val="both"/>
        <w:rPr>
          <w:rFonts w:ascii="Times New Roman" w:hAnsi="Times New Roman"/>
        </w:rPr>
      </w:pPr>
    </w:p>
    <w:p w:rsidR="00DA07D4" w:rsidRPr="004B1CE0" w:rsidRDefault="00DA07D4" w:rsidP="00661A1C">
      <w:pPr>
        <w:jc w:val="both"/>
        <w:rPr>
          <w:rFonts w:ascii="Times New Roman" w:hAnsi="Times New Roman"/>
        </w:rPr>
      </w:pPr>
    </w:p>
    <w:p w:rsidR="00DA07D4" w:rsidRPr="004B1CE0" w:rsidRDefault="005A5198" w:rsidP="00661A1C">
      <w:pPr>
        <w:jc w:val="both"/>
        <w:rPr>
          <w:rFonts w:ascii="Times New Roman" w:hAnsi="Times New Roman"/>
        </w:rPr>
      </w:pPr>
      <w:r>
        <w:rPr>
          <w:rFonts w:ascii="Times New Roman" w:hAnsi="Times New Roman"/>
        </w:rPr>
        <w:t>Carlena Edwards</w:t>
      </w:r>
      <w:r w:rsidR="00EA400B">
        <w:rPr>
          <w:rFonts w:ascii="Times New Roman" w:hAnsi="Times New Roman"/>
        </w:rPr>
        <w:tab/>
      </w:r>
      <w:r w:rsidR="00DA07D4" w:rsidRPr="004B1CE0">
        <w:rPr>
          <w:rFonts w:ascii="Times New Roman" w:hAnsi="Times New Roman"/>
        </w:rPr>
        <w:tab/>
      </w:r>
      <w:r w:rsidR="00DA07D4" w:rsidRPr="004B1CE0">
        <w:rPr>
          <w:rFonts w:ascii="Times New Roman" w:hAnsi="Times New Roman"/>
        </w:rPr>
        <w:tab/>
      </w:r>
      <w:r w:rsidR="00DA07D4" w:rsidRPr="004B1CE0">
        <w:rPr>
          <w:rFonts w:ascii="Times New Roman" w:hAnsi="Times New Roman"/>
        </w:rPr>
        <w:tab/>
      </w:r>
      <w:r w:rsidR="00DA07D4" w:rsidRPr="004B1CE0">
        <w:rPr>
          <w:rFonts w:ascii="Times New Roman" w:hAnsi="Times New Roman"/>
        </w:rPr>
        <w:tab/>
        <w:t>:</w:t>
      </w:r>
      <w:r w:rsidR="00DA07D4" w:rsidRPr="004B1CE0">
        <w:rPr>
          <w:rFonts w:ascii="Times New Roman" w:hAnsi="Times New Roman"/>
        </w:rPr>
        <w:tab/>
      </w:r>
    </w:p>
    <w:p w:rsidR="00DA07D4" w:rsidRPr="004B1CE0" w:rsidRDefault="00DA07D4" w:rsidP="00661A1C">
      <w:pPr>
        <w:jc w:val="both"/>
        <w:rPr>
          <w:rFonts w:ascii="Times New Roman" w:hAnsi="Times New Roman"/>
        </w:rPr>
      </w:pPr>
      <w:r w:rsidRPr="004B1CE0">
        <w:rPr>
          <w:rFonts w:ascii="Times New Roman" w:hAnsi="Times New Roman"/>
        </w:rPr>
        <w:tab/>
      </w:r>
      <w:r w:rsidRPr="004B1CE0">
        <w:rPr>
          <w:rFonts w:ascii="Times New Roman" w:hAnsi="Times New Roman"/>
        </w:rPr>
        <w:tab/>
      </w:r>
      <w:r w:rsidRPr="004B1CE0">
        <w:rPr>
          <w:rFonts w:ascii="Times New Roman" w:hAnsi="Times New Roman"/>
        </w:rPr>
        <w:tab/>
      </w:r>
      <w:r w:rsidRPr="004B1CE0">
        <w:rPr>
          <w:rFonts w:ascii="Times New Roman" w:hAnsi="Times New Roman"/>
        </w:rPr>
        <w:tab/>
      </w:r>
      <w:r w:rsidRPr="004B1CE0">
        <w:rPr>
          <w:rFonts w:ascii="Times New Roman" w:hAnsi="Times New Roman"/>
        </w:rPr>
        <w:tab/>
      </w:r>
      <w:r w:rsidRPr="004B1CE0">
        <w:rPr>
          <w:rFonts w:ascii="Times New Roman" w:hAnsi="Times New Roman"/>
        </w:rPr>
        <w:tab/>
      </w:r>
      <w:r w:rsidRPr="004B1CE0">
        <w:rPr>
          <w:rFonts w:ascii="Times New Roman" w:hAnsi="Times New Roman"/>
        </w:rPr>
        <w:tab/>
        <w:t>:</w:t>
      </w:r>
      <w:r w:rsidRPr="004B1CE0">
        <w:rPr>
          <w:rFonts w:ascii="Times New Roman" w:hAnsi="Times New Roman"/>
        </w:rPr>
        <w:tab/>
      </w:r>
    </w:p>
    <w:p w:rsidR="00DA07D4" w:rsidRPr="004B1CE0" w:rsidRDefault="00DA07D4" w:rsidP="00661A1C">
      <w:pPr>
        <w:jc w:val="both"/>
        <w:rPr>
          <w:rFonts w:ascii="Times New Roman" w:hAnsi="Times New Roman"/>
        </w:rPr>
      </w:pPr>
      <w:r w:rsidRPr="004B1CE0">
        <w:rPr>
          <w:rFonts w:ascii="Times New Roman" w:hAnsi="Times New Roman"/>
        </w:rPr>
        <w:tab/>
        <w:t>v.</w:t>
      </w:r>
      <w:r w:rsidRPr="004B1CE0">
        <w:rPr>
          <w:rFonts w:ascii="Times New Roman" w:hAnsi="Times New Roman"/>
        </w:rPr>
        <w:tab/>
      </w:r>
      <w:r w:rsidRPr="004B1CE0">
        <w:rPr>
          <w:rFonts w:ascii="Times New Roman" w:hAnsi="Times New Roman"/>
        </w:rPr>
        <w:tab/>
      </w:r>
      <w:r w:rsidRPr="004B1CE0">
        <w:rPr>
          <w:rFonts w:ascii="Times New Roman" w:hAnsi="Times New Roman"/>
        </w:rPr>
        <w:tab/>
      </w:r>
      <w:r w:rsidRPr="004B1CE0">
        <w:rPr>
          <w:rFonts w:ascii="Times New Roman" w:hAnsi="Times New Roman"/>
        </w:rPr>
        <w:tab/>
      </w:r>
      <w:r w:rsidR="00F05E09">
        <w:rPr>
          <w:rFonts w:ascii="Times New Roman" w:hAnsi="Times New Roman"/>
        </w:rPr>
        <w:tab/>
      </w:r>
      <w:r w:rsidRPr="004B1CE0">
        <w:rPr>
          <w:rFonts w:ascii="Times New Roman" w:hAnsi="Times New Roman"/>
        </w:rPr>
        <w:tab/>
        <w:t>:</w:t>
      </w:r>
      <w:r w:rsidR="004821BD">
        <w:rPr>
          <w:rFonts w:ascii="Times New Roman" w:hAnsi="Times New Roman"/>
        </w:rPr>
        <w:tab/>
      </w:r>
      <w:r w:rsidR="00F05E09">
        <w:rPr>
          <w:rFonts w:ascii="Times New Roman" w:hAnsi="Times New Roman"/>
        </w:rPr>
        <w:tab/>
      </w:r>
      <w:r w:rsidR="005A5198">
        <w:rPr>
          <w:rFonts w:ascii="Times New Roman" w:hAnsi="Times New Roman"/>
        </w:rPr>
        <w:t>F-2010-2164449</w:t>
      </w:r>
    </w:p>
    <w:p w:rsidR="00DA07D4" w:rsidRPr="004B1CE0" w:rsidRDefault="00DA07D4" w:rsidP="00661A1C">
      <w:pPr>
        <w:jc w:val="both"/>
        <w:rPr>
          <w:rFonts w:ascii="Times New Roman" w:hAnsi="Times New Roman"/>
        </w:rPr>
      </w:pPr>
      <w:r w:rsidRPr="004B1CE0">
        <w:rPr>
          <w:rFonts w:ascii="Times New Roman" w:hAnsi="Times New Roman"/>
        </w:rPr>
        <w:tab/>
      </w:r>
      <w:r w:rsidRPr="004B1CE0">
        <w:rPr>
          <w:rFonts w:ascii="Times New Roman" w:hAnsi="Times New Roman"/>
        </w:rPr>
        <w:tab/>
      </w:r>
      <w:r w:rsidRPr="004B1CE0">
        <w:rPr>
          <w:rFonts w:ascii="Times New Roman" w:hAnsi="Times New Roman"/>
        </w:rPr>
        <w:tab/>
      </w:r>
      <w:r w:rsidRPr="004B1CE0">
        <w:rPr>
          <w:rFonts w:ascii="Times New Roman" w:hAnsi="Times New Roman"/>
        </w:rPr>
        <w:tab/>
      </w:r>
      <w:r w:rsidRPr="004B1CE0">
        <w:rPr>
          <w:rFonts w:ascii="Times New Roman" w:hAnsi="Times New Roman"/>
        </w:rPr>
        <w:tab/>
      </w:r>
      <w:r w:rsidRPr="004B1CE0">
        <w:rPr>
          <w:rFonts w:ascii="Times New Roman" w:hAnsi="Times New Roman"/>
        </w:rPr>
        <w:tab/>
      </w:r>
      <w:r w:rsidRPr="004B1CE0">
        <w:rPr>
          <w:rFonts w:ascii="Times New Roman" w:hAnsi="Times New Roman"/>
        </w:rPr>
        <w:tab/>
        <w:t>:</w:t>
      </w:r>
    </w:p>
    <w:p w:rsidR="00DA07D4" w:rsidRPr="004B1CE0" w:rsidRDefault="00BA3305" w:rsidP="00661A1C">
      <w:pPr>
        <w:jc w:val="both"/>
        <w:rPr>
          <w:rFonts w:ascii="Times New Roman" w:hAnsi="Times New Roman"/>
        </w:rPr>
      </w:pPr>
      <w:r>
        <w:rPr>
          <w:rFonts w:ascii="Times New Roman" w:hAnsi="Times New Roman"/>
        </w:rPr>
        <w:t>Duquesne Light</w:t>
      </w:r>
      <w:r w:rsidR="00EA22FA" w:rsidRPr="004B1CE0">
        <w:rPr>
          <w:rFonts w:ascii="Times New Roman" w:hAnsi="Times New Roman"/>
        </w:rPr>
        <w:t xml:space="preserve"> Company</w:t>
      </w:r>
      <w:r w:rsidR="00EA22FA" w:rsidRPr="004B1CE0">
        <w:rPr>
          <w:rFonts w:ascii="Times New Roman" w:hAnsi="Times New Roman"/>
        </w:rPr>
        <w:tab/>
      </w:r>
      <w:r w:rsidR="00EA22FA" w:rsidRPr="004B1CE0">
        <w:rPr>
          <w:rFonts w:ascii="Times New Roman" w:hAnsi="Times New Roman"/>
        </w:rPr>
        <w:tab/>
      </w:r>
      <w:r w:rsidR="00DA07D4" w:rsidRPr="004B1CE0">
        <w:rPr>
          <w:rFonts w:ascii="Times New Roman" w:hAnsi="Times New Roman"/>
        </w:rPr>
        <w:tab/>
      </w:r>
      <w:r w:rsidR="00DA07D4" w:rsidRPr="004B1CE0">
        <w:rPr>
          <w:rFonts w:ascii="Times New Roman" w:hAnsi="Times New Roman"/>
        </w:rPr>
        <w:tab/>
        <w:t>:</w:t>
      </w:r>
    </w:p>
    <w:p w:rsidR="00DA07D4" w:rsidRPr="004B1CE0" w:rsidRDefault="00DA07D4" w:rsidP="00661A1C">
      <w:pPr>
        <w:jc w:val="both"/>
        <w:rPr>
          <w:rFonts w:ascii="Times New Roman" w:hAnsi="Times New Roman"/>
        </w:rPr>
      </w:pPr>
    </w:p>
    <w:p w:rsidR="00DA07D4" w:rsidRPr="004B1CE0" w:rsidRDefault="00DA07D4" w:rsidP="00661A1C">
      <w:pPr>
        <w:jc w:val="both"/>
        <w:rPr>
          <w:rFonts w:ascii="Times New Roman" w:hAnsi="Times New Roman"/>
        </w:rPr>
      </w:pPr>
    </w:p>
    <w:p w:rsidR="00DA07D4" w:rsidRPr="004B1CE0" w:rsidRDefault="00DA07D4" w:rsidP="00661A1C">
      <w:pPr>
        <w:jc w:val="both"/>
        <w:rPr>
          <w:rFonts w:ascii="Times New Roman" w:hAnsi="Times New Roman"/>
        </w:rPr>
      </w:pPr>
    </w:p>
    <w:p w:rsidR="00DA07D4" w:rsidRPr="00F05E09" w:rsidRDefault="00DA07D4" w:rsidP="00661A1C">
      <w:pPr>
        <w:jc w:val="center"/>
        <w:rPr>
          <w:rFonts w:ascii="Times New Roman" w:hAnsi="Times New Roman"/>
          <w:b/>
        </w:rPr>
      </w:pPr>
      <w:r w:rsidRPr="00F05E09">
        <w:rPr>
          <w:rFonts w:ascii="Times New Roman" w:hAnsi="Times New Roman"/>
          <w:b/>
          <w:u w:val="single"/>
        </w:rPr>
        <w:t>INITIAL DECISION</w:t>
      </w:r>
    </w:p>
    <w:p w:rsidR="00DA07D4" w:rsidRPr="004B1CE0" w:rsidRDefault="00DA07D4" w:rsidP="00661A1C">
      <w:pPr>
        <w:jc w:val="center"/>
        <w:rPr>
          <w:rFonts w:ascii="Times New Roman" w:hAnsi="Times New Roman"/>
        </w:rPr>
      </w:pPr>
    </w:p>
    <w:p w:rsidR="00F05E09" w:rsidRDefault="00F05E09" w:rsidP="00661A1C">
      <w:pPr>
        <w:jc w:val="center"/>
        <w:rPr>
          <w:rFonts w:ascii="Times New Roman" w:hAnsi="Times New Roman"/>
        </w:rPr>
      </w:pPr>
    </w:p>
    <w:p w:rsidR="00DA07D4" w:rsidRPr="004B1CE0" w:rsidRDefault="00DA07D4" w:rsidP="00661A1C">
      <w:pPr>
        <w:jc w:val="center"/>
        <w:rPr>
          <w:rFonts w:ascii="Times New Roman" w:hAnsi="Times New Roman"/>
        </w:rPr>
      </w:pPr>
      <w:r w:rsidRPr="004B1CE0">
        <w:rPr>
          <w:rFonts w:ascii="Times New Roman" w:hAnsi="Times New Roman"/>
        </w:rPr>
        <w:t>Before</w:t>
      </w:r>
    </w:p>
    <w:p w:rsidR="00DA07D4" w:rsidRPr="004B1CE0" w:rsidRDefault="00EA22FA" w:rsidP="00661A1C">
      <w:pPr>
        <w:jc w:val="center"/>
        <w:rPr>
          <w:rFonts w:ascii="Times New Roman" w:hAnsi="Times New Roman"/>
        </w:rPr>
      </w:pPr>
      <w:r w:rsidRPr="004B1CE0">
        <w:rPr>
          <w:rFonts w:ascii="Times New Roman" w:hAnsi="Times New Roman"/>
        </w:rPr>
        <w:t>Mark A. Hoyer</w:t>
      </w:r>
    </w:p>
    <w:p w:rsidR="00DA07D4" w:rsidRPr="004B1CE0" w:rsidRDefault="00DA07D4" w:rsidP="00661A1C">
      <w:pPr>
        <w:jc w:val="center"/>
        <w:rPr>
          <w:rFonts w:ascii="Times New Roman" w:hAnsi="Times New Roman"/>
        </w:rPr>
      </w:pPr>
      <w:r w:rsidRPr="004B1CE0">
        <w:rPr>
          <w:rFonts w:ascii="Times New Roman" w:hAnsi="Times New Roman"/>
        </w:rPr>
        <w:t>Administrative Law Judge</w:t>
      </w:r>
    </w:p>
    <w:p w:rsidR="00DA07D4" w:rsidRDefault="00DA07D4" w:rsidP="00661A1C">
      <w:pPr>
        <w:jc w:val="both"/>
        <w:rPr>
          <w:rFonts w:ascii="Times New Roman" w:hAnsi="Times New Roman"/>
        </w:rPr>
      </w:pPr>
    </w:p>
    <w:p w:rsidR="00F05E09" w:rsidRPr="004B1CE0" w:rsidRDefault="00F05E09" w:rsidP="00661A1C">
      <w:pPr>
        <w:jc w:val="both"/>
        <w:rPr>
          <w:rFonts w:ascii="Times New Roman" w:hAnsi="Times New Roman"/>
        </w:rPr>
      </w:pPr>
    </w:p>
    <w:p w:rsidR="00DA07D4" w:rsidRPr="004B1CE0" w:rsidRDefault="00DA07D4" w:rsidP="00BA3305">
      <w:pPr>
        <w:spacing w:line="360" w:lineRule="auto"/>
        <w:rPr>
          <w:rFonts w:ascii="Times New Roman" w:hAnsi="Times New Roman"/>
        </w:rPr>
      </w:pPr>
      <w:r w:rsidRPr="004B1CE0">
        <w:rPr>
          <w:rFonts w:ascii="Times New Roman" w:hAnsi="Times New Roman"/>
        </w:rPr>
        <w:tab/>
      </w:r>
      <w:r w:rsidRPr="004B1CE0">
        <w:rPr>
          <w:rFonts w:ascii="Times New Roman" w:hAnsi="Times New Roman"/>
        </w:rPr>
        <w:tab/>
        <w:t xml:space="preserve">This Initial Decision </w:t>
      </w:r>
      <w:r w:rsidR="004821BD">
        <w:rPr>
          <w:rFonts w:ascii="Times New Roman" w:hAnsi="Times New Roman"/>
        </w:rPr>
        <w:t>dismisses</w:t>
      </w:r>
      <w:r w:rsidRPr="004B1CE0">
        <w:rPr>
          <w:rFonts w:ascii="Times New Roman" w:hAnsi="Times New Roman"/>
        </w:rPr>
        <w:t xml:space="preserve"> the formal complaint filed </w:t>
      </w:r>
      <w:r w:rsidR="00BA3305">
        <w:rPr>
          <w:rFonts w:ascii="Times New Roman" w:hAnsi="Times New Roman"/>
        </w:rPr>
        <w:t>with the Pennsylva</w:t>
      </w:r>
      <w:r w:rsidR="00D66D5D">
        <w:rPr>
          <w:rFonts w:ascii="Times New Roman" w:hAnsi="Times New Roman"/>
        </w:rPr>
        <w:t>nia Public Utility Commission (“</w:t>
      </w:r>
      <w:r w:rsidR="00BA3305">
        <w:rPr>
          <w:rFonts w:ascii="Times New Roman" w:hAnsi="Times New Roman"/>
        </w:rPr>
        <w:t>Commission</w:t>
      </w:r>
      <w:r w:rsidR="00D66D5D">
        <w:rPr>
          <w:rFonts w:ascii="Times New Roman" w:hAnsi="Times New Roman"/>
        </w:rPr>
        <w:t>”</w:t>
      </w:r>
      <w:r w:rsidR="00BA3305">
        <w:rPr>
          <w:rFonts w:ascii="Times New Roman" w:hAnsi="Times New Roman"/>
        </w:rPr>
        <w:t xml:space="preserve">) </w:t>
      </w:r>
      <w:r w:rsidRPr="004B1CE0">
        <w:rPr>
          <w:rFonts w:ascii="Times New Roman" w:hAnsi="Times New Roman"/>
        </w:rPr>
        <w:t xml:space="preserve">by </w:t>
      </w:r>
      <w:r w:rsidR="005A5198">
        <w:rPr>
          <w:rFonts w:ascii="Times New Roman" w:hAnsi="Times New Roman"/>
        </w:rPr>
        <w:t>Carlena Edwards</w:t>
      </w:r>
      <w:r w:rsidR="00D66D5D">
        <w:rPr>
          <w:rFonts w:ascii="Times New Roman" w:hAnsi="Times New Roman"/>
        </w:rPr>
        <w:t xml:space="preserve"> (“Complainant”)</w:t>
      </w:r>
      <w:r w:rsidR="00BA3305">
        <w:rPr>
          <w:rFonts w:ascii="Times New Roman" w:hAnsi="Times New Roman"/>
        </w:rPr>
        <w:t xml:space="preserve"> </w:t>
      </w:r>
      <w:r w:rsidRPr="004B1CE0">
        <w:rPr>
          <w:rFonts w:ascii="Times New Roman" w:hAnsi="Times New Roman"/>
        </w:rPr>
        <w:t xml:space="preserve">against </w:t>
      </w:r>
      <w:r w:rsidR="00BA3305">
        <w:rPr>
          <w:rFonts w:ascii="Times New Roman" w:hAnsi="Times New Roman"/>
        </w:rPr>
        <w:t xml:space="preserve">Duquesne Light </w:t>
      </w:r>
      <w:r w:rsidR="004821BD">
        <w:rPr>
          <w:rFonts w:ascii="Times New Roman" w:hAnsi="Times New Roman"/>
        </w:rPr>
        <w:t>Company (“</w:t>
      </w:r>
      <w:r w:rsidR="00BA3305">
        <w:rPr>
          <w:rFonts w:ascii="Times New Roman" w:hAnsi="Times New Roman"/>
        </w:rPr>
        <w:t>Duquesne Light</w:t>
      </w:r>
      <w:r w:rsidR="004821BD">
        <w:rPr>
          <w:rFonts w:ascii="Times New Roman" w:hAnsi="Times New Roman"/>
        </w:rPr>
        <w:t>” or “</w:t>
      </w:r>
      <w:r w:rsidR="00EA22FA" w:rsidRPr="004B1CE0">
        <w:rPr>
          <w:rFonts w:ascii="Times New Roman" w:hAnsi="Times New Roman"/>
        </w:rPr>
        <w:t>Respondent</w:t>
      </w:r>
      <w:r w:rsidR="004821BD">
        <w:rPr>
          <w:rFonts w:ascii="Times New Roman" w:hAnsi="Times New Roman"/>
        </w:rPr>
        <w:t>”</w:t>
      </w:r>
      <w:r w:rsidR="00EA22FA" w:rsidRPr="004B1CE0">
        <w:rPr>
          <w:rFonts w:ascii="Times New Roman" w:hAnsi="Times New Roman"/>
        </w:rPr>
        <w:t>)</w:t>
      </w:r>
      <w:r w:rsidR="00F6589B">
        <w:rPr>
          <w:rFonts w:ascii="Times New Roman" w:hAnsi="Times New Roman"/>
        </w:rPr>
        <w:t>, at Docket No.</w:t>
      </w:r>
      <w:r w:rsidR="00BA3305">
        <w:rPr>
          <w:rFonts w:ascii="Times New Roman" w:hAnsi="Times New Roman"/>
        </w:rPr>
        <w:t xml:space="preserve"> </w:t>
      </w:r>
      <w:r w:rsidR="005A5198">
        <w:rPr>
          <w:rFonts w:ascii="Times New Roman" w:hAnsi="Times New Roman"/>
        </w:rPr>
        <w:t>F-2010-2164449</w:t>
      </w:r>
      <w:r w:rsidR="00F068FC">
        <w:rPr>
          <w:rFonts w:ascii="Times New Roman" w:hAnsi="Times New Roman"/>
        </w:rPr>
        <w:t xml:space="preserve"> </w:t>
      </w:r>
      <w:r w:rsidR="00347633">
        <w:rPr>
          <w:rFonts w:ascii="Times New Roman" w:hAnsi="Times New Roman"/>
        </w:rPr>
        <w:t xml:space="preserve">pursuant to the doctrine of </w:t>
      </w:r>
      <w:r w:rsidR="00347633">
        <w:rPr>
          <w:rFonts w:ascii="Times New Roman" w:hAnsi="Times New Roman"/>
          <w:i/>
        </w:rPr>
        <w:t>res judicata</w:t>
      </w:r>
      <w:r w:rsidR="00347633">
        <w:rPr>
          <w:rFonts w:ascii="Times New Roman" w:hAnsi="Times New Roman"/>
        </w:rPr>
        <w:t xml:space="preserve">.  A final judgment on the merits of </w:t>
      </w:r>
      <w:r w:rsidR="00FD49F7">
        <w:rPr>
          <w:rFonts w:ascii="Times New Roman" w:hAnsi="Times New Roman"/>
        </w:rPr>
        <w:t>the cause of action raised</w:t>
      </w:r>
      <w:r w:rsidR="00347633">
        <w:rPr>
          <w:rFonts w:ascii="Times New Roman" w:hAnsi="Times New Roman"/>
        </w:rPr>
        <w:t xml:space="preserve"> in this complaint was rendered in the </w:t>
      </w:r>
      <w:r w:rsidR="00FD49F7">
        <w:rPr>
          <w:rFonts w:ascii="Times New Roman" w:hAnsi="Times New Roman"/>
        </w:rPr>
        <w:t xml:space="preserve">previous </w:t>
      </w:r>
      <w:r w:rsidR="00347633">
        <w:rPr>
          <w:rFonts w:ascii="Times New Roman" w:hAnsi="Times New Roman"/>
        </w:rPr>
        <w:t>case</w:t>
      </w:r>
      <w:r w:rsidR="00FD49F7">
        <w:rPr>
          <w:rFonts w:ascii="Times New Roman" w:hAnsi="Times New Roman"/>
        </w:rPr>
        <w:t xml:space="preserve"> of </w:t>
      </w:r>
      <w:r w:rsidR="00FD49F7" w:rsidRPr="00EF638B">
        <w:rPr>
          <w:rFonts w:ascii="Times New Roman" w:hAnsi="Times New Roman"/>
          <w:i/>
        </w:rPr>
        <w:t>Carlena Edwards v. Duquesne Light Company</w:t>
      </w:r>
      <w:r w:rsidR="00FD49F7">
        <w:rPr>
          <w:rFonts w:ascii="Times New Roman" w:hAnsi="Times New Roman"/>
        </w:rPr>
        <w:t>,</w:t>
      </w:r>
      <w:r w:rsidR="00AB21E1">
        <w:rPr>
          <w:rFonts w:ascii="Times New Roman" w:hAnsi="Times New Roman"/>
        </w:rPr>
        <w:t xml:space="preserve"> at</w:t>
      </w:r>
      <w:r w:rsidR="00FD49F7">
        <w:rPr>
          <w:rFonts w:ascii="Times New Roman" w:hAnsi="Times New Roman"/>
        </w:rPr>
        <w:t xml:space="preserve"> Docket No. C-2008-2079834</w:t>
      </w:r>
      <w:r w:rsidR="00AB21E1">
        <w:rPr>
          <w:rFonts w:ascii="Times New Roman" w:hAnsi="Times New Roman"/>
        </w:rPr>
        <w:t xml:space="preserve"> (</w:t>
      </w:r>
      <w:r w:rsidR="00746FA6">
        <w:rPr>
          <w:rFonts w:ascii="Times New Roman" w:hAnsi="Times New Roman"/>
        </w:rPr>
        <w:t>Order entered September 1, 2009</w:t>
      </w:r>
      <w:r w:rsidR="004A0AEC">
        <w:rPr>
          <w:rFonts w:ascii="Times New Roman" w:hAnsi="Times New Roman"/>
        </w:rPr>
        <w:t>)</w:t>
      </w:r>
      <w:r w:rsidR="00FD49F7">
        <w:rPr>
          <w:rFonts w:ascii="Times New Roman" w:hAnsi="Times New Roman"/>
        </w:rPr>
        <w:t>.</w:t>
      </w:r>
      <w:r w:rsidR="00FD49F7">
        <w:rPr>
          <w:rStyle w:val="FootnoteReference"/>
          <w:rFonts w:ascii="Times New Roman" w:hAnsi="Times New Roman"/>
        </w:rPr>
        <w:footnoteReference w:id="1"/>
      </w:r>
      <w:r w:rsidR="00347633">
        <w:rPr>
          <w:rFonts w:ascii="Times New Roman" w:hAnsi="Times New Roman"/>
        </w:rPr>
        <w:t xml:space="preserve"> </w:t>
      </w:r>
    </w:p>
    <w:p w:rsidR="00CD5C8C" w:rsidRDefault="00CD5C8C" w:rsidP="00DA07D4">
      <w:pPr>
        <w:spacing w:line="360" w:lineRule="auto"/>
        <w:jc w:val="center"/>
        <w:rPr>
          <w:rFonts w:ascii="Times New Roman" w:hAnsi="Times New Roman"/>
          <w:u w:val="single"/>
        </w:rPr>
      </w:pPr>
    </w:p>
    <w:p w:rsidR="00DA07D4" w:rsidRPr="00F05E09" w:rsidRDefault="00DA07D4" w:rsidP="00DA07D4">
      <w:pPr>
        <w:spacing w:line="360" w:lineRule="auto"/>
        <w:jc w:val="center"/>
        <w:rPr>
          <w:rFonts w:ascii="Times New Roman" w:hAnsi="Times New Roman"/>
          <w:caps/>
          <w:u w:val="single"/>
        </w:rPr>
      </w:pPr>
      <w:r w:rsidRPr="00F05E09">
        <w:rPr>
          <w:rFonts w:ascii="Times New Roman" w:hAnsi="Times New Roman"/>
          <w:caps/>
          <w:u w:val="single"/>
        </w:rPr>
        <w:t>History of the Proceeding</w:t>
      </w:r>
    </w:p>
    <w:p w:rsidR="00A24673" w:rsidRPr="004B1CE0" w:rsidRDefault="00A24673" w:rsidP="00DA07D4">
      <w:pPr>
        <w:spacing w:line="360" w:lineRule="auto"/>
        <w:jc w:val="center"/>
        <w:rPr>
          <w:rFonts w:ascii="Times New Roman" w:hAnsi="Times New Roman"/>
        </w:rPr>
      </w:pPr>
    </w:p>
    <w:p w:rsidR="00A24673" w:rsidRDefault="00DA07D4" w:rsidP="00F05E09">
      <w:pPr>
        <w:spacing w:line="360" w:lineRule="auto"/>
        <w:rPr>
          <w:rFonts w:ascii="Times New Roman" w:hAnsi="Times New Roman"/>
        </w:rPr>
      </w:pPr>
      <w:r w:rsidRPr="004B1CE0">
        <w:rPr>
          <w:rFonts w:ascii="Times New Roman" w:hAnsi="Times New Roman"/>
        </w:rPr>
        <w:tab/>
      </w:r>
      <w:r w:rsidRPr="004B1CE0">
        <w:rPr>
          <w:rFonts w:ascii="Times New Roman" w:hAnsi="Times New Roman"/>
        </w:rPr>
        <w:tab/>
        <w:t>M</w:t>
      </w:r>
      <w:r w:rsidR="00030B3C">
        <w:rPr>
          <w:rFonts w:ascii="Times New Roman" w:hAnsi="Times New Roman"/>
        </w:rPr>
        <w:t>s</w:t>
      </w:r>
      <w:r w:rsidR="00C65D09">
        <w:rPr>
          <w:rFonts w:ascii="Times New Roman" w:hAnsi="Times New Roman"/>
        </w:rPr>
        <w:t>.</w:t>
      </w:r>
      <w:r w:rsidR="00030B3C">
        <w:rPr>
          <w:rFonts w:ascii="Times New Roman" w:hAnsi="Times New Roman"/>
        </w:rPr>
        <w:t xml:space="preserve"> </w:t>
      </w:r>
      <w:r w:rsidR="00D66D5D">
        <w:rPr>
          <w:rFonts w:ascii="Times New Roman" w:hAnsi="Times New Roman"/>
        </w:rPr>
        <w:t>Edwards</w:t>
      </w:r>
      <w:r w:rsidR="00030B3C">
        <w:rPr>
          <w:rFonts w:ascii="Times New Roman" w:hAnsi="Times New Roman"/>
        </w:rPr>
        <w:t xml:space="preserve"> filed </w:t>
      </w:r>
      <w:r w:rsidR="00D66D5D">
        <w:rPr>
          <w:rFonts w:ascii="Times New Roman" w:hAnsi="Times New Roman"/>
        </w:rPr>
        <w:t>the instant</w:t>
      </w:r>
      <w:r w:rsidRPr="004B1CE0">
        <w:rPr>
          <w:rFonts w:ascii="Times New Roman" w:hAnsi="Times New Roman"/>
        </w:rPr>
        <w:t xml:space="preserve"> complaint against </w:t>
      </w:r>
      <w:r w:rsidR="00030B3C">
        <w:rPr>
          <w:rFonts w:ascii="Times New Roman" w:hAnsi="Times New Roman"/>
        </w:rPr>
        <w:t xml:space="preserve">Duquesne Light </w:t>
      </w:r>
      <w:r w:rsidR="001D4118">
        <w:rPr>
          <w:rFonts w:ascii="Times New Roman" w:hAnsi="Times New Roman"/>
        </w:rPr>
        <w:t xml:space="preserve">on </w:t>
      </w:r>
      <w:r w:rsidR="00D66D5D">
        <w:rPr>
          <w:rFonts w:ascii="Times New Roman" w:hAnsi="Times New Roman"/>
        </w:rPr>
        <w:t>March 15, 2010</w:t>
      </w:r>
      <w:r w:rsidR="00030B3C">
        <w:rPr>
          <w:rFonts w:ascii="Times New Roman" w:hAnsi="Times New Roman"/>
        </w:rPr>
        <w:t xml:space="preserve">, </w:t>
      </w:r>
      <w:r w:rsidR="00882EB7">
        <w:rPr>
          <w:rFonts w:ascii="Times New Roman" w:hAnsi="Times New Roman"/>
        </w:rPr>
        <w:t xml:space="preserve">“again disputing the charge of $3,183.00 which had been written off by Duquesne Light…”  </w:t>
      </w:r>
      <w:r w:rsidR="00882EB7">
        <w:rPr>
          <w:rFonts w:ascii="Times New Roman" w:hAnsi="Times New Roman"/>
          <w:i/>
        </w:rPr>
        <w:t xml:space="preserve">See </w:t>
      </w:r>
      <w:r w:rsidR="00882EB7">
        <w:rPr>
          <w:rFonts w:ascii="Times New Roman" w:hAnsi="Times New Roman"/>
        </w:rPr>
        <w:t>Formal Complaint Form, Attachment</w:t>
      </w:r>
      <w:r w:rsidR="00103033">
        <w:rPr>
          <w:rFonts w:ascii="Times New Roman" w:hAnsi="Times New Roman"/>
        </w:rPr>
        <w:t xml:space="preserve">.  </w:t>
      </w:r>
      <w:r w:rsidR="00C65D09">
        <w:rPr>
          <w:rFonts w:ascii="Times New Roman" w:hAnsi="Times New Roman"/>
        </w:rPr>
        <w:t xml:space="preserve">Duquesne Light filed its Answer on </w:t>
      </w:r>
      <w:r w:rsidR="00D934EA">
        <w:rPr>
          <w:rFonts w:ascii="Times New Roman" w:hAnsi="Times New Roman"/>
        </w:rPr>
        <w:t>April 8</w:t>
      </w:r>
      <w:r w:rsidR="003B25CF">
        <w:rPr>
          <w:rFonts w:ascii="Times New Roman" w:hAnsi="Times New Roman"/>
        </w:rPr>
        <w:t>, 20</w:t>
      </w:r>
      <w:r w:rsidR="00D934EA">
        <w:rPr>
          <w:rFonts w:ascii="Times New Roman" w:hAnsi="Times New Roman"/>
        </w:rPr>
        <w:t>10</w:t>
      </w:r>
      <w:r w:rsidR="00C65D09">
        <w:rPr>
          <w:rFonts w:ascii="Times New Roman" w:hAnsi="Times New Roman"/>
        </w:rPr>
        <w:t xml:space="preserve"> denying the material averments contained in the complaint</w:t>
      </w:r>
      <w:r w:rsidR="00D55E3B">
        <w:rPr>
          <w:rFonts w:ascii="Times New Roman" w:hAnsi="Times New Roman"/>
        </w:rPr>
        <w:t xml:space="preserve"> and requesting that the complaint be dismissed.  </w:t>
      </w:r>
    </w:p>
    <w:p w:rsidR="005448C7" w:rsidRDefault="005448C7" w:rsidP="00F05E09">
      <w:pPr>
        <w:spacing w:line="360" w:lineRule="auto"/>
        <w:rPr>
          <w:rFonts w:ascii="Times New Roman" w:hAnsi="Times New Roman"/>
        </w:rPr>
      </w:pPr>
    </w:p>
    <w:p w:rsidR="003E3FD6" w:rsidRDefault="00D018B8" w:rsidP="005448C7">
      <w:pPr>
        <w:spacing w:line="360" w:lineRule="auto"/>
        <w:rPr>
          <w:rFonts w:ascii="Times New Roman" w:hAnsi="Times New Roman"/>
        </w:rPr>
      </w:pPr>
      <w:r>
        <w:rPr>
          <w:rFonts w:ascii="Times New Roman" w:hAnsi="Times New Roman"/>
        </w:rPr>
        <w:tab/>
      </w:r>
      <w:r>
        <w:rPr>
          <w:rFonts w:ascii="Times New Roman" w:hAnsi="Times New Roman"/>
        </w:rPr>
        <w:tab/>
      </w:r>
      <w:r w:rsidR="00E64A7C">
        <w:rPr>
          <w:rFonts w:ascii="Times New Roman" w:hAnsi="Times New Roman"/>
        </w:rPr>
        <w:t xml:space="preserve">A </w:t>
      </w:r>
      <w:r w:rsidR="00A642F5">
        <w:rPr>
          <w:rFonts w:ascii="Times New Roman" w:hAnsi="Times New Roman"/>
        </w:rPr>
        <w:t xml:space="preserve">Telephone </w:t>
      </w:r>
      <w:r w:rsidR="00E64A7C">
        <w:rPr>
          <w:rFonts w:ascii="Times New Roman" w:hAnsi="Times New Roman"/>
        </w:rPr>
        <w:t>H</w:t>
      </w:r>
      <w:r w:rsidR="009A3666">
        <w:rPr>
          <w:rFonts w:ascii="Times New Roman" w:hAnsi="Times New Roman"/>
        </w:rPr>
        <w:t xml:space="preserve">earing Notice was mailed to </w:t>
      </w:r>
      <w:r w:rsidR="004425AD">
        <w:rPr>
          <w:rFonts w:ascii="Times New Roman" w:hAnsi="Times New Roman"/>
        </w:rPr>
        <w:t>Ms. Edwards and Duquesne Light (“the Parties”)</w:t>
      </w:r>
      <w:r w:rsidR="009A3666">
        <w:rPr>
          <w:rFonts w:ascii="Times New Roman" w:hAnsi="Times New Roman"/>
        </w:rPr>
        <w:t xml:space="preserve"> </w:t>
      </w:r>
      <w:r w:rsidR="00E64A7C">
        <w:rPr>
          <w:rFonts w:ascii="Times New Roman" w:hAnsi="Times New Roman"/>
        </w:rPr>
        <w:t xml:space="preserve">on </w:t>
      </w:r>
      <w:r w:rsidR="004425AD">
        <w:rPr>
          <w:rFonts w:ascii="Times New Roman" w:hAnsi="Times New Roman"/>
        </w:rPr>
        <w:t xml:space="preserve">March 16, 2011.  </w:t>
      </w:r>
      <w:r w:rsidR="004425AD" w:rsidRPr="004B1CE0">
        <w:rPr>
          <w:rFonts w:ascii="Times New Roman" w:hAnsi="Times New Roman"/>
        </w:rPr>
        <w:t xml:space="preserve">A Prehearing Order was issued in this case on </w:t>
      </w:r>
      <w:r w:rsidR="004425AD">
        <w:rPr>
          <w:rFonts w:ascii="Times New Roman" w:hAnsi="Times New Roman"/>
        </w:rPr>
        <w:t>March 23, 2011.  A Corrected Telephone Hearing Notice was mailed to the Parties on March 28, 2011</w:t>
      </w:r>
      <w:r w:rsidR="00A642F5">
        <w:rPr>
          <w:rFonts w:ascii="Times New Roman" w:hAnsi="Times New Roman"/>
        </w:rPr>
        <w:t xml:space="preserve"> </w:t>
      </w:r>
      <w:r w:rsidR="009A3666">
        <w:rPr>
          <w:rFonts w:ascii="Times New Roman" w:hAnsi="Times New Roman"/>
        </w:rPr>
        <w:t xml:space="preserve">scheduling an initial </w:t>
      </w:r>
      <w:r w:rsidR="00A642F5">
        <w:rPr>
          <w:rFonts w:ascii="Times New Roman" w:hAnsi="Times New Roman"/>
        </w:rPr>
        <w:t xml:space="preserve">telephonic </w:t>
      </w:r>
      <w:r w:rsidR="009A3666">
        <w:rPr>
          <w:rFonts w:ascii="Times New Roman" w:hAnsi="Times New Roman"/>
        </w:rPr>
        <w:t xml:space="preserve">hearing for </w:t>
      </w:r>
      <w:r w:rsidR="004425AD">
        <w:rPr>
          <w:rFonts w:ascii="Times New Roman" w:hAnsi="Times New Roman"/>
        </w:rPr>
        <w:t xml:space="preserve">Friday, April 15, 2011 at 10:00 a.m. </w:t>
      </w:r>
    </w:p>
    <w:p w:rsidR="003E3FD6" w:rsidRDefault="003E3FD6" w:rsidP="005448C7">
      <w:pPr>
        <w:spacing w:line="360" w:lineRule="auto"/>
        <w:rPr>
          <w:rFonts w:ascii="Times New Roman" w:hAnsi="Times New Roman"/>
        </w:rPr>
      </w:pPr>
    </w:p>
    <w:p w:rsidR="00CD5C8C" w:rsidRDefault="00D018B8" w:rsidP="00D018B8">
      <w:pPr>
        <w:spacing w:line="360" w:lineRule="auto"/>
        <w:ind w:firstLine="1440"/>
        <w:rPr>
          <w:rFonts w:ascii="Times New Roman" w:hAnsi="Times New Roman"/>
          <w:u w:val="single"/>
        </w:rPr>
      </w:pPr>
      <w:r>
        <w:rPr>
          <w:rFonts w:ascii="Times New Roman" w:hAnsi="Times New Roman"/>
        </w:rPr>
        <w:t>T</w:t>
      </w:r>
      <w:r w:rsidR="009A3666">
        <w:rPr>
          <w:rFonts w:ascii="Times New Roman" w:hAnsi="Times New Roman"/>
        </w:rPr>
        <w:t xml:space="preserve">he initial </w:t>
      </w:r>
      <w:r w:rsidR="003E3FD6">
        <w:rPr>
          <w:rFonts w:ascii="Times New Roman" w:hAnsi="Times New Roman"/>
        </w:rPr>
        <w:t xml:space="preserve">telephonic </w:t>
      </w:r>
      <w:r w:rsidR="009A3666">
        <w:rPr>
          <w:rFonts w:ascii="Times New Roman" w:hAnsi="Times New Roman"/>
        </w:rPr>
        <w:t xml:space="preserve">hearing </w:t>
      </w:r>
      <w:r w:rsidR="003E3FD6">
        <w:rPr>
          <w:rFonts w:ascii="Times New Roman" w:hAnsi="Times New Roman"/>
        </w:rPr>
        <w:t>convened</w:t>
      </w:r>
      <w:r w:rsidR="009A3666">
        <w:rPr>
          <w:rFonts w:ascii="Times New Roman" w:hAnsi="Times New Roman"/>
        </w:rPr>
        <w:t xml:space="preserve"> as scheduled.  </w:t>
      </w:r>
      <w:r w:rsidR="00784614" w:rsidRPr="004B1CE0">
        <w:rPr>
          <w:rFonts w:ascii="Times New Roman" w:hAnsi="Times New Roman"/>
        </w:rPr>
        <w:t>M</w:t>
      </w:r>
      <w:r w:rsidR="006E7B00">
        <w:rPr>
          <w:rFonts w:ascii="Times New Roman" w:hAnsi="Times New Roman"/>
        </w:rPr>
        <w:t xml:space="preserve">s. </w:t>
      </w:r>
      <w:r w:rsidR="003E3FD6">
        <w:rPr>
          <w:rFonts w:ascii="Times New Roman" w:hAnsi="Times New Roman"/>
        </w:rPr>
        <w:t>Edwards</w:t>
      </w:r>
      <w:r w:rsidR="006E7B00">
        <w:rPr>
          <w:rFonts w:ascii="Times New Roman" w:hAnsi="Times New Roman"/>
        </w:rPr>
        <w:t xml:space="preserve"> </w:t>
      </w:r>
      <w:r w:rsidR="00784614" w:rsidRPr="004B1CE0">
        <w:rPr>
          <w:rFonts w:ascii="Times New Roman" w:hAnsi="Times New Roman"/>
        </w:rPr>
        <w:t>appeared</w:t>
      </w:r>
      <w:r w:rsidR="003E3FD6">
        <w:rPr>
          <w:rFonts w:ascii="Times New Roman" w:hAnsi="Times New Roman"/>
        </w:rPr>
        <w:t xml:space="preserve"> </w:t>
      </w:r>
      <w:r w:rsidR="00784614" w:rsidRPr="004B1CE0">
        <w:rPr>
          <w:rFonts w:ascii="Times New Roman" w:hAnsi="Times New Roman"/>
          <w:i/>
        </w:rPr>
        <w:t>pro se</w:t>
      </w:r>
      <w:r w:rsidR="003E3FD6">
        <w:rPr>
          <w:rFonts w:ascii="Times New Roman" w:hAnsi="Times New Roman"/>
        </w:rPr>
        <w:t xml:space="preserve">.  Duquesne Light was represented by Krysia Kubiak, Esquire.  </w:t>
      </w:r>
      <w:r w:rsidR="003B489D">
        <w:rPr>
          <w:rFonts w:ascii="Times New Roman" w:hAnsi="Times New Roman"/>
        </w:rPr>
        <w:t xml:space="preserve">During the hearing, before any testimony was taken, the undersigned Administrative Law Judge (ALJ) asked </w:t>
      </w:r>
      <w:r w:rsidR="00EE5884">
        <w:rPr>
          <w:rFonts w:ascii="Times New Roman" w:hAnsi="Times New Roman"/>
        </w:rPr>
        <w:t xml:space="preserve">Ms. Edwards </w:t>
      </w:r>
      <w:r w:rsidR="003B489D">
        <w:rPr>
          <w:rFonts w:ascii="Times New Roman" w:hAnsi="Times New Roman"/>
        </w:rPr>
        <w:t>if the instant case concerned the same balance transfer as her previous case before ALJ Nemec (C</w:t>
      </w:r>
      <w:r>
        <w:rPr>
          <w:rFonts w:ascii="Times New Roman" w:hAnsi="Times New Roman"/>
        </w:rPr>
        <w:noBreakHyphen/>
      </w:r>
      <w:r w:rsidR="003B489D">
        <w:rPr>
          <w:rFonts w:ascii="Times New Roman" w:hAnsi="Times New Roman"/>
        </w:rPr>
        <w:t>2008-</w:t>
      </w:r>
      <w:r w:rsidR="005B198D">
        <w:rPr>
          <w:rFonts w:ascii="Times New Roman" w:hAnsi="Times New Roman"/>
        </w:rPr>
        <w:t>2079834) to which Ms</w:t>
      </w:r>
      <w:r w:rsidR="00DA3F3C">
        <w:rPr>
          <w:rFonts w:ascii="Times New Roman" w:hAnsi="Times New Roman"/>
        </w:rPr>
        <w:t>.</w:t>
      </w:r>
      <w:r w:rsidR="005B198D">
        <w:rPr>
          <w:rFonts w:ascii="Times New Roman" w:hAnsi="Times New Roman"/>
        </w:rPr>
        <w:t xml:space="preserve"> Edwards responded, “[y]es</w:t>
      </w:r>
      <w:r w:rsidR="00B11AFB">
        <w:rPr>
          <w:rFonts w:ascii="Times New Roman" w:hAnsi="Times New Roman"/>
        </w:rPr>
        <w:t>,</w:t>
      </w:r>
      <w:r w:rsidR="005B198D">
        <w:rPr>
          <w:rFonts w:ascii="Times New Roman" w:hAnsi="Times New Roman"/>
        </w:rPr>
        <w:t xml:space="preserve"> it does…”</w:t>
      </w:r>
      <w:r w:rsidR="008E1705">
        <w:rPr>
          <w:rFonts w:ascii="Times New Roman" w:hAnsi="Times New Roman"/>
        </w:rPr>
        <w:t xml:space="preserve"> (Tr. 10) and “[y]es.”  Tr. 14-15.</w:t>
      </w:r>
      <w:r w:rsidR="005B198D">
        <w:rPr>
          <w:rFonts w:ascii="Times New Roman" w:hAnsi="Times New Roman"/>
        </w:rPr>
        <w:t xml:space="preserve">  Attorney Kubiak made an oral motion to dismiss the instant complaint pursuant to the doctrine of </w:t>
      </w:r>
      <w:r w:rsidR="005B198D">
        <w:rPr>
          <w:rFonts w:ascii="Times New Roman" w:hAnsi="Times New Roman"/>
          <w:i/>
        </w:rPr>
        <w:t>res judicata</w:t>
      </w:r>
      <w:r w:rsidR="005B198D">
        <w:rPr>
          <w:rFonts w:ascii="Times New Roman" w:hAnsi="Times New Roman"/>
        </w:rPr>
        <w:t xml:space="preserve">.  </w:t>
      </w:r>
      <w:r w:rsidR="00B11AFB">
        <w:rPr>
          <w:rFonts w:ascii="Times New Roman" w:hAnsi="Times New Roman"/>
        </w:rPr>
        <w:t xml:space="preserve">Tr. 13.  </w:t>
      </w:r>
      <w:r w:rsidR="005B198D">
        <w:rPr>
          <w:rFonts w:ascii="Times New Roman" w:hAnsi="Times New Roman"/>
        </w:rPr>
        <w:t xml:space="preserve">The undersigned ALJ afforded Ms. Edwards an opportunity to respond to counsel’s motion to dismiss on the record.  Tr. </w:t>
      </w:r>
      <w:r w:rsidR="008F49AA">
        <w:rPr>
          <w:rFonts w:ascii="Times New Roman" w:hAnsi="Times New Roman"/>
        </w:rPr>
        <w:t>13-15.  The motion to dismiss was granted at the hearing.  Tr. 15.  The undersigned ALJ introduced two exhibits at the hearing.  ALJ Exhibit No. 1 is the Formal Complaint Form and Attachments filed with the Commission at Docket No. F-2010-</w:t>
      </w:r>
      <w:r w:rsidR="00B11AFB">
        <w:rPr>
          <w:rFonts w:ascii="Times New Roman" w:hAnsi="Times New Roman"/>
        </w:rPr>
        <w:t>2164449.  AL</w:t>
      </w:r>
      <w:r w:rsidR="008F49AA">
        <w:rPr>
          <w:rFonts w:ascii="Times New Roman" w:hAnsi="Times New Roman"/>
        </w:rPr>
        <w:t>J Exhibit No. 2</w:t>
      </w:r>
      <w:r w:rsidR="00B11AFB">
        <w:rPr>
          <w:rFonts w:ascii="Times New Roman" w:hAnsi="Times New Roman"/>
        </w:rPr>
        <w:t xml:space="preserve"> is a copy of the Initial Decision issued by ALJ Nemec in </w:t>
      </w:r>
      <w:r w:rsidR="00B11AFB" w:rsidRPr="00EF638B">
        <w:rPr>
          <w:rFonts w:ascii="Times New Roman" w:hAnsi="Times New Roman"/>
          <w:i/>
        </w:rPr>
        <w:t>Carlena Edwards v. Duquesne Light Company</w:t>
      </w:r>
      <w:r w:rsidR="00B11AFB">
        <w:rPr>
          <w:rFonts w:ascii="Times New Roman" w:hAnsi="Times New Roman"/>
        </w:rPr>
        <w:t>, at Docket No. C-2008-2079834 (Order entered September 1, 2009).  Neither party objected to the admission of the aforementioned two exhibits</w:t>
      </w:r>
      <w:r w:rsidR="00EB1285">
        <w:rPr>
          <w:rFonts w:ascii="Times New Roman" w:hAnsi="Times New Roman"/>
        </w:rPr>
        <w:t xml:space="preserve">.  </w:t>
      </w:r>
      <w:r w:rsidR="00A50B84" w:rsidRPr="004B1CE0">
        <w:rPr>
          <w:rFonts w:ascii="Times New Roman" w:hAnsi="Times New Roman"/>
        </w:rPr>
        <w:t xml:space="preserve">Briefs were not requested </w:t>
      </w:r>
      <w:r w:rsidR="00A50B84">
        <w:rPr>
          <w:rFonts w:ascii="Times New Roman" w:hAnsi="Times New Roman"/>
        </w:rPr>
        <w:t xml:space="preserve">in this proceeding.  </w:t>
      </w:r>
      <w:r w:rsidR="00E64A7C" w:rsidRPr="004B1CE0">
        <w:rPr>
          <w:rFonts w:ascii="Times New Roman" w:hAnsi="Times New Roman"/>
        </w:rPr>
        <w:t>The record</w:t>
      </w:r>
      <w:r w:rsidR="00E64A7C">
        <w:rPr>
          <w:rFonts w:ascii="Times New Roman" w:hAnsi="Times New Roman"/>
        </w:rPr>
        <w:t xml:space="preserve"> consists of </w:t>
      </w:r>
      <w:r w:rsidR="00A50B84">
        <w:rPr>
          <w:rFonts w:ascii="Times New Roman" w:hAnsi="Times New Roman"/>
        </w:rPr>
        <w:t>a</w:t>
      </w:r>
      <w:r w:rsidR="00E64A7C">
        <w:rPr>
          <w:rFonts w:ascii="Times New Roman" w:hAnsi="Times New Roman"/>
        </w:rPr>
        <w:t xml:space="preserve"> </w:t>
      </w:r>
      <w:r w:rsidR="008E1705">
        <w:rPr>
          <w:rFonts w:ascii="Times New Roman" w:hAnsi="Times New Roman"/>
        </w:rPr>
        <w:t>17</w:t>
      </w:r>
      <w:r w:rsidR="00E64A7C" w:rsidRPr="004B1CE0">
        <w:rPr>
          <w:rFonts w:ascii="Times New Roman" w:hAnsi="Times New Roman"/>
        </w:rPr>
        <w:t>-page transcript</w:t>
      </w:r>
      <w:r w:rsidR="00EB1285">
        <w:rPr>
          <w:rFonts w:ascii="Times New Roman" w:hAnsi="Times New Roman"/>
        </w:rPr>
        <w:t xml:space="preserve"> and the aforementioned </w:t>
      </w:r>
      <w:r w:rsidR="008E1705">
        <w:rPr>
          <w:rFonts w:ascii="Times New Roman" w:hAnsi="Times New Roman"/>
        </w:rPr>
        <w:t>two ALJ</w:t>
      </w:r>
      <w:r w:rsidR="00EB1285">
        <w:rPr>
          <w:rFonts w:ascii="Times New Roman" w:hAnsi="Times New Roman"/>
        </w:rPr>
        <w:t xml:space="preserve"> exhibits.  </w:t>
      </w:r>
      <w:r w:rsidR="00883243" w:rsidRPr="004B1CE0">
        <w:rPr>
          <w:rFonts w:ascii="Times New Roman" w:hAnsi="Times New Roman"/>
        </w:rPr>
        <w:t>The record closed</w:t>
      </w:r>
      <w:r w:rsidR="00E64A7C">
        <w:rPr>
          <w:rFonts w:ascii="Times New Roman" w:hAnsi="Times New Roman"/>
        </w:rPr>
        <w:t xml:space="preserve"> by Interim Order Closing the</w:t>
      </w:r>
      <w:r w:rsidR="000A099D">
        <w:rPr>
          <w:rFonts w:ascii="Times New Roman" w:hAnsi="Times New Roman"/>
        </w:rPr>
        <w:t xml:space="preserve"> Hearing</w:t>
      </w:r>
      <w:r w:rsidR="00E64A7C">
        <w:rPr>
          <w:rFonts w:ascii="Times New Roman" w:hAnsi="Times New Roman"/>
        </w:rPr>
        <w:t xml:space="preserve"> Record on </w:t>
      </w:r>
      <w:r w:rsidR="008E1705">
        <w:rPr>
          <w:rFonts w:ascii="Times New Roman" w:hAnsi="Times New Roman"/>
        </w:rPr>
        <w:t xml:space="preserve">July 22, 2011.  </w:t>
      </w:r>
      <w:r w:rsidR="00E64A7C">
        <w:rPr>
          <w:rFonts w:ascii="Times New Roman" w:hAnsi="Times New Roman"/>
        </w:rPr>
        <w:t xml:space="preserve">This </w:t>
      </w:r>
      <w:r w:rsidR="004939F5">
        <w:rPr>
          <w:rFonts w:ascii="Times New Roman" w:hAnsi="Times New Roman"/>
        </w:rPr>
        <w:t>decision memorializes</w:t>
      </w:r>
      <w:r w:rsidR="00724967">
        <w:rPr>
          <w:rFonts w:ascii="Times New Roman" w:hAnsi="Times New Roman"/>
        </w:rPr>
        <w:t xml:space="preserve"> the undersigned ALJ’s ruling at the telephonic hearing on April 15, 2011.</w:t>
      </w:r>
    </w:p>
    <w:p w:rsidR="00CD5C8C" w:rsidRDefault="00CD5C8C" w:rsidP="00A3351C">
      <w:pPr>
        <w:spacing w:line="360" w:lineRule="auto"/>
        <w:jc w:val="center"/>
        <w:rPr>
          <w:rFonts w:ascii="Times New Roman" w:hAnsi="Times New Roman"/>
          <w:u w:val="single"/>
        </w:rPr>
      </w:pPr>
    </w:p>
    <w:p w:rsidR="0023071E" w:rsidRPr="00F05E09" w:rsidRDefault="00A3351C" w:rsidP="00A3351C">
      <w:pPr>
        <w:spacing w:line="360" w:lineRule="auto"/>
        <w:jc w:val="center"/>
        <w:rPr>
          <w:rFonts w:ascii="Times New Roman" w:hAnsi="Times New Roman"/>
          <w:caps/>
          <w:u w:val="single"/>
        </w:rPr>
      </w:pPr>
      <w:r w:rsidRPr="00F05E09">
        <w:rPr>
          <w:rFonts w:ascii="Times New Roman" w:hAnsi="Times New Roman"/>
          <w:caps/>
          <w:u w:val="single"/>
        </w:rPr>
        <w:t>Findings of Fact</w:t>
      </w:r>
    </w:p>
    <w:p w:rsidR="00CD5C8C" w:rsidRPr="004B1CE0" w:rsidRDefault="00CD5C8C" w:rsidP="00A3351C">
      <w:pPr>
        <w:spacing w:line="360" w:lineRule="auto"/>
        <w:jc w:val="center"/>
        <w:rPr>
          <w:rFonts w:ascii="Times New Roman" w:hAnsi="Times New Roman"/>
        </w:rPr>
      </w:pPr>
    </w:p>
    <w:p w:rsidR="00A3351C" w:rsidRPr="004B1CE0" w:rsidRDefault="00A3351C" w:rsidP="00F05E09">
      <w:pPr>
        <w:spacing w:line="360" w:lineRule="auto"/>
        <w:rPr>
          <w:rFonts w:ascii="Times New Roman" w:hAnsi="Times New Roman"/>
        </w:rPr>
      </w:pPr>
      <w:r w:rsidRPr="004B1CE0">
        <w:rPr>
          <w:rFonts w:ascii="Times New Roman" w:hAnsi="Times New Roman"/>
        </w:rPr>
        <w:tab/>
      </w:r>
      <w:r w:rsidRPr="004B1CE0">
        <w:rPr>
          <w:rFonts w:ascii="Times New Roman" w:hAnsi="Times New Roman"/>
        </w:rPr>
        <w:tab/>
        <w:t>1.</w:t>
      </w:r>
      <w:r w:rsidRPr="004B1CE0">
        <w:rPr>
          <w:rFonts w:ascii="Times New Roman" w:hAnsi="Times New Roman"/>
        </w:rPr>
        <w:tab/>
      </w:r>
      <w:r w:rsidR="008C71E8">
        <w:rPr>
          <w:rFonts w:ascii="Times New Roman" w:hAnsi="Times New Roman"/>
        </w:rPr>
        <w:t xml:space="preserve">On March 15, 2010, </w:t>
      </w:r>
      <w:r w:rsidR="00A54FD9" w:rsidRPr="004B1CE0">
        <w:rPr>
          <w:rFonts w:ascii="Times New Roman" w:hAnsi="Times New Roman"/>
        </w:rPr>
        <w:t>C</w:t>
      </w:r>
      <w:r w:rsidRPr="004B1CE0">
        <w:rPr>
          <w:rFonts w:ascii="Times New Roman" w:hAnsi="Times New Roman"/>
        </w:rPr>
        <w:t>omplainant</w:t>
      </w:r>
      <w:r w:rsidR="00A54FD9" w:rsidRPr="004B1CE0">
        <w:rPr>
          <w:rFonts w:ascii="Times New Roman" w:hAnsi="Times New Roman"/>
        </w:rPr>
        <w:t xml:space="preserve">, </w:t>
      </w:r>
      <w:r w:rsidR="008C71E8">
        <w:rPr>
          <w:rFonts w:ascii="Times New Roman" w:hAnsi="Times New Roman"/>
        </w:rPr>
        <w:t>Carlena Edwards filed a second complaint against Duquesne Light Company “again disputing the charge of $3,183.00 which had been written off by Duquesne Light…” (ALJ Exhibit No. 1</w:t>
      </w:r>
      <w:r w:rsidR="00F246B4">
        <w:rPr>
          <w:rFonts w:ascii="Times New Roman" w:hAnsi="Times New Roman"/>
        </w:rPr>
        <w:t xml:space="preserve">). </w:t>
      </w:r>
      <w:r w:rsidR="007C0F36">
        <w:rPr>
          <w:rFonts w:ascii="Times New Roman" w:hAnsi="Times New Roman"/>
        </w:rPr>
        <w:t xml:space="preserve">  </w:t>
      </w:r>
    </w:p>
    <w:p w:rsidR="00A54FD9" w:rsidRPr="004B1CE0" w:rsidRDefault="00A54FD9" w:rsidP="00F05E09">
      <w:pPr>
        <w:spacing w:line="360" w:lineRule="auto"/>
        <w:rPr>
          <w:rFonts w:ascii="Times New Roman" w:hAnsi="Times New Roman"/>
        </w:rPr>
      </w:pPr>
    </w:p>
    <w:p w:rsidR="00AE27FB" w:rsidRPr="004B1CE0" w:rsidRDefault="000F0431" w:rsidP="00F05E09">
      <w:pPr>
        <w:spacing w:line="360" w:lineRule="auto"/>
        <w:rPr>
          <w:rFonts w:ascii="Times New Roman" w:hAnsi="Times New Roman"/>
        </w:rPr>
      </w:pPr>
      <w:r>
        <w:rPr>
          <w:rFonts w:ascii="Times New Roman" w:hAnsi="Times New Roman"/>
        </w:rPr>
        <w:lastRenderedPageBreak/>
        <w:tab/>
      </w:r>
      <w:r>
        <w:rPr>
          <w:rFonts w:ascii="Times New Roman" w:hAnsi="Times New Roman"/>
        </w:rPr>
        <w:tab/>
        <w:t>2.</w:t>
      </w:r>
      <w:r>
        <w:rPr>
          <w:rFonts w:ascii="Times New Roman" w:hAnsi="Times New Roman"/>
        </w:rPr>
        <w:tab/>
      </w:r>
      <w:r w:rsidR="008C71E8">
        <w:rPr>
          <w:rFonts w:ascii="Times New Roman" w:hAnsi="Times New Roman"/>
        </w:rPr>
        <w:t xml:space="preserve">A final judgment on the merits of the cause of action raised in this complaint was rendered in the previous case of </w:t>
      </w:r>
      <w:r w:rsidR="008C71E8" w:rsidRPr="00EF638B">
        <w:rPr>
          <w:rFonts w:ascii="Times New Roman" w:hAnsi="Times New Roman"/>
          <w:i/>
        </w:rPr>
        <w:t>Carlena Edwards v. Duquesne Light Company</w:t>
      </w:r>
      <w:r w:rsidR="008C71E8">
        <w:rPr>
          <w:rFonts w:ascii="Times New Roman" w:hAnsi="Times New Roman"/>
        </w:rPr>
        <w:t>, at Docket No. C-2008-2079834 (Order entered September 1, 2009)</w:t>
      </w:r>
      <w:r w:rsidR="0001185E">
        <w:rPr>
          <w:rFonts w:ascii="Times New Roman" w:hAnsi="Times New Roman"/>
        </w:rPr>
        <w:t xml:space="preserve"> </w:t>
      </w:r>
      <w:r w:rsidR="008C71E8">
        <w:rPr>
          <w:rFonts w:ascii="Times New Roman" w:hAnsi="Times New Roman"/>
        </w:rPr>
        <w:t>(ALJ Exhibit No. 1 an</w:t>
      </w:r>
      <w:r w:rsidR="00F96CA4">
        <w:rPr>
          <w:rFonts w:ascii="Times New Roman" w:hAnsi="Times New Roman"/>
        </w:rPr>
        <w:t xml:space="preserve">d ALJ Exhibit No. 2).  </w:t>
      </w:r>
      <w:r w:rsidR="007117FC">
        <w:rPr>
          <w:rFonts w:ascii="Times New Roman" w:hAnsi="Times New Roman"/>
        </w:rPr>
        <w:t xml:space="preserve">  </w:t>
      </w:r>
      <w:r>
        <w:rPr>
          <w:rFonts w:ascii="Times New Roman" w:hAnsi="Times New Roman"/>
        </w:rPr>
        <w:t xml:space="preserve">  </w:t>
      </w:r>
      <w:r>
        <w:rPr>
          <w:rFonts w:ascii="Times New Roman" w:hAnsi="Times New Roman"/>
        </w:rPr>
        <w:tab/>
      </w:r>
      <w:r>
        <w:rPr>
          <w:rFonts w:ascii="Times New Roman" w:hAnsi="Times New Roman"/>
        </w:rPr>
        <w:tab/>
      </w:r>
      <w:r w:rsidR="00496014">
        <w:rPr>
          <w:rFonts w:ascii="Times New Roman" w:hAnsi="Times New Roman"/>
        </w:rPr>
        <w:t xml:space="preserve"> </w:t>
      </w:r>
    </w:p>
    <w:p w:rsidR="00FD3F53" w:rsidRPr="004B1CE0" w:rsidRDefault="00B030C0" w:rsidP="00F05E09">
      <w:pPr>
        <w:spacing w:line="360" w:lineRule="auto"/>
        <w:rPr>
          <w:rFonts w:ascii="Times New Roman" w:hAnsi="Times New Roman"/>
        </w:rPr>
      </w:pPr>
      <w:r w:rsidRPr="004B1CE0">
        <w:rPr>
          <w:rFonts w:ascii="Times New Roman" w:hAnsi="Times New Roman"/>
        </w:rPr>
        <w:tab/>
      </w:r>
      <w:r w:rsidR="00D9429C" w:rsidRPr="004B1CE0">
        <w:rPr>
          <w:rFonts w:ascii="Times New Roman" w:hAnsi="Times New Roman"/>
        </w:rPr>
        <w:t xml:space="preserve">   </w:t>
      </w:r>
      <w:r w:rsidR="00226B03" w:rsidRPr="004B1CE0">
        <w:rPr>
          <w:rFonts w:ascii="Times New Roman" w:hAnsi="Times New Roman"/>
        </w:rPr>
        <w:t xml:space="preserve">  </w:t>
      </w:r>
      <w:r w:rsidR="00FA6647" w:rsidRPr="004B1CE0">
        <w:rPr>
          <w:rFonts w:ascii="Times New Roman" w:hAnsi="Times New Roman"/>
        </w:rPr>
        <w:t xml:space="preserve"> </w:t>
      </w:r>
      <w:r w:rsidR="00946119" w:rsidRPr="004B1CE0">
        <w:rPr>
          <w:rFonts w:ascii="Times New Roman" w:hAnsi="Times New Roman"/>
        </w:rPr>
        <w:t xml:space="preserve"> </w:t>
      </w:r>
    </w:p>
    <w:p w:rsidR="00F505B3" w:rsidRPr="00F05E09" w:rsidRDefault="00F505B3" w:rsidP="00F505B3">
      <w:pPr>
        <w:spacing w:line="360" w:lineRule="auto"/>
        <w:jc w:val="center"/>
        <w:rPr>
          <w:rFonts w:ascii="Times New Roman" w:hAnsi="Times New Roman"/>
          <w:caps/>
          <w:u w:val="single"/>
        </w:rPr>
      </w:pPr>
      <w:r w:rsidRPr="00F05E09">
        <w:rPr>
          <w:rFonts w:ascii="Times New Roman" w:hAnsi="Times New Roman"/>
          <w:caps/>
          <w:u w:val="single"/>
        </w:rPr>
        <w:t>Discussion</w:t>
      </w:r>
    </w:p>
    <w:p w:rsidR="00DF384A" w:rsidRDefault="00DF384A" w:rsidP="00EF638B">
      <w:pPr>
        <w:spacing w:line="360" w:lineRule="auto"/>
        <w:rPr>
          <w:rFonts w:ascii="Times New Roman" w:hAnsi="Times New Roman"/>
          <w:u w:val="single"/>
        </w:rPr>
      </w:pPr>
    </w:p>
    <w:p w:rsidR="00EF638B" w:rsidRPr="003A01EC" w:rsidRDefault="00EF638B" w:rsidP="0068546C">
      <w:pPr>
        <w:spacing w:line="360" w:lineRule="auto"/>
        <w:ind w:firstLine="1440"/>
      </w:pPr>
      <w:r w:rsidRPr="003A01EC">
        <w:t xml:space="preserve">The doctrine of </w:t>
      </w:r>
      <w:r w:rsidRPr="005D7784">
        <w:rPr>
          <w:i/>
        </w:rPr>
        <w:t>res judicata</w:t>
      </w:r>
      <w:r w:rsidRPr="003A01EC">
        <w:t xml:space="preserve"> is designed to promote certainty, finality and judicial economy.  It reflects the refusal of the law to tolerate the relitigation of a matter decided by a court or agency of competent jurisdiction.  The courts have repeatedly stated that a "final valid judgment on the merits by a court of competent jurisdiction bars any future suit between the same parties on the same cause of action."  </w:t>
      </w:r>
      <w:r w:rsidRPr="00F53106">
        <w:rPr>
          <w:i/>
        </w:rPr>
        <w:t xml:space="preserve">McCarthy, et al. v. </w:t>
      </w:r>
      <w:smartTag w:uri="urn:schemas-microsoft-com:office:smarttags" w:element="PlaceType">
        <w:r w:rsidRPr="00F53106">
          <w:rPr>
            <w:i/>
          </w:rPr>
          <w:t>Township</w:t>
        </w:r>
      </w:smartTag>
      <w:r w:rsidRPr="00F53106">
        <w:rPr>
          <w:i/>
        </w:rPr>
        <w:t xml:space="preserve"> of </w:t>
      </w:r>
      <w:smartTag w:uri="urn:schemas-microsoft-com:office:smarttags" w:element="PlaceName">
        <w:r w:rsidRPr="00F53106">
          <w:rPr>
            <w:i/>
          </w:rPr>
          <w:t>McCandless</w:t>
        </w:r>
      </w:smartTag>
      <w:r w:rsidRPr="003A01EC">
        <w:t xml:space="preserve">, </w:t>
      </w:r>
      <w:smartTag w:uri="urn:schemas-microsoft-com:office:smarttags" w:element="Street">
        <w:smartTag w:uri="urn:schemas-microsoft-com:office:smarttags" w:element="address">
          <w:r w:rsidRPr="003A01EC">
            <w:t>7 Pa. Commonwealth Ct.</w:t>
          </w:r>
        </w:smartTag>
      </w:smartTag>
      <w:r w:rsidRPr="003A01EC">
        <w:t xml:space="preserve"> 611, 300 A.2d 815 (1973); </w:t>
      </w:r>
      <w:r w:rsidRPr="00F53106">
        <w:rPr>
          <w:i/>
        </w:rPr>
        <w:t xml:space="preserve">Martin v. </w:t>
      </w:r>
      <w:smartTag w:uri="urn:schemas-microsoft-com:office:smarttags" w:element="place">
        <w:r w:rsidRPr="00F53106">
          <w:rPr>
            <w:i/>
          </w:rPr>
          <w:t>Poole</w:t>
        </w:r>
      </w:smartTag>
      <w:r w:rsidRPr="003A01EC">
        <w:t xml:space="preserve">, </w:t>
      </w:r>
      <w:smartTag w:uri="urn:schemas-microsoft-com:office:smarttags" w:element="Street">
        <w:smartTag w:uri="urn:schemas-microsoft-com:office:smarttags" w:element="address">
          <w:r w:rsidRPr="003A01EC">
            <w:t>232 Pa. Superior Ct.</w:t>
          </w:r>
        </w:smartTag>
      </w:smartTag>
      <w:r w:rsidRPr="003A01EC">
        <w:t xml:space="preserve"> 263, </w:t>
      </w:r>
      <w:r>
        <w:t xml:space="preserve">336 </w:t>
      </w:r>
      <w:r w:rsidRPr="003A01EC">
        <w:t>A.2d 3</w:t>
      </w:r>
      <w:r>
        <w:t>63</w:t>
      </w:r>
      <w:r w:rsidRPr="003A01EC">
        <w:t xml:space="preserve"> (1975).  </w:t>
      </w:r>
    </w:p>
    <w:p w:rsidR="00EF638B" w:rsidRDefault="00EF638B" w:rsidP="0068546C">
      <w:pPr>
        <w:spacing w:line="360" w:lineRule="auto"/>
        <w:ind w:firstLine="1440"/>
      </w:pPr>
    </w:p>
    <w:p w:rsidR="00EF638B" w:rsidRDefault="00EF638B" w:rsidP="0068546C">
      <w:pPr>
        <w:spacing w:line="360" w:lineRule="auto"/>
        <w:ind w:firstLine="1440"/>
      </w:pPr>
      <w:r w:rsidRPr="003A01EC">
        <w:t xml:space="preserve">Under </w:t>
      </w:r>
      <w:r w:rsidRPr="005D7784">
        <w:rPr>
          <w:i/>
        </w:rPr>
        <w:t>res judicata</w:t>
      </w:r>
      <w:r w:rsidRPr="003A01EC">
        <w:t xml:space="preserve">, when a court of competent jurisdiction enters a final judgment on the merits of a cause of action, the parties to that case and their privies are thereafter bound "not only as to every matter which was offered and received, but also as to any other admissible matter which might have been offered."  </w:t>
      </w:r>
      <w:r w:rsidRPr="00F53106">
        <w:rPr>
          <w:i/>
        </w:rPr>
        <w:t>Commission v. Sunnen</w:t>
      </w:r>
      <w:r w:rsidRPr="003A01EC">
        <w:t xml:space="preserve">, 333 </w:t>
      </w:r>
      <w:smartTag w:uri="urn:schemas-microsoft-com:office:smarttags" w:element="country-region">
        <w:r w:rsidRPr="003A01EC">
          <w:t>U.S.</w:t>
        </w:r>
      </w:smartTag>
      <w:r w:rsidRPr="003A01EC">
        <w:t xml:space="preserve"> 591, 68 S.Ct. 715, 719 (1948); </w:t>
      </w:r>
      <w:r w:rsidRPr="00F53106">
        <w:rPr>
          <w:i/>
        </w:rPr>
        <w:t>Jones v. Costlow</w:t>
      </w:r>
      <w:r w:rsidRPr="003A01EC">
        <w:t xml:space="preserve">, 354 </w:t>
      </w:r>
      <w:smartTag w:uri="urn:schemas-microsoft-com:office:smarttags" w:element="place">
        <w:smartTag w:uri="urn:schemas-microsoft-com:office:smarttags" w:element="State">
          <w:r w:rsidRPr="003A01EC">
            <w:t>Pa.</w:t>
          </w:r>
        </w:smartTag>
      </w:smartTag>
      <w:r w:rsidRPr="003A01EC">
        <w:t xml:space="preserve"> 245, 47 A</w:t>
      </w:r>
      <w:r>
        <w:t>.</w:t>
      </w:r>
      <w:r w:rsidRPr="003A01EC">
        <w:t xml:space="preserve">2d 259 (1946).  For the doctrine to prevail, four conditions must be met: (1) identity of issues, (2) identity of causes of action, (3) identity of persons and parties to the action, and (4) identity of the quality and capacity of the parties suing or sued.  </w:t>
      </w:r>
      <w:r w:rsidRPr="00F53106">
        <w:rPr>
          <w:i/>
        </w:rPr>
        <w:t>Safeguard Mutual Insurance Co. v. Williams</w:t>
      </w:r>
      <w:r w:rsidRPr="003A01EC">
        <w:t xml:space="preserve">, 463 Pa. 567, 345 A.2d 664 (1975) and </w:t>
      </w:r>
      <w:r w:rsidRPr="00F53106">
        <w:rPr>
          <w:i/>
        </w:rPr>
        <w:t>Day v. Volkswagenwerk Aktiengesellschaft</w:t>
      </w:r>
      <w:r w:rsidRPr="003A01EC">
        <w:t xml:space="preserve">, 318 Pa. Superior Ct. 225, 464 A.2d 1313 (1983); </w:t>
      </w:r>
      <w:r w:rsidRPr="00F53106">
        <w:rPr>
          <w:i/>
        </w:rPr>
        <w:t>Northwestern Lehigh School District v. Commonwealth of Pennsylvania, Agricultural Lands Condemnation Approval Board</w:t>
      </w:r>
      <w:r w:rsidRPr="003A01EC">
        <w:t xml:space="preserve">, 134 Pa. Commonwealth Ct. 291, 578 A. 2d 614 (1990).  The </w:t>
      </w:r>
      <w:smartTag w:uri="urn:schemas-microsoft-com:office:smarttags" w:element="Street">
        <w:smartTag w:uri="urn:schemas-microsoft-com:office:smarttags" w:element="address">
          <w:r w:rsidRPr="003A01EC">
            <w:t>Commonwealth Court</w:t>
          </w:r>
        </w:smartTag>
      </w:smartTag>
      <w:r w:rsidRPr="003A01EC">
        <w:t xml:space="preserve"> stated that, "for the purposes of res judicata, there is identity of causes of action when in both the old and new proceedings, the subject matter and the ultimate issues are the same."  </w:t>
      </w:r>
      <w:r w:rsidRPr="00F53106">
        <w:rPr>
          <w:i/>
        </w:rPr>
        <w:t>Howard v. Department of Public Welfare</w:t>
      </w:r>
      <w:r w:rsidRPr="003A01EC">
        <w:t xml:space="preserve">, </w:t>
      </w:r>
      <w:smartTag w:uri="urn:schemas-microsoft-com:office:smarttags" w:element="Street">
        <w:smartTag w:uri="urn:schemas-microsoft-com:office:smarttags" w:element="address">
          <w:r w:rsidRPr="003A01EC">
            <w:t>108 Pa. Commonwealth Ct.</w:t>
          </w:r>
        </w:smartTag>
      </w:smartTag>
      <w:r w:rsidRPr="003A01EC">
        <w:t xml:space="preserve"> 592, 529 A.2d 1231 (1987).  Although the Commission's procedural rules do not specifically address the issue, it has adopted this well-settled legal principle.  </w:t>
      </w:r>
      <w:r w:rsidRPr="00BA5D37">
        <w:rPr>
          <w:i/>
        </w:rPr>
        <w:t>Ella Simms v. Philadelphia Electric Company</w:t>
      </w:r>
      <w:r w:rsidRPr="003A01EC">
        <w:t xml:space="preserve">, </w:t>
      </w:r>
      <w:r w:rsidRPr="003A01EC">
        <w:lastRenderedPageBreak/>
        <w:t xml:space="preserve">Docket No. F-889246 (1988).  The courts have acknowledged the role of </w:t>
      </w:r>
      <w:r w:rsidRPr="005D7784">
        <w:rPr>
          <w:i/>
        </w:rPr>
        <w:t>res judicata</w:t>
      </w:r>
      <w:r w:rsidRPr="003A01EC">
        <w:t xml:space="preserve"> and collateral estoppel in admi</w:t>
      </w:r>
      <w:r>
        <w:t>n</w:t>
      </w:r>
      <w:r w:rsidRPr="003A01EC">
        <w:t xml:space="preserve">istrative proceedings.  </w:t>
      </w:r>
      <w:r w:rsidRPr="003A01EC">
        <w:rPr>
          <w:u w:val="single"/>
        </w:rPr>
        <w:t>See</w:t>
      </w:r>
      <w:r w:rsidRPr="003A01EC">
        <w:t xml:space="preserve"> </w:t>
      </w:r>
      <w:r w:rsidRPr="00BA5D37">
        <w:rPr>
          <w:i/>
        </w:rPr>
        <w:t>Kentucky West Virginia Gas Co. v. Pennsylvania Public Utility Commission,</w:t>
      </w:r>
      <w:r w:rsidRPr="003A01EC">
        <w:t xml:space="preserve"> 721 F. Supp. 710 (M.D. Pa. 1989 (</w:t>
      </w:r>
      <w:r w:rsidRPr="003A01EC">
        <w:rPr>
          <w:u w:val="single"/>
        </w:rPr>
        <w:t>affd</w:t>
      </w:r>
      <w:r w:rsidRPr="003A01EC">
        <w:t>. 899 F. 2d 1217</w:t>
      </w:r>
      <w:r w:rsidR="00D934EA">
        <w:t>)</w:t>
      </w:r>
      <w:r w:rsidRPr="003A01EC">
        <w:t>.</w:t>
      </w:r>
    </w:p>
    <w:p w:rsidR="00EF638B" w:rsidRPr="003A01EC" w:rsidRDefault="00EF638B" w:rsidP="0068546C">
      <w:pPr>
        <w:spacing w:line="360" w:lineRule="auto"/>
        <w:ind w:firstLine="1440"/>
      </w:pPr>
    </w:p>
    <w:p w:rsidR="00560620" w:rsidRDefault="00EF638B" w:rsidP="0068546C">
      <w:pPr>
        <w:spacing w:line="360" w:lineRule="auto"/>
        <w:ind w:firstLine="1440"/>
      </w:pPr>
      <w:r w:rsidRPr="003A01EC">
        <w:t xml:space="preserve">The Commission has recognized the applicability of the doctrine of </w:t>
      </w:r>
      <w:r w:rsidRPr="003A01EC">
        <w:rPr>
          <w:i/>
        </w:rPr>
        <w:t>res judicata</w:t>
      </w:r>
      <w:r w:rsidRPr="003A01EC">
        <w:t xml:space="preserve"> in proceedings before it.  </w:t>
      </w:r>
      <w:r w:rsidRPr="00BA5D37">
        <w:rPr>
          <w:i/>
        </w:rPr>
        <w:t xml:space="preserve">O’Toole v. Bell Telephone Company of </w:t>
      </w:r>
      <w:smartTag w:uri="urn:schemas-microsoft-com:office:smarttags" w:element="State">
        <w:r w:rsidRPr="00BA5D37">
          <w:rPr>
            <w:i/>
          </w:rPr>
          <w:t>Pennsylvania</w:t>
        </w:r>
      </w:smartTag>
      <w:r w:rsidRPr="003A01EC">
        <w:t xml:space="preserve">, 77 </w:t>
      </w:r>
      <w:smartTag w:uri="urn:schemas-microsoft-com:office:smarttags" w:element="place">
        <w:smartTag w:uri="urn:schemas-microsoft-com:office:smarttags" w:element="State">
          <w:r w:rsidRPr="003A01EC">
            <w:t>Pa.</w:t>
          </w:r>
        </w:smartTag>
      </w:smartTag>
      <w:r w:rsidRPr="003A01EC">
        <w:t xml:space="preserve"> PUC 98 (1992). </w:t>
      </w:r>
      <w:r w:rsidR="0068546C">
        <w:t xml:space="preserve"> </w:t>
      </w:r>
      <w:r w:rsidRPr="00BA5D37">
        <w:rPr>
          <w:i/>
        </w:rPr>
        <w:t>Tomazin v. Pennsylvania-American Water Company</w:t>
      </w:r>
      <w:r w:rsidRPr="003A01EC">
        <w:t xml:space="preserve">, 1997 </w:t>
      </w:r>
      <w:smartTag w:uri="urn:schemas-microsoft-com:office:smarttags" w:element="place">
        <w:smartTag w:uri="urn:schemas-microsoft-com:office:smarttags" w:element="State">
          <w:r w:rsidRPr="003A01EC">
            <w:t>Pa.</w:t>
          </w:r>
        </w:smartTag>
      </w:smartTag>
      <w:r w:rsidRPr="003A01EC">
        <w:t xml:space="preserve"> PUC LEXIS 52 (1997).  The </w:t>
      </w:r>
      <w:smartTag w:uri="urn:schemas-microsoft-com:office:smarttags" w:element="place">
        <w:smartTag w:uri="urn:schemas-microsoft-com:office:smarttags" w:element="State">
          <w:r w:rsidRPr="003A01EC">
            <w:t>Pennsylvania</w:t>
          </w:r>
        </w:smartTag>
      </w:smartTag>
      <w:r w:rsidRPr="003A01EC">
        <w:t xml:space="preserve"> courts have affirmed the Commission’s application of the doctrine in the context of utility rate proceedings.  </w:t>
      </w:r>
      <w:r w:rsidRPr="00BA5D37">
        <w:rPr>
          <w:i/>
        </w:rPr>
        <w:t xml:space="preserve">Philadelphia Electric Company v. </w:t>
      </w:r>
      <w:smartTag w:uri="urn:schemas-microsoft-com:office:smarttags" w:element="State">
        <w:r w:rsidRPr="00BA5D37">
          <w:rPr>
            <w:i/>
          </w:rPr>
          <w:t>Pennsylvania</w:t>
        </w:r>
      </w:smartTag>
      <w:r w:rsidRPr="00BA5D37">
        <w:rPr>
          <w:i/>
        </w:rPr>
        <w:t xml:space="preserve"> Public Utility Commission</w:t>
      </w:r>
      <w:r w:rsidRPr="003A01EC">
        <w:t>,</w:t>
      </w:r>
      <w:r>
        <w:t xml:space="preserve"> </w:t>
      </w:r>
      <w:smartTag w:uri="urn:schemas-microsoft-com:office:smarttags" w:element="Street">
        <w:smartTag w:uri="urn:schemas-microsoft-com:office:smarttags" w:element="address">
          <w:r>
            <w:t>61 Pa. Commonwealth Ct.</w:t>
          </w:r>
        </w:smartTag>
      </w:smartTag>
      <w:r>
        <w:t xml:space="preserve"> 325, </w:t>
      </w:r>
      <w:r w:rsidRPr="003A01EC">
        <w:t>433 A.2d 620 (</w:t>
      </w:r>
      <w:smartTag w:uri="urn:schemas-microsoft-com:office:smarttags" w:element="place">
        <w:smartTag w:uri="urn:schemas-microsoft-com:office:smarttags" w:element="State">
          <w:r w:rsidRPr="003A01EC">
            <w:t>Pa.</w:t>
          </w:r>
        </w:smartTag>
      </w:smartTag>
      <w:r w:rsidRPr="003A01EC">
        <w:t xml:space="preserve"> Cmwlth. 1981).</w:t>
      </w:r>
    </w:p>
    <w:p w:rsidR="00560620" w:rsidRDefault="00560620" w:rsidP="0068546C">
      <w:pPr>
        <w:spacing w:line="360" w:lineRule="auto"/>
        <w:ind w:firstLine="1440"/>
      </w:pPr>
    </w:p>
    <w:p w:rsidR="00CF1819" w:rsidRDefault="00955BC2" w:rsidP="0068546C">
      <w:pPr>
        <w:spacing w:line="360" w:lineRule="auto"/>
        <w:ind w:firstLine="1440"/>
        <w:rPr>
          <w:rFonts w:ascii="Times New Roman" w:hAnsi="Times New Roman"/>
        </w:rPr>
      </w:pPr>
      <w:r>
        <w:t xml:space="preserve">In the instant case, both Complainant and Respondent were parties to the same cause of action with the same issues before the Commission at Docket No. </w:t>
      </w:r>
      <w:r>
        <w:rPr>
          <w:rFonts w:ascii="Times New Roman" w:hAnsi="Times New Roman"/>
        </w:rPr>
        <w:t>C-2008-2079834 (Order entered September 1, 2009)</w:t>
      </w:r>
      <w:r>
        <w:t>.</w:t>
      </w:r>
      <w:r w:rsidR="00CF1819">
        <w:t xml:space="preserve">  In both cases, Complainant disputes the very same balance transfer.  ALJ Nemec’s Initial Decision on this cause of action at Docket No. C-2008-2079834 became final without further Commission action pursuant to the Public Utility Code (Code), 66 </w:t>
      </w:r>
      <w:smartTag w:uri="urn:schemas-microsoft-com:office:smarttags" w:element="place">
        <w:smartTag w:uri="urn:schemas-microsoft-com:office:smarttags" w:element="State">
          <w:r w:rsidR="00CF1819">
            <w:t>Pa.</w:t>
          </w:r>
        </w:smartTag>
      </w:smartTag>
      <w:r w:rsidR="00CF1819">
        <w:t xml:space="preserve"> C.S. §332(h).   </w:t>
      </w:r>
      <w:r>
        <w:t xml:space="preserve">  </w:t>
      </w:r>
      <w:r w:rsidR="00DF384A">
        <w:rPr>
          <w:rFonts w:ascii="Times New Roman" w:hAnsi="Times New Roman"/>
        </w:rPr>
        <w:tab/>
      </w:r>
    </w:p>
    <w:p w:rsidR="00CF1819" w:rsidRDefault="00CF1819" w:rsidP="0068546C">
      <w:pPr>
        <w:spacing w:line="360" w:lineRule="auto"/>
        <w:ind w:firstLine="1440"/>
        <w:rPr>
          <w:rFonts w:ascii="Times New Roman" w:hAnsi="Times New Roman"/>
        </w:rPr>
      </w:pPr>
    </w:p>
    <w:p w:rsidR="006D69C9" w:rsidRPr="006D69C9" w:rsidRDefault="00CF1819" w:rsidP="0068546C">
      <w:pPr>
        <w:spacing w:line="360" w:lineRule="auto"/>
        <w:ind w:firstLine="1440"/>
        <w:rPr>
          <w:rFonts w:ascii="Times New Roman" w:hAnsi="Times New Roman"/>
        </w:rPr>
      </w:pPr>
      <w:r>
        <w:rPr>
          <w:rFonts w:ascii="Times New Roman" w:hAnsi="Times New Roman"/>
        </w:rPr>
        <w:t xml:space="preserve">Counsel for Duquesne Light made an oral motion at the </w:t>
      </w:r>
      <w:r w:rsidR="003F748D">
        <w:rPr>
          <w:rFonts w:ascii="Times New Roman" w:hAnsi="Times New Roman"/>
        </w:rPr>
        <w:t xml:space="preserve">hearing on April 15, 2011 to dismiss the complaint based on the doctrine of </w:t>
      </w:r>
      <w:r w:rsidR="003F748D">
        <w:rPr>
          <w:rFonts w:ascii="Times New Roman" w:hAnsi="Times New Roman"/>
          <w:i/>
        </w:rPr>
        <w:t>res judicata</w:t>
      </w:r>
      <w:r w:rsidR="003F748D">
        <w:rPr>
          <w:rFonts w:ascii="Times New Roman" w:hAnsi="Times New Roman"/>
        </w:rPr>
        <w:t>.</w:t>
      </w:r>
      <w:r w:rsidR="00837D50">
        <w:rPr>
          <w:rFonts w:ascii="Times New Roman" w:hAnsi="Times New Roman"/>
        </w:rPr>
        <w:t xml:space="preserve">  </w:t>
      </w:r>
      <w:r w:rsidR="00837D50">
        <w:rPr>
          <w:rFonts w:ascii="Times New Roman" w:hAnsi="Times New Roman"/>
          <w:i/>
        </w:rPr>
        <w:t xml:space="preserve">See </w:t>
      </w:r>
      <w:r w:rsidR="00837D50">
        <w:rPr>
          <w:rFonts w:ascii="Times New Roman" w:hAnsi="Times New Roman"/>
        </w:rPr>
        <w:t xml:space="preserve">52 </w:t>
      </w:r>
      <w:smartTag w:uri="urn:schemas-microsoft-com:office:smarttags" w:element="place">
        <w:smartTag w:uri="urn:schemas-microsoft-com:office:smarttags" w:element="State">
          <w:r w:rsidR="00837D50">
            <w:rPr>
              <w:rFonts w:ascii="Times New Roman" w:hAnsi="Times New Roman"/>
            </w:rPr>
            <w:t>Pa.</w:t>
          </w:r>
        </w:smartTag>
      </w:smartTag>
      <w:r w:rsidR="00837D50">
        <w:rPr>
          <w:rFonts w:ascii="Times New Roman" w:hAnsi="Times New Roman"/>
        </w:rPr>
        <w:t xml:space="preserve"> Code §5.103.  </w:t>
      </w:r>
      <w:r w:rsidR="003F748D" w:rsidRPr="00837D50">
        <w:rPr>
          <w:rFonts w:ascii="Times New Roman" w:hAnsi="Times New Roman"/>
        </w:rPr>
        <w:t>Ms</w:t>
      </w:r>
      <w:r w:rsidR="003F748D">
        <w:rPr>
          <w:rFonts w:ascii="Times New Roman" w:hAnsi="Times New Roman"/>
        </w:rPr>
        <w:t>.</w:t>
      </w:r>
      <w:r w:rsidR="0068546C">
        <w:rPr>
          <w:rFonts w:ascii="Times New Roman" w:hAnsi="Times New Roman"/>
        </w:rPr>
        <w:t> </w:t>
      </w:r>
      <w:r w:rsidR="003F748D">
        <w:rPr>
          <w:rFonts w:ascii="Times New Roman" w:hAnsi="Times New Roman"/>
        </w:rPr>
        <w:t xml:space="preserve">Edwards was afforded an opportunity to respond on the record to that motion.  </w:t>
      </w:r>
      <w:r w:rsidR="00582206">
        <w:rPr>
          <w:rFonts w:ascii="Times New Roman" w:hAnsi="Times New Roman"/>
        </w:rPr>
        <w:t>In response, Ms. Edwards admitted that this proceeding concerns the same balance transfer cause of action addressed in ALJ Nemec’s Initial Decision.  Tr.</w:t>
      </w:r>
      <w:r w:rsidR="00D934EA">
        <w:rPr>
          <w:rFonts w:ascii="Times New Roman" w:hAnsi="Times New Roman"/>
        </w:rPr>
        <w:t xml:space="preserve"> </w:t>
      </w:r>
      <w:r w:rsidR="00582206">
        <w:rPr>
          <w:rFonts w:ascii="Times New Roman" w:hAnsi="Times New Roman"/>
        </w:rPr>
        <w:t xml:space="preserve">10, 14-15.  </w:t>
      </w:r>
      <w:r w:rsidR="003F748D">
        <w:rPr>
          <w:rFonts w:ascii="Times New Roman" w:hAnsi="Times New Roman"/>
        </w:rPr>
        <w:t xml:space="preserve">The undersigned ALJ granted Duquesne Light’s motion to dismiss at the hearing.  </w:t>
      </w:r>
      <w:r w:rsidR="00837D50">
        <w:rPr>
          <w:rFonts w:ascii="Times New Roman" w:hAnsi="Times New Roman"/>
        </w:rPr>
        <w:t xml:space="preserve">The cause of action raised in the instant complaint is barred by the doctrine of </w:t>
      </w:r>
      <w:r w:rsidR="00837D50" w:rsidRPr="00837D50">
        <w:rPr>
          <w:rFonts w:ascii="Times New Roman" w:hAnsi="Times New Roman"/>
          <w:i/>
        </w:rPr>
        <w:t>res judicata</w:t>
      </w:r>
      <w:r w:rsidR="00837D50">
        <w:rPr>
          <w:rFonts w:ascii="Times New Roman" w:hAnsi="Times New Roman"/>
        </w:rPr>
        <w:t xml:space="preserve">.  </w:t>
      </w:r>
      <w:r w:rsidR="003F748D" w:rsidRPr="00837D50">
        <w:rPr>
          <w:rFonts w:ascii="Times New Roman" w:hAnsi="Times New Roman"/>
        </w:rPr>
        <w:t>This</w:t>
      </w:r>
      <w:r w:rsidR="003F748D">
        <w:rPr>
          <w:rFonts w:ascii="Times New Roman" w:hAnsi="Times New Roman"/>
        </w:rPr>
        <w:t xml:space="preserve"> Initial Decision memorializes th</w:t>
      </w:r>
      <w:r w:rsidR="00582206">
        <w:rPr>
          <w:rFonts w:ascii="Times New Roman" w:hAnsi="Times New Roman"/>
        </w:rPr>
        <w:t>e</w:t>
      </w:r>
      <w:r w:rsidR="003F748D">
        <w:rPr>
          <w:rFonts w:ascii="Times New Roman" w:hAnsi="Times New Roman"/>
        </w:rPr>
        <w:t xml:space="preserve"> ruling</w:t>
      </w:r>
      <w:r w:rsidR="00582206">
        <w:rPr>
          <w:rFonts w:ascii="Times New Roman" w:hAnsi="Times New Roman"/>
        </w:rPr>
        <w:t xml:space="preserve"> made at the hearing</w:t>
      </w:r>
      <w:r w:rsidR="003F748D">
        <w:rPr>
          <w:rFonts w:ascii="Times New Roman" w:hAnsi="Times New Roman"/>
        </w:rPr>
        <w:t xml:space="preserve">.    </w:t>
      </w:r>
      <w:r w:rsidR="003B208C" w:rsidRPr="004B1CE0">
        <w:rPr>
          <w:rFonts w:ascii="Times New Roman" w:hAnsi="Times New Roman"/>
        </w:rPr>
        <w:tab/>
      </w:r>
      <w:r w:rsidR="006D69C9" w:rsidRPr="006D69C9">
        <w:rPr>
          <w:rFonts w:ascii="Times New Roman" w:hAnsi="Times New Roman"/>
        </w:rPr>
        <w:t xml:space="preserve"> </w:t>
      </w:r>
    </w:p>
    <w:p w:rsidR="009617A1" w:rsidRPr="006D69C9" w:rsidRDefault="0068049E" w:rsidP="00F05E09">
      <w:pPr>
        <w:spacing w:line="360" w:lineRule="auto"/>
        <w:rPr>
          <w:rFonts w:ascii="Times New Roman" w:hAnsi="Times New Roman"/>
        </w:rPr>
      </w:pPr>
      <w:r w:rsidRPr="006D69C9">
        <w:rPr>
          <w:rFonts w:ascii="Times New Roman" w:hAnsi="Times New Roman"/>
        </w:rPr>
        <w:t xml:space="preserve"> </w:t>
      </w:r>
      <w:r w:rsidR="00D020E2" w:rsidRPr="006D69C9">
        <w:rPr>
          <w:rFonts w:ascii="Times New Roman" w:hAnsi="Times New Roman"/>
        </w:rPr>
        <w:t xml:space="preserve">  </w:t>
      </w:r>
    </w:p>
    <w:p w:rsidR="0068546C" w:rsidRDefault="0068546C">
      <w:pPr>
        <w:rPr>
          <w:rFonts w:ascii="Times New Roman" w:hAnsi="Times New Roman"/>
          <w:caps/>
          <w:u w:val="single"/>
        </w:rPr>
      </w:pPr>
      <w:r>
        <w:rPr>
          <w:rFonts w:ascii="Times New Roman" w:hAnsi="Times New Roman"/>
          <w:caps/>
          <w:u w:val="single"/>
        </w:rPr>
        <w:br w:type="page"/>
      </w:r>
    </w:p>
    <w:p w:rsidR="00607EE2" w:rsidRPr="00F05E09" w:rsidRDefault="00607EE2" w:rsidP="006D69C9">
      <w:pPr>
        <w:spacing w:line="360" w:lineRule="auto"/>
        <w:jc w:val="center"/>
        <w:rPr>
          <w:rFonts w:ascii="Times New Roman" w:hAnsi="Times New Roman"/>
          <w:caps/>
          <w:u w:val="single"/>
        </w:rPr>
      </w:pPr>
      <w:r w:rsidRPr="00F05E09">
        <w:rPr>
          <w:rFonts w:ascii="Times New Roman" w:hAnsi="Times New Roman"/>
          <w:caps/>
          <w:u w:val="single"/>
        </w:rPr>
        <w:lastRenderedPageBreak/>
        <w:t>Conclusions of Law</w:t>
      </w:r>
    </w:p>
    <w:p w:rsidR="00CD5C8C" w:rsidRPr="004B1CE0" w:rsidRDefault="00CD5C8C" w:rsidP="006D69C9">
      <w:pPr>
        <w:spacing w:line="360" w:lineRule="auto"/>
        <w:jc w:val="center"/>
        <w:rPr>
          <w:rFonts w:ascii="Times New Roman" w:hAnsi="Times New Roman"/>
        </w:rPr>
      </w:pPr>
    </w:p>
    <w:p w:rsidR="00607EE2" w:rsidRPr="004B1CE0" w:rsidRDefault="00607EE2" w:rsidP="00F05E09">
      <w:pPr>
        <w:spacing w:line="360" w:lineRule="auto"/>
        <w:rPr>
          <w:rFonts w:ascii="Times New Roman" w:hAnsi="Times New Roman"/>
        </w:rPr>
      </w:pPr>
      <w:r w:rsidRPr="004B1CE0">
        <w:rPr>
          <w:rFonts w:ascii="Times New Roman" w:hAnsi="Times New Roman"/>
        </w:rPr>
        <w:tab/>
      </w:r>
      <w:r w:rsidRPr="004B1CE0">
        <w:rPr>
          <w:rFonts w:ascii="Times New Roman" w:hAnsi="Times New Roman"/>
        </w:rPr>
        <w:tab/>
        <w:t>1.</w:t>
      </w:r>
      <w:r w:rsidRPr="004B1CE0">
        <w:rPr>
          <w:rFonts w:ascii="Times New Roman" w:hAnsi="Times New Roman"/>
        </w:rPr>
        <w:tab/>
        <w:t xml:space="preserve">The </w:t>
      </w:r>
      <w:r w:rsidR="0090253C">
        <w:rPr>
          <w:rFonts w:ascii="Times New Roman" w:hAnsi="Times New Roman"/>
        </w:rPr>
        <w:t>p</w:t>
      </w:r>
      <w:r w:rsidRPr="004B1CE0">
        <w:rPr>
          <w:rFonts w:ascii="Times New Roman" w:hAnsi="Times New Roman"/>
        </w:rPr>
        <w:t>arties to and subject matter of this complaint proceeding are properly before the Commission.</w:t>
      </w:r>
      <w:r w:rsidR="004C7EFB" w:rsidRPr="004B1CE0">
        <w:rPr>
          <w:rFonts w:ascii="Times New Roman" w:hAnsi="Times New Roman"/>
        </w:rPr>
        <w:t xml:space="preserve">  66 </w:t>
      </w:r>
      <w:smartTag w:uri="urn:schemas-microsoft-com:office:smarttags" w:element="place">
        <w:smartTag w:uri="urn:schemas-microsoft-com:office:smarttags" w:element="State">
          <w:r w:rsidR="004C7EFB" w:rsidRPr="004B1CE0">
            <w:rPr>
              <w:rFonts w:ascii="Times New Roman" w:hAnsi="Times New Roman"/>
            </w:rPr>
            <w:t>Pa.</w:t>
          </w:r>
        </w:smartTag>
      </w:smartTag>
      <w:r w:rsidR="004C7EFB" w:rsidRPr="004B1CE0">
        <w:rPr>
          <w:rFonts w:ascii="Times New Roman" w:hAnsi="Times New Roman"/>
        </w:rPr>
        <w:t xml:space="preserve"> C.S. §701.</w:t>
      </w:r>
    </w:p>
    <w:p w:rsidR="004C7EFB" w:rsidRPr="004B1CE0" w:rsidRDefault="004C7EFB" w:rsidP="00F05E09">
      <w:pPr>
        <w:spacing w:line="360" w:lineRule="auto"/>
        <w:rPr>
          <w:rFonts w:ascii="Times New Roman" w:hAnsi="Times New Roman"/>
        </w:rPr>
      </w:pPr>
    </w:p>
    <w:p w:rsidR="00607EE2" w:rsidRDefault="00607EE2" w:rsidP="00F05E09">
      <w:pPr>
        <w:spacing w:line="360" w:lineRule="auto"/>
        <w:rPr>
          <w:rFonts w:ascii="Times New Roman" w:hAnsi="Times New Roman"/>
        </w:rPr>
      </w:pPr>
      <w:r w:rsidRPr="004B1CE0">
        <w:rPr>
          <w:rFonts w:ascii="Times New Roman" w:hAnsi="Times New Roman"/>
        </w:rPr>
        <w:tab/>
      </w:r>
      <w:r w:rsidRPr="004B1CE0">
        <w:rPr>
          <w:rFonts w:ascii="Times New Roman" w:hAnsi="Times New Roman"/>
        </w:rPr>
        <w:tab/>
        <w:t>2.</w:t>
      </w:r>
      <w:r w:rsidRPr="004B1CE0">
        <w:rPr>
          <w:rFonts w:ascii="Times New Roman" w:hAnsi="Times New Roman"/>
        </w:rPr>
        <w:tab/>
      </w:r>
      <w:r w:rsidR="006B44B6">
        <w:rPr>
          <w:rFonts w:ascii="Times New Roman" w:hAnsi="Times New Roman"/>
        </w:rPr>
        <w:t xml:space="preserve">Complainant, </w:t>
      </w:r>
      <w:r w:rsidR="00582206">
        <w:rPr>
          <w:rFonts w:ascii="Times New Roman" w:hAnsi="Times New Roman"/>
        </w:rPr>
        <w:t>Carlena Edwards</w:t>
      </w:r>
      <w:r w:rsidR="007117FC">
        <w:rPr>
          <w:rFonts w:ascii="Times New Roman" w:hAnsi="Times New Roman"/>
        </w:rPr>
        <w:t xml:space="preserve">, </w:t>
      </w:r>
      <w:r w:rsidRPr="004B1CE0">
        <w:rPr>
          <w:rFonts w:ascii="Times New Roman" w:hAnsi="Times New Roman"/>
        </w:rPr>
        <w:t>as the party seeking affirmative relief from the Commission, has the burden of proof.</w:t>
      </w:r>
      <w:r w:rsidR="004C7EFB" w:rsidRPr="004B1CE0">
        <w:rPr>
          <w:rFonts w:ascii="Times New Roman" w:hAnsi="Times New Roman"/>
        </w:rPr>
        <w:t xml:space="preserve">  66 </w:t>
      </w:r>
      <w:smartTag w:uri="urn:schemas-microsoft-com:office:smarttags" w:element="place">
        <w:smartTag w:uri="urn:schemas-microsoft-com:office:smarttags" w:element="State">
          <w:r w:rsidR="004C7EFB" w:rsidRPr="004B1CE0">
            <w:rPr>
              <w:rFonts w:ascii="Times New Roman" w:hAnsi="Times New Roman"/>
            </w:rPr>
            <w:t>Pa.</w:t>
          </w:r>
        </w:smartTag>
      </w:smartTag>
      <w:r w:rsidR="004C7EFB" w:rsidRPr="004B1CE0">
        <w:rPr>
          <w:rFonts w:ascii="Times New Roman" w:hAnsi="Times New Roman"/>
        </w:rPr>
        <w:t xml:space="preserve"> C.S. §332(a).</w:t>
      </w:r>
    </w:p>
    <w:p w:rsidR="00EC4F01" w:rsidRPr="004B1CE0" w:rsidRDefault="00EC4F01" w:rsidP="00F05E09">
      <w:pPr>
        <w:spacing w:line="360" w:lineRule="auto"/>
        <w:rPr>
          <w:rFonts w:ascii="Times New Roman" w:hAnsi="Times New Roman"/>
        </w:rPr>
      </w:pPr>
    </w:p>
    <w:p w:rsidR="00607EE2" w:rsidRDefault="00607EE2" w:rsidP="00F05E09">
      <w:pPr>
        <w:spacing w:line="360" w:lineRule="auto"/>
      </w:pPr>
      <w:r w:rsidRPr="004B1CE0">
        <w:rPr>
          <w:rFonts w:ascii="Times New Roman" w:hAnsi="Times New Roman"/>
        </w:rPr>
        <w:tab/>
      </w:r>
      <w:r w:rsidRPr="004B1CE0">
        <w:rPr>
          <w:rFonts w:ascii="Times New Roman" w:hAnsi="Times New Roman"/>
        </w:rPr>
        <w:tab/>
        <w:t>3.</w:t>
      </w:r>
      <w:r w:rsidRPr="004B1CE0">
        <w:rPr>
          <w:rFonts w:ascii="Times New Roman" w:hAnsi="Times New Roman"/>
        </w:rPr>
        <w:tab/>
      </w:r>
      <w:r w:rsidR="00BC5582" w:rsidRPr="003A01EC">
        <w:t xml:space="preserve">Under </w:t>
      </w:r>
      <w:r w:rsidR="00BC5582">
        <w:t xml:space="preserve">the doctrine of </w:t>
      </w:r>
      <w:r w:rsidR="00BC5582" w:rsidRPr="005D7784">
        <w:rPr>
          <w:i/>
        </w:rPr>
        <w:t>res judicata</w:t>
      </w:r>
      <w:r w:rsidR="00BC5582" w:rsidRPr="003A01EC">
        <w:t xml:space="preserve">, when a court of competent jurisdiction enters a final judgment on the merits of a cause of action, the parties to that case and their privies are thereafter bound "not only as to every matter which was offered and received, but also as to any other admissible matter which might have been offered."  </w:t>
      </w:r>
      <w:r w:rsidR="00BC5582" w:rsidRPr="00F53106">
        <w:rPr>
          <w:i/>
        </w:rPr>
        <w:t>Commission v. Sunnen</w:t>
      </w:r>
      <w:r w:rsidR="00BC5582" w:rsidRPr="003A01EC">
        <w:t xml:space="preserve">, 333 </w:t>
      </w:r>
      <w:smartTag w:uri="urn:schemas-microsoft-com:office:smarttags" w:element="country-region">
        <w:r w:rsidR="00BC5582" w:rsidRPr="003A01EC">
          <w:t>U.S.</w:t>
        </w:r>
      </w:smartTag>
      <w:r w:rsidR="00BC5582" w:rsidRPr="003A01EC">
        <w:t xml:space="preserve"> 591, 68 S.Ct. 715, 719 (1948); </w:t>
      </w:r>
      <w:r w:rsidR="00BC5582" w:rsidRPr="00F53106">
        <w:rPr>
          <w:i/>
        </w:rPr>
        <w:t>Jones v. Costlow</w:t>
      </w:r>
      <w:r w:rsidR="00BC5582" w:rsidRPr="003A01EC">
        <w:t xml:space="preserve">, 354 </w:t>
      </w:r>
      <w:smartTag w:uri="urn:schemas-microsoft-com:office:smarttags" w:element="place">
        <w:smartTag w:uri="urn:schemas-microsoft-com:office:smarttags" w:element="State">
          <w:r w:rsidR="00BC5582" w:rsidRPr="003A01EC">
            <w:t>Pa.</w:t>
          </w:r>
        </w:smartTag>
      </w:smartTag>
      <w:r w:rsidR="00BC5582" w:rsidRPr="003A01EC">
        <w:t xml:space="preserve"> 245, 47 A</w:t>
      </w:r>
      <w:r w:rsidR="00BC5582">
        <w:t>.</w:t>
      </w:r>
      <w:r w:rsidR="00BC5582" w:rsidRPr="003A01EC">
        <w:t xml:space="preserve">2d 259 (1946).  </w:t>
      </w:r>
    </w:p>
    <w:p w:rsidR="00BC5582" w:rsidRDefault="00BC5582" w:rsidP="00F05E09">
      <w:pPr>
        <w:spacing w:line="360" w:lineRule="auto"/>
        <w:rPr>
          <w:rFonts w:ascii="Times New Roman" w:hAnsi="Times New Roman"/>
        </w:rPr>
      </w:pPr>
    </w:p>
    <w:p w:rsidR="00BC5582" w:rsidRDefault="00BC5582" w:rsidP="00F05E09">
      <w:pPr>
        <w:spacing w:line="360" w:lineRule="auto"/>
      </w:pPr>
      <w:r>
        <w:rPr>
          <w:rFonts w:ascii="Times New Roman" w:hAnsi="Times New Roman"/>
        </w:rPr>
        <w:tab/>
      </w:r>
      <w:r>
        <w:rPr>
          <w:rFonts w:ascii="Times New Roman" w:hAnsi="Times New Roman"/>
        </w:rPr>
        <w:tab/>
        <w:t>4.</w:t>
      </w:r>
      <w:r>
        <w:rPr>
          <w:rFonts w:ascii="Times New Roman" w:hAnsi="Times New Roman"/>
        </w:rPr>
        <w:tab/>
      </w:r>
      <w:r w:rsidRPr="003A01EC">
        <w:t xml:space="preserve">The doctrine of </w:t>
      </w:r>
      <w:r w:rsidRPr="003A01EC">
        <w:rPr>
          <w:i/>
        </w:rPr>
        <w:t>res judicata</w:t>
      </w:r>
      <w:r w:rsidRPr="003A01EC">
        <w:t xml:space="preserve"> applies when four factors are present:  (1) the identity of the thing sued upon or for; (2) the identity of the cause of action; (3) the identity of persons or parties to the action; and (4) the identity of the quality or capacity of the parties suing or sued.  </w:t>
      </w:r>
      <w:r w:rsidRPr="00BA5D37">
        <w:rPr>
          <w:i/>
        </w:rPr>
        <w:t>In Re:  Estate of Tower</w:t>
      </w:r>
      <w:r w:rsidRPr="003A01EC">
        <w:t xml:space="preserve">, </w:t>
      </w:r>
      <w:r>
        <w:t>463</w:t>
      </w:r>
      <w:r w:rsidRPr="003A01EC">
        <w:t xml:space="preserve"> </w:t>
      </w:r>
      <w:smartTag w:uri="urn:schemas-microsoft-com:office:smarttags" w:element="place">
        <w:smartTag w:uri="urn:schemas-microsoft-com:office:smarttags" w:element="State">
          <w:r w:rsidRPr="003A01EC">
            <w:t>Pa.</w:t>
          </w:r>
        </w:smartTag>
      </w:smartTag>
      <w:r w:rsidRPr="003A01EC">
        <w:t xml:space="preserve"> </w:t>
      </w:r>
      <w:r>
        <w:t>93</w:t>
      </w:r>
      <w:r w:rsidRPr="003A01EC">
        <w:t xml:space="preserve">, 343 A.2d 671 (1975).  </w:t>
      </w:r>
    </w:p>
    <w:p w:rsidR="00BC5582" w:rsidRDefault="00BC5582" w:rsidP="00F05E09">
      <w:pPr>
        <w:spacing w:line="360" w:lineRule="auto"/>
        <w:rPr>
          <w:rFonts w:ascii="Times New Roman" w:hAnsi="Times New Roman"/>
        </w:rPr>
      </w:pPr>
    </w:p>
    <w:p w:rsidR="00BC5582" w:rsidRDefault="00BC5582" w:rsidP="00F05E09">
      <w:pPr>
        <w:spacing w:line="360" w:lineRule="auto"/>
      </w:pPr>
      <w:r>
        <w:rPr>
          <w:rFonts w:ascii="Times New Roman" w:hAnsi="Times New Roman"/>
        </w:rPr>
        <w:tab/>
      </w:r>
      <w:r>
        <w:rPr>
          <w:rFonts w:ascii="Times New Roman" w:hAnsi="Times New Roman"/>
        </w:rPr>
        <w:tab/>
        <w:t>5.</w:t>
      </w:r>
      <w:r>
        <w:rPr>
          <w:rFonts w:ascii="Times New Roman" w:hAnsi="Times New Roman"/>
        </w:rPr>
        <w:tab/>
      </w:r>
      <w:r w:rsidRPr="003A01EC">
        <w:t xml:space="preserve">The Commission has recognized the applicability of the doctrine of </w:t>
      </w:r>
      <w:r w:rsidRPr="003A01EC">
        <w:rPr>
          <w:i/>
        </w:rPr>
        <w:t>res judicata</w:t>
      </w:r>
      <w:r w:rsidRPr="003A01EC">
        <w:t xml:space="preserve"> in proceedings before it.  </w:t>
      </w:r>
      <w:r w:rsidRPr="00BA5D37">
        <w:rPr>
          <w:i/>
        </w:rPr>
        <w:t xml:space="preserve">O’Toole v. Bell Telephone Company of </w:t>
      </w:r>
      <w:smartTag w:uri="urn:schemas-microsoft-com:office:smarttags" w:element="State">
        <w:r w:rsidRPr="00BA5D37">
          <w:rPr>
            <w:i/>
          </w:rPr>
          <w:t>Pennsylvania</w:t>
        </w:r>
      </w:smartTag>
      <w:r w:rsidRPr="003A01EC">
        <w:t xml:space="preserve">, 77 </w:t>
      </w:r>
      <w:smartTag w:uri="urn:schemas-microsoft-com:office:smarttags" w:element="place">
        <w:smartTag w:uri="urn:schemas-microsoft-com:office:smarttags" w:element="State">
          <w:r w:rsidRPr="003A01EC">
            <w:t>Pa.</w:t>
          </w:r>
        </w:smartTag>
      </w:smartTag>
      <w:r w:rsidRPr="003A01EC">
        <w:t xml:space="preserve"> PUC 98 (1992). </w:t>
      </w:r>
      <w:r w:rsidR="00D934EA">
        <w:t xml:space="preserve"> </w:t>
      </w:r>
      <w:r w:rsidRPr="00BA5D37">
        <w:rPr>
          <w:i/>
        </w:rPr>
        <w:t>Tomazin v. Pennsylvania-American Water Company</w:t>
      </w:r>
      <w:r w:rsidRPr="003A01EC">
        <w:t xml:space="preserve">, 1997 </w:t>
      </w:r>
      <w:smartTag w:uri="urn:schemas-microsoft-com:office:smarttags" w:element="place">
        <w:smartTag w:uri="urn:schemas-microsoft-com:office:smarttags" w:element="State">
          <w:r w:rsidRPr="003A01EC">
            <w:t>Pa.</w:t>
          </w:r>
        </w:smartTag>
      </w:smartTag>
      <w:r w:rsidRPr="003A01EC">
        <w:t xml:space="preserve"> PUC LEXIS 52 (1997).  </w:t>
      </w:r>
    </w:p>
    <w:p w:rsidR="00BC5582" w:rsidRDefault="00BC5582" w:rsidP="00F05E09">
      <w:pPr>
        <w:spacing w:line="360" w:lineRule="auto"/>
        <w:rPr>
          <w:rFonts w:ascii="Times New Roman" w:hAnsi="Times New Roman"/>
        </w:rPr>
      </w:pPr>
    </w:p>
    <w:p w:rsidR="00A66633" w:rsidRDefault="00BC5582" w:rsidP="008E784A">
      <w:pPr>
        <w:spacing w:line="360" w:lineRule="auto"/>
        <w:rPr>
          <w:rFonts w:ascii="Times New Roman" w:hAnsi="Times New Roman"/>
          <w:caps/>
          <w:u w:val="single"/>
        </w:rPr>
      </w:pPr>
      <w:r>
        <w:rPr>
          <w:rFonts w:ascii="Times New Roman" w:hAnsi="Times New Roman"/>
        </w:rPr>
        <w:tab/>
      </w:r>
      <w:r>
        <w:rPr>
          <w:rFonts w:ascii="Times New Roman" w:hAnsi="Times New Roman"/>
        </w:rPr>
        <w:tab/>
        <w:t>6.</w:t>
      </w:r>
      <w:r>
        <w:rPr>
          <w:rFonts w:ascii="Times New Roman" w:hAnsi="Times New Roman"/>
        </w:rPr>
        <w:tab/>
        <w:t xml:space="preserve">The doctrine of </w:t>
      </w:r>
      <w:r w:rsidR="00E738B5">
        <w:rPr>
          <w:rFonts w:ascii="Times New Roman" w:hAnsi="Times New Roman"/>
          <w:i/>
        </w:rPr>
        <w:t>res judicata</w:t>
      </w:r>
      <w:r w:rsidR="008E784A">
        <w:rPr>
          <w:rFonts w:ascii="Times New Roman" w:hAnsi="Times New Roman"/>
        </w:rPr>
        <w:t xml:space="preserve"> app</w:t>
      </w:r>
      <w:r w:rsidR="00E738B5">
        <w:rPr>
          <w:rFonts w:ascii="Times New Roman" w:hAnsi="Times New Roman"/>
        </w:rPr>
        <w:t xml:space="preserve">lies in this proceeding and bars the re-litigation of the cause of action </w:t>
      </w:r>
      <w:r w:rsidR="008E784A">
        <w:rPr>
          <w:rFonts w:ascii="Times New Roman" w:hAnsi="Times New Roman"/>
        </w:rPr>
        <w:t xml:space="preserve">and issues addressed in </w:t>
      </w:r>
      <w:r w:rsidR="008E784A" w:rsidRPr="00EF638B">
        <w:rPr>
          <w:rFonts w:ascii="Times New Roman" w:hAnsi="Times New Roman"/>
          <w:i/>
        </w:rPr>
        <w:t>Carlena Edwards v. Duquesne Light Company</w:t>
      </w:r>
      <w:r w:rsidR="008E784A">
        <w:rPr>
          <w:rFonts w:ascii="Times New Roman" w:hAnsi="Times New Roman"/>
        </w:rPr>
        <w:t>, at Docket No. C-2008-2079834 (Order entered September 1, 2009).</w:t>
      </w:r>
    </w:p>
    <w:p w:rsidR="00A66633" w:rsidRDefault="00A66633" w:rsidP="00F05E09">
      <w:pPr>
        <w:spacing w:line="360" w:lineRule="auto"/>
        <w:jc w:val="center"/>
        <w:rPr>
          <w:rFonts w:ascii="Times New Roman" w:hAnsi="Times New Roman"/>
          <w:caps/>
          <w:u w:val="single"/>
        </w:rPr>
      </w:pPr>
    </w:p>
    <w:p w:rsidR="0068546C" w:rsidRDefault="0068546C">
      <w:pPr>
        <w:rPr>
          <w:rFonts w:ascii="Times New Roman" w:hAnsi="Times New Roman"/>
          <w:caps/>
          <w:u w:val="single"/>
        </w:rPr>
      </w:pPr>
      <w:r>
        <w:rPr>
          <w:rFonts w:ascii="Times New Roman" w:hAnsi="Times New Roman"/>
          <w:caps/>
          <w:u w:val="single"/>
        </w:rPr>
        <w:br w:type="page"/>
      </w:r>
    </w:p>
    <w:p w:rsidR="004C7EFB" w:rsidRDefault="00F05E09" w:rsidP="00F05E09">
      <w:pPr>
        <w:spacing w:line="360" w:lineRule="auto"/>
        <w:jc w:val="center"/>
        <w:rPr>
          <w:rFonts w:ascii="Times New Roman" w:hAnsi="Times New Roman"/>
          <w:caps/>
          <w:u w:val="single"/>
        </w:rPr>
      </w:pPr>
      <w:r>
        <w:rPr>
          <w:rFonts w:ascii="Times New Roman" w:hAnsi="Times New Roman"/>
          <w:caps/>
          <w:u w:val="single"/>
        </w:rPr>
        <w:lastRenderedPageBreak/>
        <w:t>order</w:t>
      </w:r>
    </w:p>
    <w:p w:rsidR="00F05E09" w:rsidRPr="00F05E09" w:rsidRDefault="00F05E09" w:rsidP="00F05E09">
      <w:pPr>
        <w:spacing w:line="360" w:lineRule="auto"/>
        <w:jc w:val="center"/>
        <w:rPr>
          <w:rFonts w:ascii="Times New Roman" w:hAnsi="Times New Roman"/>
        </w:rPr>
      </w:pPr>
    </w:p>
    <w:p w:rsidR="008E2665" w:rsidRDefault="00F05E09" w:rsidP="008E2665">
      <w:pPr>
        <w:ind w:left="720"/>
      </w:pPr>
      <w:r>
        <w:tab/>
      </w:r>
      <w:r w:rsidR="008E2665" w:rsidRPr="007659E6">
        <w:t>THEREFORE,</w:t>
      </w:r>
    </w:p>
    <w:p w:rsidR="008E2665" w:rsidRDefault="008E2665" w:rsidP="008E2665">
      <w:pPr>
        <w:ind w:left="720"/>
      </w:pPr>
    </w:p>
    <w:p w:rsidR="00F05E09" w:rsidRDefault="00F05E09" w:rsidP="008E2665">
      <w:pPr>
        <w:ind w:left="720"/>
      </w:pPr>
    </w:p>
    <w:p w:rsidR="008E2665" w:rsidRPr="007659E6" w:rsidRDefault="00F05E09" w:rsidP="008E2665">
      <w:pPr>
        <w:ind w:left="720"/>
      </w:pPr>
      <w:r>
        <w:tab/>
      </w:r>
      <w:r w:rsidR="008E2665">
        <w:t>IT IS ORDERED</w:t>
      </w:r>
      <w:r w:rsidR="008E2665" w:rsidRPr="007659E6">
        <w:t>:</w:t>
      </w:r>
    </w:p>
    <w:p w:rsidR="008E2665" w:rsidRDefault="008E2665" w:rsidP="008E2665">
      <w:pPr>
        <w:ind w:left="720"/>
      </w:pPr>
    </w:p>
    <w:p w:rsidR="00F05E09" w:rsidRPr="007659E6" w:rsidRDefault="00F05E09" w:rsidP="008E2665">
      <w:pPr>
        <w:ind w:left="720"/>
      </w:pPr>
    </w:p>
    <w:p w:rsidR="00263B7A" w:rsidRDefault="006B44B6" w:rsidP="00FB7BC5">
      <w:pPr>
        <w:pStyle w:val="BodyText"/>
        <w:ind w:firstLine="720"/>
        <w:jc w:val="left"/>
        <w:rPr>
          <w:sz w:val="24"/>
          <w:szCs w:val="24"/>
        </w:rPr>
      </w:pPr>
      <w:r>
        <w:rPr>
          <w:sz w:val="24"/>
          <w:szCs w:val="24"/>
        </w:rPr>
        <w:t xml:space="preserve">           </w:t>
      </w:r>
      <w:r w:rsidR="008E784A">
        <w:rPr>
          <w:sz w:val="24"/>
          <w:szCs w:val="24"/>
        </w:rPr>
        <w:t>1.</w:t>
      </w:r>
      <w:r w:rsidR="008E784A">
        <w:rPr>
          <w:sz w:val="24"/>
          <w:szCs w:val="24"/>
        </w:rPr>
        <w:tab/>
        <w:t>That Respondent Duquesne Light Company’s oral motion to dismiss the formal complaint filed by Carlena Edwards at Docket No. F-2010-216</w:t>
      </w:r>
      <w:r w:rsidR="00263B7A">
        <w:rPr>
          <w:sz w:val="24"/>
          <w:szCs w:val="24"/>
        </w:rPr>
        <w:t>4449</w:t>
      </w:r>
      <w:r w:rsidR="008E2665">
        <w:t xml:space="preserve"> </w:t>
      </w:r>
      <w:r w:rsidR="008E2665" w:rsidRPr="00595ADE">
        <w:rPr>
          <w:sz w:val="24"/>
          <w:szCs w:val="24"/>
        </w:rPr>
        <w:t>is</w:t>
      </w:r>
      <w:r w:rsidRPr="00595ADE">
        <w:rPr>
          <w:sz w:val="24"/>
          <w:szCs w:val="24"/>
        </w:rPr>
        <w:t xml:space="preserve"> </w:t>
      </w:r>
      <w:r w:rsidR="00263B7A" w:rsidRPr="00595ADE">
        <w:rPr>
          <w:sz w:val="24"/>
          <w:szCs w:val="24"/>
        </w:rPr>
        <w:t>granted</w:t>
      </w:r>
      <w:r w:rsidR="00263B7A">
        <w:rPr>
          <w:sz w:val="24"/>
          <w:szCs w:val="24"/>
        </w:rPr>
        <w:t xml:space="preserve">.  </w:t>
      </w:r>
    </w:p>
    <w:p w:rsidR="00263B7A" w:rsidRDefault="00263B7A" w:rsidP="00FB7BC5">
      <w:pPr>
        <w:pStyle w:val="BodyText"/>
        <w:ind w:firstLine="720"/>
        <w:jc w:val="left"/>
        <w:rPr>
          <w:sz w:val="24"/>
          <w:szCs w:val="24"/>
        </w:rPr>
      </w:pPr>
    </w:p>
    <w:p w:rsidR="00DD70C9" w:rsidRDefault="00263B7A" w:rsidP="00FB7BC5">
      <w:pPr>
        <w:pStyle w:val="BodyText"/>
        <w:ind w:firstLine="720"/>
        <w:jc w:val="left"/>
        <w:rPr>
          <w:sz w:val="24"/>
          <w:szCs w:val="24"/>
        </w:rPr>
      </w:pPr>
      <w:r>
        <w:rPr>
          <w:sz w:val="24"/>
          <w:szCs w:val="24"/>
        </w:rPr>
        <w:tab/>
        <w:t>2.</w:t>
      </w:r>
      <w:r>
        <w:rPr>
          <w:sz w:val="24"/>
          <w:szCs w:val="24"/>
        </w:rPr>
        <w:tab/>
      </w:r>
      <w:r w:rsidR="00DD70C9">
        <w:rPr>
          <w:sz w:val="24"/>
          <w:szCs w:val="24"/>
        </w:rPr>
        <w:t>That the complaint of Carlena Edwards against Duquesne Light Company at Docket No. F-2010-2164449 is dismissed.</w:t>
      </w:r>
    </w:p>
    <w:p w:rsidR="00DD70C9" w:rsidRDefault="00DD70C9" w:rsidP="00FB7BC5">
      <w:pPr>
        <w:pStyle w:val="BodyText"/>
        <w:ind w:firstLine="720"/>
        <w:jc w:val="left"/>
        <w:rPr>
          <w:sz w:val="24"/>
          <w:szCs w:val="24"/>
        </w:rPr>
      </w:pPr>
    </w:p>
    <w:p w:rsidR="008E2665" w:rsidRDefault="00DD70C9" w:rsidP="00FB7BC5">
      <w:pPr>
        <w:pStyle w:val="BodyText"/>
        <w:ind w:firstLine="720"/>
        <w:jc w:val="left"/>
        <w:rPr>
          <w:sz w:val="24"/>
          <w:szCs w:val="24"/>
        </w:rPr>
      </w:pPr>
      <w:r>
        <w:rPr>
          <w:sz w:val="24"/>
          <w:szCs w:val="24"/>
        </w:rPr>
        <w:tab/>
        <w:t>3.</w:t>
      </w:r>
      <w:r>
        <w:rPr>
          <w:sz w:val="24"/>
          <w:szCs w:val="24"/>
        </w:rPr>
        <w:tab/>
        <w:t>That this proceeding at Docket No. F-2010-2164449 be marked closed.</w:t>
      </w:r>
      <w:r w:rsidR="008E2665">
        <w:rPr>
          <w:sz w:val="24"/>
          <w:szCs w:val="24"/>
        </w:rPr>
        <w:tab/>
      </w:r>
    </w:p>
    <w:p w:rsidR="008E2665" w:rsidRDefault="008E2665" w:rsidP="008E2665">
      <w:pPr>
        <w:pStyle w:val="BodyText"/>
        <w:jc w:val="left"/>
        <w:rPr>
          <w:sz w:val="24"/>
          <w:szCs w:val="24"/>
        </w:rPr>
      </w:pPr>
    </w:p>
    <w:p w:rsidR="00F05E09" w:rsidRDefault="00F05E09" w:rsidP="008E2665"/>
    <w:p w:rsidR="0068546C" w:rsidRDefault="0068546C" w:rsidP="008E2665"/>
    <w:p w:rsidR="008E2665" w:rsidRPr="007659E6" w:rsidRDefault="008E2665" w:rsidP="008E2665">
      <w:pPr>
        <w:rPr>
          <w:caps/>
        </w:rPr>
      </w:pPr>
      <w:r w:rsidRPr="007659E6">
        <w:t xml:space="preserve">Dated:  </w:t>
      </w:r>
      <w:r w:rsidR="00DD70C9">
        <w:rPr>
          <w:u w:val="single"/>
        </w:rPr>
        <w:t>July 25, 2011</w:t>
      </w:r>
      <w:r w:rsidRPr="007659E6">
        <w:tab/>
      </w:r>
      <w:r w:rsidRPr="007659E6">
        <w:tab/>
      </w:r>
      <w:r w:rsidR="009853D2">
        <w:tab/>
      </w:r>
      <w:r>
        <w:tab/>
      </w:r>
      <w:r w:rsidR="00F05E09">
        <w:tab/>
      </w:r>
      <w:r w:rsidRPr="007659E6">
        <w:rPr>
          <w:u w:val="single"/>
        </w:rPr>
        <w:t xml:space="preserve">                                                       </w:t>
      </w:r>
      <w:r w:rsidRPr="007659E6">
        <w:tab/>
      </w:r>
      <w:r w:rsidRPr="007659E6">
        <w:tab/>
      </w:r>
      <w:r w:rsidRPr="007659E6">
        <w:tab/>
      </w:r>
      <w:r w:rsidRPr="007659E6">
        <w:tab/>
      </w:r>
      <w:r w:rsidRPr="007659E6">
        <w:tab/>
      </w:r>
      <w:r w:rsidRPr="007659E6">
        <w:tab/>
      </w:r>
      <w:r w:rsidRPr="007659E6">
        <w:tab/>
      </w:r>
      <w:r w:rsidRPr="007659E6">
        <w:tab/>
      </w:r>
      <w:r>
        <w:tab/>
        <w:t xml:space="preserve">Mark A. Hoyer </w:t>
      </w:r>
    </w:p>
    <w:p w:rsidR="008E2665" w:rsidRPr="007659E6" w:rsidRDefault="008E2665" w:rsidP="008E2665">
      <w:r>
        <w:tab/>
      </w:r>
      <w:r>
        <w:tab/>
      </w:r>
      <w:r>
        <w:tab/>
      </w:r>
      <w:r>
        <w:tab/>
      </w:r>
      <w:r>
        <w:tab/>
      </w:r>
      <w:r>
        <w:tab/>
      </w:r>
      <w:r w:rsidR="00F05E09">
        <w:tab/>
      </w:r>
      <w:r w:rsidRPr="007659E6">
        <w:t>Administrative Law Judge</w:t>
      </w:r>
    </w:p>
    <w:p w:rsidR="008E2665" w:rsidRDefault="008E2665" w:rsidP="008E2665">
      <w:pPr>
        <w:spacing w:line="360" w:lineRule="auto"/>
        <w:rPr>
          <w:rFonts w:ascii="Times New Roman" w:hAnsi="Times New Roman"/>
          <w:u w:val="single"/>
        </w:rPr>
      </w:pPr>
    </w:p>
    <w:p w:rsidR="008E2665" w:rsidRDefault="008E2665" w:rsidP="00607EE2">
      <w:pPr>
        <w:spacing w:line="360" w:lineRule="auto"/>
        <w:jc w:val="center"/>
        <w:rPr>
          <w:rFonts w:ascii="Times New Roman" w:hAnsi="Times New Roman"/>
          <w:u w:val="single"/>
        </w:rPr>
      </w:pPr>
    </w:p>
    <w:sectPr w:rsidR="008E2665" w:rsidSect="00F505B3">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E43" w:rsidRDefault="00E22E43">
      <w:r>
        <w:separator/>
      </w:r>
    </w:p>
  </w:endnote>
  <w:endnote w:type="continuationSeparator" w:id="0">
    <w:p w:rsidR="00E22E43" w:rsidRDefault="00E22E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0EA" w:rsidRDefault="00AA3723" w:rsidP="00F505B3">
    <w:pPr>
      <w:pStyle w:val="Footer"/>
      <w:framePr w:wrap="around" w:vAnchor="text" w:hAnchor="margin" w:xAlign="center" w:y="1"/>
      <w:rPr>
        <w:rStyle w:val="PageNumber"/>
      </w:rPr>
    </w:pPr>
    <w:r>
      <w:rPr>
        <w:rStyle w:val="PageNumber"/>
      </w:rPr>
      <w:fldChar w:fldCharType="begin"/>
    </w:r>
    <w:r w:rsidR="003A60EA">
      <w:rPr>
        <w:rStyle w:val="PageNumber"/>
      </w:rPr>
      <w:instrText xml:space="preserve">PAGE  </w:instrText>
    </w:r>
    <w:r>
      <w:rPr>
        <w:rStyle w:val="PageNumber"/>
      </w:rPr>
      <w:fldChar w:fldCharType="end"/>
    </w:r>
  </w:p>
  <w:p w:rsidR="003A60EA" w:rsidRDefault="003A60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0EA" w:rsidRPr="0068546C" w:rsidRDefault="00AA3723" w:rsidP="00F505B3">
    <w:pPr>
      <w:pStyle w:val="Footer"/>
      <w:framePr w:wrap="around" w:vAnchor="text" w:hAnchor="margin" w:xAlign="center" w:y="1"/>
      <w:rPr>
        <w:rStyle w:val="PageNumber"/>
        <w:rFonts w:ascii="Times New Roman" w:hAnsi="Times New Roman"/>
        <w:sz w:val="22"/>
        <w:szCs w:val="22"/>
      </w:rPr>
    </w:pPr>
    <w:r w:rsidRPr="0068546C">
      <w:rPr>
        <w:rStyle w:val="PageNumber"/>
        <w:rFonts w:ascii="Times New Roman" w:hAnsi="Times New Roman"/>
        <w:sz w:val="22"/>
        <w:szCs w:val="22"/>
      </w:rPr>
      <w:fldChar w:fldCharType="begin"/>
    </w:r>
    <w:r w:rsidR="003A60EA" w:rsidRPr="0068546C">
      <w:rPr>
        <w:rStyle w:val="PageNumber"/>
        <w:rFonts w:ascii="Times New Roman" w:hAnsi="Times New Roman"/>
        <w:sz w:val="22"/>
        <w:szCs w:val="22"/>
      </w:rPr>
      <w:instrText xml:space="preserve">PAGE  </w:instrText>
    </w:r>
    <w:r w:rsidRPr="0068546C">
      <w:rPr>
        <w:rStyle w:val="PageNumber"/>
        <w:rFonts w:ascii="Times New Roman" w:hAnsi="Times New Roman"/>
        <w:sz w:val="22"/>
        <w:szCs w:val="22"/>
      </w:rPr>
      <w:fldChar w:fldCharType="separate"/>
    </w:r>
    <w:r w:rsidR="00D172E9">
      <w:rPr>
        <w:rStyle w:val="PageNumber"/>
        <w:rFonts w:ascii="Times New Roman" w:hAnsi="Times New Roman"/>
        <w:noProof/>
        <w:sz w:val="22"/>
        <w:szCs w:val="22"/>
      </w:rPr>
      <w:t>6</w:t>
    </w:r>
    <w:r w:rsidRPr="0068546C">
      <w:rPr>
        <w:rStyle w:val="PageNumber"/>
        <w:rFonts w:ascii="Times New Roman" w:hAnsi="Times New Roman"/>
        <w:sz w:val="22"/>
        <w:szCs w:val="22"/>
      </w:rPr>
      <w:fldChar w:fldCharType="end"/>
    </w:r>
  </w:p>
  <w:p w:rsidR="003A60EA" w:rsidRDefault="003A60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E43" w:rsidRDefault="00E22E43">
      <w:r>
        <w:separator/>
      </w:r>
    </w:p>
  </w:footnote>
  <w:footnote w:type="continuationSeparator" w:id="0">
    <w:p w:rsidR="00E22E43" w:rsidRDefault="00E22E43">
      <w:r>
        <w:continuationSeparator/>
      </w:r>
    </w:p>
  </w:footnote>
  <w:footnote w:id="1">
    <w:p w:rsidR="003A60EA" w:rsidRDefault="003A60EA" w:rsidP="00D018B8">
      <w:pPr>
        <w:pStyle w:val="FootnoteText"/>
        <w:ind w:firstLine="720"/>
      </w:pPr>
      <w:r>
        <w:rPr>
          <w:rStyle w:val="FootnoteReference"/>
        </w:rPr>
        <w:footnoteRef/>
      </w:r>
      <w:r>
        <w:t xml:space="preserve"> </w:t>
      </w:r>
      <w:r w:rsidR="00D018B8">
        <w:tab/>
      </w:r>
      <w:r>
        <w:t xml:space="preserve">A copy of the Initial Decision issued by Administrative Law Judge (ALJ) Michael </w:t>
      </w:r>
      <w:r w:rsidR="00D018B8">
        <w:t>A</w:t>
      </w:r>
      <w:r>
        <w:t xml:space="preserve">. Nemec, dated April 20, 2009, was admitted as ALJ Exhibit No. 2 at the initial telephonic hearing on April 15, 2011.  ALJ Nemec’s Initial Decision became final without further Commission action pursuant to the Public Utility Code (Code), 66 Pa. C.S. §332(h).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3581A"/>
    <w:multiLevelType w:val="singleLevel"/>
    <w:tmpl w:val="0409000F"/>
    <w:lvl w:ilvl="0">
      <w:start w:val="1"/>
      <w:numFmt w:val="decimal"/>
      <w:lvlText w:val="%1."/>
      <w:lvlJc w:val="left"/>
      <w:pPr>
        <w:tabs>
          <w:tab w:val="num" w:pos="1980"/>
        </w:tabs>
        <w:ind w:left="1980" w:hanging="360"/>
      </w:pPr>
    </w:lvl>
  </w:abstractNum>
  <w:abstractNum w:abstractNumId="1">
    <w:nsid w:val="34B67595"/>
    <w:multiLevelType w:val="hybridMultilevel"/>
    <w:tmpl w:val="13BED32A"/>
    <w:lvl w:ilvl="0" w:tplc="293E8D4C">
      <w:start w:val="10"/>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6C5913"/>
    <w:rsid w:val="0000018D"/>
    <w:rsid w:val="0001185E"/>
    <w:rsid w:val="0002619D"/>
    <w:rsid w:val="00030B3C"/>
    <w:rsid w:val="000519C4"/>
    <w:rsid w:val="0005246F"/>
    <w:rsid w:val="00063C3D"/>
    <w:rsid w:val="00064E3C"/>
    <w:rsid w:val="0008114C"/>
    <w:rsid w:val="00087611"/>
    <w:rsid w:val="00095EAA"/>
    <w:rsid w:val="00096EDD"/>
    <w:rsid w:val="000A099D"/>
    <w:rsid w:val="000A31A5"/>
    <w:rsid w:val="000A7196"/>
    <w:rsid w:val="000B6B84"/>
    <w:rsid w:val="000D4521"/>
    <w:rsid w:val="000E30B4"/>
    <w:rsid w:val="000E5518"/>
    <w:rsid w:val="000F0431"/>
    <w:rsid w:val="000F2222"/>
    <w:rsid w:val="00103033"/>
    <w:rsid w:val="00114436"/>
    <w:rsid w:val="001172BB"/>
    <w:rsid w:val="0012062B"/>
    <w:rsid w:val="0013616B"/>
    <w:rsid w:val="00155A53"/>
    <w:rsid w:val="0016174D"/>
    <w:rsid w:val="00166C16"/>
    <w:rsid w:val="001670DA"/>
    <w:rsid w:val="001721F9"/>
    <w:rsid w:val="001915AC"/>
    <w:rsid w:val="001A6138"/>
    <w:rsid w:val="001D4118"/>
    <w:rsid w:val="001D716A"/>
    <w:rsid w:val="001E747F"/>
    <w:rsid w:val="001F4338"/>
    <w:rsid w:val="001F6864"/>
    <w:rsid w:val="00205861"/>
    <w:rsid w:val="00214DFC"/>
    <w:rsid w:val="00217D91"/>
    <w:rsid w:val="00220F3D"/>
    <w:rsid w:val="00221DBE"/>
    <w:rsid w:val="00226B03"/>
    <w:rsid w:val="0023071E"/>
    <w:rsid w:val="00241A63"/>
    <w:rsid w:val="002426A6"/>
    <w:rsid w:val="002437A7"/>
    <w:rsid w:val="002442B4"/>
    <w:rsid w:val="00251C63"/>
    <w:rsid w:val="002602E0"/>
    <w:rsid w:val="00263B7A"/>
    <w:rsid w:val="0027639B"/>
    <w:rsid w:val="00285C76"/>
    <w:rsid w:val="00297691"/>
    <w:rsid w:val="002A318E"/>
    <w:rsid w:val="002A77A7"/>
    <w:rsid w:val="002C0D25"/>
    <w:rsid w:val="002C65B3"/>
    <w:rsid w:val="002C7C25"/>
    <w:rsid w:val="002D0413"/>
    <w:rsid w:val="002D06ED"/>
    <w:rsid w:val="002E0BCD"/>
    <w:rsid w:val="002F37B6"/>
    <w:rsid w:val="002F7632"/>
    <w:rsid w:val="003031DC"/>
    <w:rsid w:val="00303291"/>
    <w:rsid w:val="003152B1"/>
    <w:rsid w:val="00321EE0"/>
    <w:rsid w:val="003233C5"/>
    <w:rsid w:val="00327441"/>
    <w:rsid w:val="00332BE3"/>
    <w:rsid w:val="00335DD0"/>
    <w:rsid w:val="003369C8"/>
    <w:rsid w:val="00337223"/>
    <w:rsid w:val="00344248"/>
    <w:rsid w:val="00347633"/>
    <w:rsid w:val="00366CAB"/>
    <w:rsid w:val="00370309"/>
    <w:rsid w:val="003828D3"/>
    <w:rsid w:val="00383BA2"/>
    <w:rsid w:val="003912F2"/>
    <w:rsid w:val="0039621E"/>
    <w:rsid w:val="003A2095"/>
    <w:rsid w:val="003A263C"/>
    <w:rsid w:val="003A294B"/>
    <w:rsid w:val="003A332E"/>
    <w:rsid w:val="003A60EA"/>
    <w:rsid w:val="003B1091"/>
    <w:rsid w:val="003B208C"/>
    <w:rsid w:val="003B25CF"/>
    <w:rsid w:val="003B489D"/>
    <w:rsid w:val="003B6588"/>
    <w:rsid w:val="003C3746"/>
    <w:rsid w:val="003E3FD6"/>
    <w:rsid w:val="003E69FB"/>
    <w:rsid w:val="003E7176"/>
    <w:rsid w:val="003F1938"/>
    <w:rsid w:val="003F748D"/>
    <w:rsid w:val="004149A1"/>
    <w:rsid w:val="00415A66"/>
    <w:rsid w:val="00416938"/>
    <w:rsid w:val="00420A50"/>
    <w:rsid w:val="00424418"/>
    <w:rsid w:val="00432424"/>
    <w:rsid w:val="004351D3"/>
    <w:rsid w:val="0044093F"/>
    <w:rsid w:val="004425AD"/>
    <w:rsid w:val="004439D1"/>
    <w:rsid w:val="00446489"/>
    <w:rsid w:val="00451F24"/>
    <w:rsid w:val="00452426"/>
    <w:rsid w:val="00454B85"/>
    <w:rsid w:val="00457CF8"/>
    <w:rsid w:val="00467AD5"/>
    <w:rsid w:val="004760B6"/>
    <w:rsid w:val="00481598"/>
    <w:rsid w:val="004821BD"/>
    <w:rsid w:val="004939F5"/>
    <w:rsid w:val="00493D22"/>
    <w:rsid w:val="004941CE"/>
    <w:rsid w:val="00496014"/>
    <w:rsid w:val="004A0AEC"/>
    <w:rsid w:val="004A34A7"/>
    <w:rsid w:val="004B1CE0"/>
    <w:rsid w:val="004C6318"/>
    <w:rsid w:val="004C7EFB"/>
    <w:rsid w:val="004F2F9C"/>
    <w:rsid w:val="00503452"/>
    <w:rsid w:val="0051689F"/>
    <w:rsid w:val="00524C4D"/>
    <w:rsid w:val="00536B70"/>
    <w:rsid w:val="00540C3C"/>
    <w:rsid w:val="005448C7"/>
    <w:rsid w:val="00544E91"/>
    <w:rsid w:val="00550451"/>
    <w:rsid w:val="00560620"/>
    <w:rsid w:val="00571CB1"/>
    <w:rsid w:val="005748A1"/>
    <w:rsid w:val="00582206"/>
    <w:rsid w:val="0058234E"/>
    <w:rsid w:val="00583B8B"/>
    <w:rsid w:val="00590DCB"/>
    <w:rsid w:val="00592213"/>
    <w:rsid w:val="00592FD6"/>
    <w:rsid w:val="00595ADE"/>
    <w:rsid w:val="005972C3"/>
    <w:rsid w:val="005A5198"/>
    <w:rsid w:val="005B198D"/>
    <w:rsid w:val="005B22DE"/>
    <w:rsid w:val="005B6DC1"/>
    <w:rsid w:val="005C27A6"/>
    <w:rsid w:val="005D1E69"/>
    <w:rsid w:val="005E33C9"/>
    <w:rsid w:val="005E4392"/>
    <w:rsid w:val="00607EE2"/>
    <w:rsid w:val="00621547"/>
    <w:rsid w:val="00621F5F"/>
    <w:rsid w:val="00625963"/>
    <w:rsid w:val="00637166"/>
    <w:rsid w:val="0065598B"/>
    <w:rsid w:val="00661A1C"/>
    <w:rsid w:val="00664D65"/>
    <w:rsid w:val="00670D36"/>
    <w:rsid w:val="00676EBF"/>
    <w:rsid w:val="0068049E"/>
    <w:rsid w:val="0068072C"/>
    <w:rsid w:val="00680AAD"/>
    <w:rsid w:val="00680EFF"/>
    <w:rsid w:val="006819BC"/>
    <w:rsid w:val="0068546C"/>
    <w:rsid w:val="006918A9"/>
    <w:rsid w:val="00691A03"/>
    <w:rsid w:val="00695161"/>
    <w:rsid w:val="006B3DB5"/>
    <w:rsid w:val="006B44B6"/>
    <w:rsid w:val="006B6E46"/>
    <w:rsid w:val="006B764B"/>
    <w:rsid w:val="006C5913"/>
    <w:rsid w:val="006D69C9"/>
    <w:rsid w:val="006E5AF9"/>
    <w:rsid w:val="006E7B00"/>
    <w:rsid w:val="006F362A"/>
    <w:rsid w:val="007022E8"/>
    <w:rsid w:val="00704899"/>
    <w:rsid w:val="007069CA"/>
    <w:rsid w:val="007117FC"/>
    <w:rsid w:val="0071771F"/>
    <w:rsid w:val="00717F92"/>
    <w:rsid w:val="00722A4C"/>
    <w:rsid w:val="00722C67"/>
    <w:rsid w:val="00724967"/>
    <w:rsid w:val="007255D2"/>
    <w:rsid w:val="00746FA6"/>
    <w:rsid w:val="0075082D"/>
    <w:rsid w:val="007626AC"/>
    <w:rsid w:val="007728DA"/>
    <w:rsid w:val="00782B26"/>
    <w:rsid w:val="00784614"/>
    <w:rsid w:val="007908D7"/>
    <w:rsid w:val="00793717"/>
    <w:rsid w:val="00794503"/>
    <w:rsid w:val="007A0980"/>
    <w:rsid w:val="007A1305"/>
    <w:rsid w:val="007A7567"/>
    <w:rsid w:val="007A7A2C"/>
    <w:rsid w:val="007B4E0C"/>
    <w:rsid w:val="007B7B04"/>
    <w:rsid w:val="007C0F36"/>
    <w:rsid w:val="00803A57"/>
    <w:rsid w:val="00804662"/>
    <w:rsid w:val="008162B6"/>
    <w:rsid w:val="0081662E"/>
    <w:rsid w:val="00824628"/>
    <w:rsid w:val="0082735A"/>
    <w:rsid w:val="00837D50"/>
    <w:rsid w:val="00843835"/>
    <w:rsid w:val="00856CC7"/>
    <w:rsid w:val="0086200A"/>
    <w:rsid w:val="00874DFE"/>
    <w:rsid w:val="00882EB7"/>
    <w:rsid w:val="00883243"/>
    <w:rsid w:val="00893BC0"/>
    <w:rsid w:val="008A1D33"/>
    <w:rsid w:val="008C5FA5"/>
    <w:rsid w:val="008C71E8"/>
    <w:rsid w:val="008D3667"/>
    <w:rsid w:val="008E1705"/>
    <w:rsid w:val="008E2665"/>
    <w:rsid w:val="008E784A"/>
    <w:rsid w:val="008F49AA"/>
    <w:rsid w:val="008F7E36"/>
    <w:rsid w:val="0090253C"/>
    <w:rsid w:val="00903207"/>
    <w:rsid w:val="009306A3"/>
    <w:rsid w:val="00932DB7"/>
    <w:rsid w:val="00934FF1"/>
    <w:rsid w:val="00944652"/>
    <w:rsid w:val="00946119"/>
    <w:rsid w:val="00952967"/>
    <w:rsid w:val="00955BC2"/>
    <w:rsid w:val="009617A1"/>
    <w:rsid w:val="00971FD7"/>
    <w:rsid w:val="00977A78"/>
    <w:rsid w:val="009853D2"/>
    <w:rsid w:val="00993DA8"/>
    <w:rsid w:val="009A2CCB"/>
    <w:rsid w:val="009A332E"/>
    <w:rsid w:val="009A3666"/>
    <w:rsid w:val="009B47D5"/>
    <w:rsid w:val="009C0A0A"/>
    <w:rsid w:val="009C0FA5"/>
    <w:rsid w:val="009C3676"/>
    <w:rsid w:val="009D10AE"/>
    <w:rsid w:val="009D596B"/>
    <w:rsid w:val="009F3B3D"/>
    <w:rsid w:val="00A0467A"/>
    <w:rsid w:val="00A17AC6"/>
    <w:rsid w:val="00A223A2"/>
    <w:rsid w:val="00A24673"/>
    <w:rsid w:val="00A2530F"/>
    <w:rsid w:val="00A301C5"/>
    <w:rsid w:val="00A31941"/>
    <w:rsid w:val="00A3351C"/>
    <w:rsid w:val="00A50B84"/>
    <w:rsid w:val="00A54FD9"/>
    <w:rsid w:val="00A57920"/>
    <w:rsid w:val="00A60004"/>
    <w:rsid w:val="00A642F5"/>
    <w:rsid w:val="00A66633"/>
    <w:rsid w:val="00A70076"/>
    <w:rsid w:val="00A74DFE"/>
    <w:rsid w:val="00A758DF"/>
    <w:rsid w:val="00A87570"/>
    <w:rsid w:val="00A901A9"/>
    <w:rsid w:val="00A9705E"/>
    <w:rsid w:val="00AA3723"/>
    <w:rsid w:val="00AA60C2"/>
    <w:rsid w:val="00AB104D"/>
    <w:rsid w:val="00AB1CFA"/>
    <w:rsid w:val="00AB21E1"/>
    <w:rsid w:val="00AC0EE4"/>
    <w:rsid w:val="00AC13B1"/>
    <w:rsid w:val="00AD1E3C"/>
    <w:rsid w:val="00AD64CE"/>
    <w:rsid w:val="00AE27FB"/>
    <w:rsid w:val="00AE41DF"/>
    <w:rsid w:val="00AF10FA"/>
    <w:rsid w:val="00AF28D8"/>
    <w:rsid w:val="00AF38AE"/>
    <w:rsid w:val="00AF68A9"/>
    <w:rsid w:val="00B0268D"/>
    <w:rsid w:val="00B030C0"/>
    <w:rsid w:val="00B11AFB"/>
    <w:rsid w:val="00B512E8"/>
    <w:rsid w:val="00B546A5"/>
    <w:rsid w:val="00B63A54"/>
    <w:rsid w:val="00B64657"/>
    <w:rsid w:val="00B77E0C"/>
    <w:rsid w:val="00B81964"/>
    <w:rsid w:val="00B905FC"/>
    <w:rsid w:val="00B90FF5"/>
    <w:rsid w:val="00B93731"/>
    <w:rsid w:val="00B95A93"/>
    <w:rsid w:val="00BA3305"/>
    <w:rsid w:val="00BA582F"/>
    <w:rsid w:val="00BB228B"/>
    <w:rsid w:val="00BB257C"/>
    <w:rsid w:val="00BC5582"/>
    <w:rsid w:val="00BD6CC0"/>
    <w:rsid w:val="00BE6E22"/>
    <w:rsid w:val="00BF0364"/>
    <w:rsid w:val="00C23DE0"/>
    <w:rsid w:val="00C24D51"/>
    <w:rsid w:val="00C45DA9"/>
    <w:rsid w:val="00C46128"/>
    <w:rsid w:val="00C54BBC"/>
    <w:rsid w:val="00C60179"/>
    <w:rsid w:val="00C624DD"/>
    <w:rsid w:val="00C65D09"/>
    <w:rsid w:val="00C70C24"/>
    <w:rsid w:val="00C77234"/>
    <w:rsid w:val="00C83832"/>
    <w:rsid w:val="00C84DD6"/>
    <w:rsid w:val="00C95BF8"/>
    <w:rsid w:val="00CA3355"/>
    <w:rsid w:val="00CA4A04"/>
    <w:rsid w:val="00CC7BDD"/>
    <w:rsid w:val="00CD5C8C"/>
    <w:rsid w:val="00CD66B8"/>
    <w:rsid w:val="00CE01A0"/>
    <w:rsid w:val="00CE2892"/>
    <w:rsid w:val="00CE776E"/>
    <w:rsid w:val="00CF1819"/>
    <w:rsid w:val="00D018B8"/>
    <w:rsid w:val="00D020E2"/>
    <w:rsid w:val="00D07F70"/>
    <w:rsid w:val="00D1361B"/>
    <w:rsid w:val="00D172E9"/>
    <w:rsid w:val="00D22911"/>
    <w:rsid w:val="00D23585"/>
    <w:rsid w:val="00D4211F"/>
    <w:rsid w:val="00D4325D"/>
    <w:rsid w:val="00D46077"/>
    <w:rsid w:val="00D47898"/>
    <w:rsid w:val="00D52740"/>
    <w:rsid w:val="00D53F35"/>
    <w:rsid w:val="00D55E3B"/>
    <w:rsid w:val="00D66D5D"/>
    <w:rsid w:val="00D83389"/>
    <w:rsid w:val="00D934EA"/>
    <w:rsid w:val="00D9429C"/>
    <w:rsid w:val="00DA07D4"/>
    <w:rsid w:val="00DA3F3C"/>
    <w:rsid w:val="00DB0B9F"/>
    <w:rsid w:val="00DB10D7"/>
    <w:rsid w:val="00DB3F78"/>
    <w:rsid w:val="00DB5971"/>
    <w:rsid w:val="00DB612D"/>
    <w:rsid w:val="00DB7EA5"/>
    <w:rsid w:val="00DD2C61"/>
    <w:rsid w:val="00DD70C9"/>
    <w:rsid w:val="00DE2EB2"/>
    <w:rsid w:val="00DE60AE"/>
    <w:rsid w:val="00DF384A"/>
    <w:rsid w:val="00E008C5"/>
    <w:rsid w:val="00E04C20"/>
    <w:rsid w:val="00E22E43"/>
    <w:rsid w:val="00E3433B"/>
    <w:rsid w:val="00E401CB"/>
    <w:rsid w:val="00E46E52"/>
    <w:rsid w:val="00E64A7C"/>
    <w:rsid w:val="00E738B5"/>
    <w:rsid w:val="00E852BD"/>
    <w:rsid w:val="00E948BF"/>
    <w:rsid w:val="00EA22FA"/>
    <w:rsid w:val="00EA2B0E"/>
    <w:rsid w:val="00EA400B"/>
    <w:rsid w:val="00EB1285"/>
    <w:rsid w:val="00EB20AA"/>
    <w:rsid w:val="00EC3CD4"/>
    <w:rsid w:val="00EC4F01"/>
    <w:rsid w:val="00EC7378"/>
    <w:rsid w:val="00ED107B"/>
    <w:rsid w:val="00ED1567"/>
    <w:rsid w:val="00ED1830"/>
    <w:rsid w:val="00ED7C50"/>
    <w:rsid w:val="00EE485C"/>
    <w:rsid w:val="00EE4F0A"/>
    <w:rsid w:val="00EE5884"/>
    <w:rsid w:val="00EF14C4"/>
    <w:rsid w:val="00EF2E23"/>
    <w:rsid w:val="00EF638B"/>
    <w:rsid w:val="00F02EC4"/>
    <w:rsid w:val="00F03C9E"/>
    <w:rsid w:val="00F05E09"/>
    <w:rsid w:val="00F068FC"/>
    <w:rsid w:val="00F1712B"/>
    <w:rsid w:val="00F246B4"/>
    <w:rsid w:val="00F2560B"/>
    <w:rsid w:val="00F31456"/>
    <w:rsid w:val="00F505B3"/>
    <w:rsid w:val="00F53CAC"/>
    <w:rsid w:val="00F55DC6"/>
    <w:rsid w:val="00F6589B"/>
    <w:rsid w:val="00F91543"/>
    <w:rsid w:val="00F96CA4"/>
    <w:rsid w:val="00F9714A"/>
    <w:rsid w:val="00FA4E11"/>
    <w:rsid w:val="00FA6647"/>
    <w:rsid w:val="00FB1385"/>
    <w:rsid w:val="00FB7BC5"/>
    <w:rsid w:val="00FC6F59"/>
    <w:rsid w:val="00FD3F53"/>
    <w:rsid w:val="00FD49F7"/>
    <w:rsid w:val="00FD504E"/>
    <w:rsid w:val="00FE0968"/>
    <w:rsid w:val="00FF14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DA8"/>
    <w:rPr>
      <w:rFonts w:ascii="CG Times" w:hAnsi="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505B3"/>
    <w:pPr>
      <w:tabs>
        <w:tab w:val="center" w:pos="4320"/>
        <w:tab w:val="right" w:pos="8640"/>
      </w:tabs>
    </w:pPr>
  </w:style>
  <w:style w:type="character" w:styleId="PageNumber">
    <w:name w:val="page number"/>
    <w:basedOn w:val="DefaultParagraphFont"/>
    <w:rsid w:val="00F505B3"/>
  </w:style>
  <w:style w:type="character" w:styleId="FootnoteReference">
    <w:name w:val="footnote reference"/>
    <w:basedOn w:val="DefaultParagraphFont"/>
    <w:semiHidden/>
    <w:rsid w:val="006D69C9"/>
    <w:rPr>
      <w:vertAlign w:val="superscript"/>
    </w:rPr>
  </w:style>
  <w:style w:type="character" w:customStyle="1" w:styleId="term1">
    <w:name w:val="term1"/>
    <w:basedOn w:val="DefaultParagraphFont"/>
    <w:rsid w:val="006D69C9"/>
    <w:rPr>
      <w:rFonts w:ascii="Verdana" w:hAnsi="Verdana" w:hint="default"/>
      <w:b/>
      <w:bCs/>
      <w:sz w:val="20"/>
      <w:szCs w:val="20"/>
    </w:rPr>
  </w:style>
  <w:style w:type="paragraph" w:styleId="BodyText">
    <w:name w:val="Body Text"/>
    <w:basedOn w:val="Normal"/>
    <w:rsid w:val="008E2665"/>
    <w:pPr>
      <w:spacing w:line="360" w:lineRule="auto"/>
      <w:jc w:val="both"/>
    </w:pPr>
    <w:rPr>
      <w:rFonts w:ascii="Times New Roman" w:eastAsia="SimSun" w:hAnsi="Times New Roman"/>
      <w:sz w:val="26"/>
      <w:szCs w:val="20"/>
    </w:rPr>
  </w:style>
  <w:style w:type="paragraph" w:styleId="BalloonText">
    <w:name w:val="Balloon Text"/>
    <w:basedOn w:val="Normal"/>
    <w:semiHidden/>
    <w:rsid w:val="00166C16"/>
    <w:rPr>
      <w:rFonts w:ascii="Tahoma" w:hAnsi="Tahoma" w:cs="Tahoma"/>
      <w:sz w:val="16"/>
      <w:szCs w:val="16"/>
    </w:rPr>
  </w:style>
  <w:style w:type="paragraph" w:styleId="FootnoteText">
    <w:name w:val="footnote text"/>
    <w:basedOn w:val="Normal"/>
    <w:semiHidden/>
    <w:rsid w:val="00FD49F7"/>
    <w:rPr>
      <w:sz w:val="20"/>
      <w:szCs w:val="20"/>
    </w:rPr>
  </w:style>
  <w:style w:type="paragraph" w:styleId="Header">
    <w:name w:val="header"/>
    <w:basedOn w:val="Normal"/>
    <w:link w:val="HeaderChar"/>
    <w:rsid w:val="0068546C"/>
    <w:pPr>
      <w:tabs>
        <w:tab w:val="center" w:pos="4680"/>
        <w:tab w:val="right" w:pos="9360"/>
      </w:tabs>
    </w:pPr>
  </w:style>
  <w:style w:type="character" w:customStyle="1" w:styleId="HeaderChar">
    <w:name w:val="Header Char"/>
    <w:basedOn w:val="DefaultParagraphFont"/>
    <w:link w:val="Header"/>
    <w:rsid w:val="0068546C"/>
    <w:rPr>
      <w:rFonts w:ascii="CG Times" w:hAnsi="CG Time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21B98-71E8-4FA1-B4A4-49E65A181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1450</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9696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rmeehan</dc:creator>
  <cp:keywords/>
  <dc:description/>
  <cp:lastModifiedBy>bfaccenda</cp:lastModifiedBy>
  <cp:revision>2</cp:revision>
  <cp:lastPrinted>2008-03-14T14:46:00Z</cp:lastPrinted>
  <dcterms:created xsi:type="dcterms:W3CDTF">2011-07-25T17:46:00Z</dcterms:created>
  <dcterms:modified xsi:type="dcterms:W3CDTF">2011-07-25T17:46:00Z</dcterms:modified>
</cp:coreProperties>
</file>