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C0B0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000000" w:rsidRDefault="00977FCD">
      <w:pPr>
        <w:tabs>
          <w:tab w:val="left" w:pos="-720"/>
        </w:tabs>
        <w:suppressAutoHyphens/>
        <w:ind w:right="-43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August 5, 2011</w:t>
      </w:r>
    </w:p>
    <w:p w:rsidR="00FC7CC7" w:rsidRPr="006B63CC" w:rsidRDefault="00FF1FD5" w:rsidP="00FF1FD5">
      <w:pPr>
        <w:tabs>
          <w:tab w:val="left" w:pos="-720"/>
        </w:tabs>
        <w:suppressAutoHyphens/>
        <w:ind w:right="-432"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FC7CC7" w:rsidRPr="006B63CC">
        <w:rPr>
          <w:sz w:val="24"/>
          <w:szCs w:val="24"/>
        </w:rPr>
        <w:t>-</w:t>
      </w:r>
      <w:r w:rsidR="00F944BF">
        <w:rPr>
          <w:sz w:val="24"/>
          <w:szCs w:val="24"/>
        </w:rPr>
        <w:t>2009-2108186</w:t>
      </w:r>
    </w:p>
    <w:p w:rsidR="00FC7CC7" w:rsidRPr="006B63CC" w:rsidRDefault="00FC7CC7" w:rsidP="00FF1FD5">
      <w:pPr>
        <w:tabs>
          <w:tab w:val="left" w:pos="-720"/>
        </w:tabs>
        <w:suppressAutoHyphens/>
        <w:ind w:right="-432"/>
        <w:jc w:val="right"/>
        <w:rPr>
          <w:sz w:val="24"/>
          <w:szCs w:val="24"/>
        </w:rPr>
      </w:pPr>
      <w:r w:rsidRPr="006B63CC">
        <w:rPr>
          <w:sz w:val="24"/>
          <w:szCs w:val="24"/>
        </w:rPr>
        <w:t>C-</w:t>
      </w:r>
      <w:r w:rsidR="00F944BF">
        <w:rPr>
          <w:sz w:val="24"/>
          <w:szCs w:val="24"/>
        </w:rPr>
        <w:t>2009-</w:t>
      </w:r>
      <w:r w:rsidR="00D549EC">
        <w:rPr>
          <w:sz w:val="24"/>
          <w:szCs w:val="24"/>
        </w:rPr>
        <w:t>2</w:t>
      </w:r>
      <w:r w:rsidR="00F944BF">
        <w:rPr>
          <w:sz w:val="24"/>
          <w:szCs w:val="24"/>
        </w:rPr>
        <w:t>108239</w:t>
      </w:r>
    </w:p>
    <w:p w:rsidR="0049096E" w:rsidRDefault="0049096E" w:rsidP="0084236E">
      <w:pPr>
        <w:spacing w:before="4" w:after="4"/>
        <w:ind w:left="432" w:hanging="432"/>
        <w:rPr>
          <w:sz w:val="24"/>
          <w:szCs w:val="24"/>
        </w:rPr>
      </w:pPr>
    </w:p>
    <w:p w:rsidR="0049096E" w:rsidRDefault="0049096E" w:rsidP="0084236E">
      <w:pPr>
        <w:spacing w:before="4" w:after="4"/>
        <w:ind w:left="432" w:hanging="432"/>
        <w:rPr>
          <w:sz w:val="24"/>
          <w:szCs w:val="24"/>
        </w:rPr>
      </w:pPr>
    </w:p>
    <w:p w:rsidR="00164EAA" w:rsidRPr="0090108D" w:rsidRDefault="00684DEB" w:rsidP="00164EAA">
      <w:pPr>
        <w:spacing w:before="4" w:after="4"/>
        <w:ind w:left="432" w:hanging="432"/>
        <w:rPr>
          <w:b/>
          <w:sz w:val="24"/>
        </w:rPr>
      </w:pPr>
      <w:r w:rsidRPr="00684DEB">
        <w:rPr>
          <w:b/>
          <w:sz w:val="24"/>
        </w:rPr>
        <w:t xml:space="preserve">RE: </w:t>
      </w:r>
      <w:r w:rsidRPr="00684DEB">
        <w:rPr>
          <w:b/>
          <w:sz w:val="24"/>
        </w:rPr>
        <w:tab/>
        <w:t xml:space="preserve">Core Communications, Inc. </w:t>
      </w:r>
      <w:r w:rsidR="00FC7CC7" w:rsidRPr="0090108D">
        <w:rPr>
          <w:b/>
          <w:sz w:val="24"/>
          <w:szCs w:val="24"/>
        </w:rPr>
        <w:t>v.</w:t>
      </w:r>
      <w:r w:rsidR="00164EAA" w:rsidRPr="0090108D">
        <w:rPr>
          <w:b/>
          <w:sz w:val="24"/>
          <w:szCs w:val="24"/>
        </w:rPr>
        <w:t xml:space="preserve"> A</w:t>
      </w:r>
      <w:r w:rsidR="00AF79AD" w:rsidRPr="0090108D">
        <w:rPr>
          <w:b/>
          <w:sz w:val="24"/>
          <w:szCs w:val="24"/>
        </w:rPr>
        <w:t>T&amp;T Communications of Pa., LLC</w:t>
      </w:r>
      <w:r w:rsidR="008E6C7A" w:rsidRPr="0090108D">
        <w:rPr>
          <w:b/>
          <w:sz w:val="24"/>
          <w:szCs w:val="24"/>
        </w:rPr>
        <w:t xml:space="preserve"> and </w:t>
      </w:r>
    </w:p>
    <w:p w:rsidR="00AF79AD" w:rsidRPr="0090108D" w:rsidRDefault="00164EAA" w:rsidP="0084236E">
      <w:pPr>
        <w:tabs>
          <w:tab w:val="left" w:pos="-720"/>
        </w:tabs>
        <w:suppressAutoHyphens/>
        <w:spacing w:before="4" w:after="4"/>
        <w:ind w:left="432" w:hanging="432"/>
        <w:rPr>
          <w:b/>
          <w:sz w:val="24"/>
        </w:rPr>
      </w:pPr>
      <w:r w:rsidRPr="0090108D">
        <w:rPr>
          <w:b/>
          <w:sz w:val="24"/>
          <w:szCs w:val="24"/>
        </w:rPr>
        <w:tab/>
      </w:r>
      <w:r w:rsidRPr="0090108D">
        <w:rPr>
          <w:b/>
          <w:sz w:val="24"/>
          <w:szCs w:val="24"/>
        </w:rPr>
        <w:tab/>
      </w:r>
      <w:r w:rsidR="00684DEB" w:rsidRPr="00684DEB">
        <w:rPr>
          <w:b/>
          <w:sz w:val="24"/>
        </w:rPr>
        <w:t xml:space="preserve">TCG Pittsburgh, Inc. </w:t>
      </w:r>
    </w:p>
    <w:p w:rsidR="00393A9B" w:rsidRDefault="00393A9B" w:rsidP="0084236E">
      <w:pPr>
        <w:rPr>
          <w:sz w:val="24"/>
          <w:szCs w:val="24"/>
        </w:rPr>
      </w:pPr>
    </w:p>
    <w:p w:rsidR="0049096E" w:rsidRPr="006B63CC" w:rsidRDefault="0049096E" w:rsidP="0084236E">
      <w:pPr>
        <w:rPr>
          <w:sz w:val="24"/>
          <w:szCs w:val="24"/>
        </w:rPr>
      </w:pPr>
    </w:p>
    <w:p w:rsidR="00E528E4" w:rsidRPr="006B63CC" w:rsidRDefault="001C1E78" w:rsidP="0084236E">
      <w:pPr>
        <w:rPr>
          <w:sz w:val="24"/>
          <w:szCs w:val="24"/>
        </w:rPr>
      </w:pPr>
      <w:r w:rsidRPr="006B63CC">
        <w:rPr>
          <w:sz w:val="24"/>
          <w:szCs w:val="24"/>
        </w:rPr>
        <w:t>TO ALL PARTIES</w:t>
      </w:r>
      <w:r w:rsidR="00430047" w:rsidRPr="006B63CC">
        <w:rPr>
          <w:sz w:val="24"/>
          <w:szCs w:val="24"/>
        </w:rPr>
        <w:t>:</w:t>
      </w:r>
    </w:p>
    <w:p w:rsidR="004803F3" w:rsidRPr="006B63CC" w:rsidRDefault="004803F3" w:rsidP="00FA7D17">
      <w:pPr>
        <w:ind w:firstLine="1440"/>
        <w:rPr>
          <w:sz w:val="24"/>
          <w:szCs w:val="24"/>
        </w:rPr>
      </w:pPr>
    </w:p>
    <w:p w:rsidR="00656D57" w:rsidRPr="006B63CC" w:rsidRDefault="00656D57" w:rsidP="00043623">
      <w:pPr>
        <w:ind w:firstLine="1440"/>
        <w:rPr>
          <w:sz w:val="24"/>
          <w:szCs w:val="24"/>
        </w:rPr>
      </w:pPr>
      <w:r w:rsidRPr="006B63CC">
        <w:rPr>
          <w:sz w:val="24"/>
          <w:szCs w:val="24"/>
        </w:rPr>
        <w:t xml:space="preserve">On </w:t>
      </w:r>
      <w:r w:rsidR="00034F6B">
        <w:rPr>
          <w:sz w:val="24"/>
          <w:szCs w:val="24"/>
        </w:rPr>
        <w:t>May 24, 2011</w:t>
      </w:r>
      <w:r w:rsidRPr="006B63CC">
        <w:rPr>
          <w:sz w:val="24"/>
          <w:szCs w:val="24"/>
        </w:rPr>
        <w:t xml:space="preserve">, </w:t>
      </w:r>
      <w:r w:rsidR="0090108D">
        <w:rPr>
          <w:sz w:val="24"/>
          <w:szCs w:val="24"/>
        </w:rPr>
        <w:t xml:space="preserve">we issued </w:t>
      </w:r>
      <w:r w:rsidRPr="006B63CC">
        <w:rPr>
          <w:sz w:val="24"/>
          <w:szCs w:val="24"/>
        </w:rPr>
        <w:t xml:space="preserve">the </w:t>
      </w:r>
      <w:r w:rsidR="00034F6B">
        <w:rPr>
          <w:sz w:val="24"/>
          <w:szCs w:val="24"/>
        </w:rPr>
        <w:t>Initial</w:t>
      </w:r>
      <w:r w:rsidRPr="006B63CC">
        <w:rPr>
          <w:sz w:val="24"/>
          <w:szCs w:val="24"/>
        </w:rPr>
        <w:t xml:space="preserve"> Decision of Administrative Law Judge </w:t>
      </w:r>
      <w:r w:rsidR="00AE4F93">
        <w:rPr>
          <w:sz w:val="24"/>
          <w:szCs w:val="24"/>
        </w:rPr>
        <w:t xml:space="preserve">(ALJ) </w:t>
      </w:r>
      <w:r w:rsidR="00034F6B">
        <w:rPr>
          <w:sz w:val="24"/>
          <w:szCs w:val="24"/>
        </w:rPr>
        <w:t>Angela</w:t>
      </w:r>
      <w:r w:rsidR="00164EAA">
        <w:rPr>
          <w:sz w:val="24"/>
          <w:szCs w:val="24"/>
        </w:rPr>
        <w:t> </w:t>
      </w:r>
      <w:r w:rsidR="00034F6B">
        <w:rPr>
          <w:sz w:val="24"/>
          <w:szCs w:val="24"/>
        </w:rPr>
        <w:t>T. Jones</w:t>
      </w:r>
      <w:r w:rsidRPr="006B63CC">
        <w:rPr>
          <w:sz w:val="24"/>
          <w:szCs w:val="24"/>
        </w:rPr>
        <w:t xml:space="preserve"> in the above-captioned proceeding. </w:t>
      </w:r>
      <w:r w:rsidR="004803F3" w:rsidRPr="006B63CC">
        <w:rPr>
          <w:sz w:val="24"/>
          <w:szCs w:val="24"/>
        </w:rPr>
        <w:t xml:space="preserve"> </w:t>
      </w:r>
      <w:r w:rsidR="002E3430">
        <w:rPr>
          <w:sz w:val="24"/>
          <w:szCs w:val="24"/>
        </w:rPr>
        <w:t xml:space="preserve">Exceptions </w:t>
      </w:r>
      <w:r w:rsidR="00A422A4">
        <w:rPr>
          <w:sz w:val="24"/>
          <w:szCs w:val="24"/>
        </w:rPr>
        <w:t xml:space="preserve">to the </w:t>
      </w:r>
      <w:r w:rsidR="00034F6B">
        <w:rPr>
          <w:sz w:val="24"/>
          <w:szCs w:val="24"/>
        </w:rPr>
        <w:t>Initial</w:t>
      </w:r>
      <w:r w:rsidR="00FE0197">
        <w:rPr>
          <w:sz w:val="24"/>
          <w:szCs w:val="24"/>
        </w:rPr>
        <w:t xml:space="preserve"> </w:t>
      </w:r>
      <w:r w:rsidR="00A422A4">
        <w:rPr>
          <w:sz w:val="24"/>
          <w:szCs w:val="24"/>
        </w:rPr>
        <w:t>D</w:t>
      </w:r>
      <w:r w:rsidR="00FE0197">
        <w:rPr>
          <w:sz w:val="24"/>
          <w:szCs w:val="24"/>
        </w:rPr>
        <w:t>ecision</w:t>
      </w:r>
      <w:r w:rsidR="00A422A4">
        <w:rPr>
          <w:sz w:val="24"/>
          <w:szCs w:val="24"/>
        </w:rPr>
        <w:t xml:space="preserve"> </w:t>
      </w:r>
      <w:r w:rsidR="002E3430">
        <w:rPr>
          <w:sz w:val="24"/>
          <w:szCs w:val="24"/>
        </w:rPr>
        <w:t xml:space="preserve">were filed </w:t>
      </w:r>
      <w:r w:rsidR="00A422A4">
        <w:rPr>
          <w:sz w:val="24"/>
          <w:szCs w:val="24"/>
        </w:rPr>
        <w:t xml:space="preserve">by </w:t>
      </w:r>
      <w:r w:rsidR="00034F6B">
        <w:rPr>
          <w:sz w:val="24"/>
          <w:szCs w:val="24"/>
        </w:rPr>
        <w:t>Core Communications, Inc.</w:t>
      </w:r>
      <w:r w:rsidR="00FE0197">
        <w:rPr>
          <w:sz w:val="24"/>
          <w:szCs w:val="24"/>
        </w:rPr>
        <w:t xml:space="preserve"> </w:t>
      </w:r>
      <w:r w:rsidR="00164F6A">
        <w:rPr>
          <w:sz w:val="24"/>
          <w:szCs w:val="24"/>
        </w:rPr>
        <w:t xml:space="preserve">(Core) </w:t>
      </w:r>
      <w:r w:rsidR="008E6C7A">
        <w:rPr>
          <w:sz w:val="24"/>
          <w:szCs w:val="24"/>
        </w:rPr>
        <w:t xml:space="preserve">and AT&amp;T Communications of Pennsylvania, LLC (AT&amp;T) </w:t>
      </w:r>
      <w:r w:rsidR="00FE0197">
        <w:rPr>
          <w:sz w:val="24"/>
          <w:szCs w:val="24"/>
        </w:rPr>
        <w:t xml:space="preserve">on </w:t>
      </w:r>
      <w:r w:rsidR="00034F6B">
        <w:rPr>
          <w:sz w:val="24"/>
          <w:szCs w:val="24"/>
        </w:rPr>
        <w:t>June 13, 2011</w:t>
      </w:r>
      <w:r w:rsidR="008E6C7A">
        <w:rPr>
          <w:sz w:val="24"/>
          <w:szCs w:val="24"/>
        </w:rPr>
        <w:t xml:space="preserve">.  </w:t>
      </w:r>
      <w:r w:rsidR="00A422A4">
        <w:rPr>
          <w:sz w:val="24"/>
          <w:szCs w:val="24"/>
        </w:rPr>
        <w:t>Repl</w:t>
      </w:r>
      <w:r w:rsidR="00096EEF">
        <w:rPr>
          <w:sz w:val="24"/>
          <w:szCs w:val="24"/>
        </w:rPr>
        <w:t xml:space="preserve">ies to </w:t>
      </w:r>
      <w:r w:rsidR="00A422A4">
        <w:rPr>
          <w:sz w:val="24"/>
          <w:szCs w:val="24"/>
        </w:rPr>
        <w:t xml:space="preserve">Exceptions were filed by </w:t>
      </w:r>
      <w:r w:rsidR="00164F6A">
        <w:rPr>
          <w:sz w:val="24"/>
          <w:szCs w:val="24"/>
        </w:rPr>
        <w:t xml:space="preserve">Core </w:t>
      </w:r>
      <w:r w:rsidR="008E6C7A">
        <w:rPr>
          <w:sz w:val="24"/>
          <w:szCs w:val="24"/>
        </w:rPr>
        <w:t xml:space="preserve">and AT&amp;T </w:t>
      </w:r>
      <w:r w:rsidR="008C0B0D">
        <w:rPr>
          <w:sz w:val="24"/>
          <w:szCs w:val="24"/>
        </w:rPr>
        <w:t>on June</w:t>
      </w:r>
      <w:r w:rsidR="0090108D">
        <w:rPr>
          <w:sz w:val="24"/>
          <w:szCs w:val="24"/>
        </w:rPr>
        <w:t> </w:t>
      </w:r>
      <w:r w:rsidR="008C0B0D">
        <w:rPr>
          <w:sz w:val="24"/>
          <w:szCs w:val="24"/>
        </w:rPr>
        <w:t>23, 2011</w:t>
      </w:r>
      <w:r w:rsidR="008E6C7A">
        <w:rPr>
          <w:sz w:val="24"/>
          <w:szCs w:val="24"/>
        </w:rPr>
        <w:t>.</w:t>
      </w:r>
    </w:p>
    <w:p w:rsidR="00656D57" w:rsidRPr="006B63CC" w:rsidRDefault="00656D57" w:rsidP="00043623">
      <w:pPr>
        <w:ind w:firstLine="1440"/>
        <w:rPr>
          <w:sz w:val="24"/>
          <w:szCs w:val="24"/>
        </w:rPr>
      </w:pPr>
    </w:p>
    <w:p w:rsidR="00D51652" w:rsidRDefault="00DE0C6D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  <w:r w:rsidRPr="006B63CC">
        <w:rPr>
          <w:sz w:val="24"/>
          <w:szCs w:val="24"/>
        </w:rPr>
        <w:t xml:space="preserve">On </w:t>
      </w:r>
      <w:r w:rsidR="008A1146">
        <w:rPr>
          <w:sz w:val="24"/>
          <w:szCs w:val="24"/>
        </w:rPr>
        <w:t>J</w:t>
      </w:r>
      <w:r w:rsidR="00EE3802">
        <w:rPr>
          <w:sz w:val="24"/>
          <w:szCs w:val="24"/>
        </w:rPr>
        <w:t>uly</w:t>
      </w:r>
      <w:r w:rsidR="008A1146">
        <w:rPr>
          <w:sz w:val="24"/>
          <w:szCs w:val="24"/>
        </w:rPr>
        <w:t xml:space="preserve"> </w:t>
      </w:r>
      <w:r w:rsidR="00EE3802">
        <w:rPr>
          <w:sz w:val="24"/>
          <w:szCs w:val="24"/>
        </w:rPr>
        <w:t>7</w:t>
      </w:r>
      <w:r w:rsidR="008A1146">
        <w:rPr>
          <w:sz w:val="24"/>
          <w:szCs w:val="24"/>
        </w:rPr>
        <w:t>, 2011</w:t>
      </w:r>
      <w:r w:rsidRPr="006B63CC">
        <w:rPr>
          <w:sz w:val="24"/>
          <w:szCs w:val="24"/>
        </w:rPr>
        <w:t xml:space="preserve">, </w:t>
      </w:r>
      <w:r w:rsidR="00096EEF">
        <w:rPr>
          <w:sz w:val="24"/>
          <w:szCs w:val="24"/>
        </w:rPr>
        <w:t xml:space="preserve">Core filed </w:t>
      </w:r>
      <w:r w:rsidR="008A1146">
        <w:rPr>
          <w:sz w:val="24"/>
          <w:szCs w:val="24"/>
        </w:rPr>
        <w:t xml:space="preserve">a Motion </w:t>
      </w:r>
      <w:r w:rsidR="00EE3802">
        <w:rPr>
          <w:sz w:val="24"/>
          <w:szCs w:val="24"/>
        </w:rPr>
        <w:t>for Leave to File Update to its Reply to the Exceptions of AT&amp;T</w:t>
      </w:r>
      <w:r w:rsidR="003805F3">
        <w:rPr>
          <w:sz w:val="24"/>
          <w:szCs w:val="24"/>
        </w:rPr>
        <w:t xml:space="preserve"> (Motion)</w:t>
      </w:r>
      <w:r w:rsidR="00EE3802">
        <w:rPr>
          <w:sz w:val="24"/>
          <w:szCs w:val="24"/>
        </w:rPr>
        <w:t xml:space="preserve">.  </w:t>
      </w:r>
      <w:r w:rsidR="000A5135">
        <w:rPr>
          <w:sz w:val="24"/>
          <w:szCs w:val="24"/>
        </w:rPr>
        <w:t xml:space="preserve">Core avers </w:t>
      </w:r>
      <w:r w:rsidR="00096EEF">
        <w:rPr>
          <w:sz w:val="24"/>
          <w:szCs w:val="24"/>
        </w:rPr>
        <w:t xml:space="preserve">in </w:t>
      </w:r>
      <w:r w:rsidR="0090108D">
        <w:rPr>
          <w:sz w:val="24"/>
          <w:szCs w:val="24"/>
        </w:rPr>
        <w:t xml:space="preserve">the </w:t>
      </w:r>
      <w:r w:rsidR="00096EEF">
        <w:rPr>
          <w:sz w:val="24"/>
          <w:szCs w:val="24"/>
        </w:rPr>
        <w:t xml:space="preserve">Motion </w:t>
      </w:r>
      <w:r w:rsidR="000A5135">
        <w:rPr>
          <w:sz w:val="24"/>
          <w:szCs w:val="24"/>
        </w:rPr>
        <w:t xml:space="preserve">that following submission of exceptions in this matter, the Ninth Circuit Court of Appeals filed its opinion in </w:t>
      </w:r>
      <w:r w:rsidR="008F69C4">
        <w:rPr>
          <w:i/>
          <w:sz w:val="24"/>
          <w:szCs w:val="24"/>
        </w:rPr>
        <w:t>AT&amp;T Communications of Cal., Inc. v. Pac-W. Telecomm, Inc</w:t>
      </w:r>
      <w:r w:rsidR="00906C58">
        <w:rPr>
          <w:i/>
          <w:sz w:val="24"/>
          <w:szCs w:val="24"/>
        </w:rPr>
        <w:t>.</w:t>
      </w:r>
      <w:r w:rsidR="008F69C4">
        <w:rPr>
          <w:i/>
          <w:sz w:val="24"/>
          <w:szCs w:val="24"/>
        </w:rPr>
        <w:t xml:space="preserve">, </w:t>
      </w:r>
      <w:r w:rsidR="008F69C4">
        <w:rPr>
          <w:sz w:val="24"/>
          <w:szCs w:val="24"/>
        </w:rPr>
        <w:t>08-17010, 2011 WL 2450986 (9</w:t>
      </w:r>
      <w:r w:rsidR="008F69C4" w:rsidRPr="008F69C4">
        <w:rPr>
          <w:sz w:val="24"/>
          <w:szCs w:val="24"/>
          <w:vertAlign w:val="superscript"/>
        </w:rPr>
        <w:t>th</w:t>
      </w:r>
      <w:r w:rsidR="008F69C4">
        <w:rPr>
          <w:sz w:val="24"/>
          <w:szCs w:val="24"/>
        </w:rPr>
        <w:t xml:space="preserve"> Cir. June 21, 2011)</w:t>
      </w:r>
      <w:r w:rsidR="00257DC1">
        <w:rPr>
          <w:sz w:val="24"/>
          <w:szCs w:val="24"/>
        </w:rPr>
        <w:t xml:space="preserve"> </w:t>
      </w:r>
      <w:r w:rsidR="008F69C4">
        <w:rPr>
          <w:sz w:val="24"/>
          <w:szCs w:val="24"/>
        </w:rPr>
        <w:t>(</w:t>
      </w:r>
      <w:r w:rsidR="008F69C4">
        <w:rPr>
          <w:i/>
          <w:sz w:val="24"/>
          <w:szCs w:val="24"/>
        </w:rPr>
        <w:t>AT&amp;T v. Pac-West)</w:t>
      </w:r>
      <w:r w:rsidR="008F69C4">
        <w:rPr>
          <w:sz w:val="24"/>
          <w:szCs w:val="24"/>
        </w:rPr>
        <w:t>,</w:t>
      </w:r>
      <w:r w:rsidR="00257DC1">
        <w:rPr>
          <w:sz w:val="24"/>
          <w:szCs w:val="24"/>
        </w:rPr>
        <w:t xml:space="preserve"> </w:t>
      </w:r>
      <w:r w:rsidR="008F69C4">
        <w:rPr>
          <w:sz w:val="24"/>
          <w:szCs w:val="24"/>
        </w:rPr>
        <w:t xml:space="preserve">a case which is referenced in </w:t>
      </w:r>
      <w:r w:rsidR="003805F3">
        <w:rPr>
          <w:sz w:val="24"/>
          <w:szCs w:val="24"/>
        </w:rPr>
        <w:t xml:space="preserve">ALJ Jones’ </w:t>
      </w:r>
      <w:r w:rsidR="008F69C4">
        <w:rPr>
          <w:sz w:val="24"/>
          <w:szCs w:val="24"/>
        </w:rPr>
        <w:t>Initial Decision</w:t>
      </w:r>
      <w:r w:rsidR="003805F3">
        <w:rPr>
          <w:sz w:val="24"/>
          <w:szCs w:val="24"/>
        </w:rPr>
        <w:t>.</w:t>
      </w:r>
      <w:r w:rsidR="008F69C4">
        <w:rPr>
          <w:sz w:val="24"/>
          <w:szCs w:val="24"/>
        </w:rPr>
        <w:t xml:space="preserve"> </w:t>
      </w:r>
      <w:r w:rsidR="003805F3">
        <w:rPr>
          <w:sz w:val="24"/>
          <w:szCs w:val="24"/>
        </w:rPr>
        <w:t xml:space="preserve"> </w:t>
      </w:r>
      <w:r w:rsidR="00AE4F93">
        <w:rPr>
          <w:sz w:val="24"/>
          <w:szCs w:val="24"/>
        </w:rPr>
        <w:t xml:space="preserve">Core </w:t>
      </w:r>
      <w:r w:rsidR="00D63622">
        <w:rPr>
          <w:sz w:val="24"/>
          <w:szCs w:val="24"/>
        </w:rPr>
        <w:t xml:space="preserve">further avers that the Ninth Circuit </w:t>
      </w:r>
      <w:r w:rsidR="00AF265F">
        <w:rPr>
          <w:sz w:val="24"/>
          <w:szCs w:val="24"/>
        </w:rPr>
        <w:t>O</w:t>
      </w:r>
      <w:r w:rsidR="00D63622">
        <w:rPr>
          <w:sz w:val="24"/>
          <w:szCs w:val="24"/>
        </w:rPr>
        <w:t xml:space="preserve">pinion </w:t>
      </w:r>
      <w:r w:rsidR="00257DC1">
        <w:rPr>
          <w:sz w:val="24"/>
          <w:szCs w:val="24"/>
        </w:rPr>
        <w:t xml:space="preserve">(Opinion) </w:t>
      </w:r>
      <w:r w:rsidR="00D63622">
        <w:rPr>
          <w:sz w:val="24"/>
          <w:szCs w:val="24"/>
        </w:rPr>
        <w:t>was filed two days prior to the due date for repl</w:t>
      </w:r>
      <w:r w:rsidR="00096EEF">
        <w:rPr>
          <w:sz w:val="24"/>
          <w:szCs w:val="24"/>
        </w:rPr>
        <w:t>ies to</w:t>
      </w:r>
      <w:r w:rsidR="00D63622">
        <w:rPr>
          <w:sz w:val="24"/>
          <w:szCs w:val="24"/>
        </w:rPr>
        <w:t xml:space="preserve"> exceptions and that it was not aware of the </w:t>
      </w:r>
      <w:r w:rsidR="00257DC1">
        <w:rPr>
          <w:sz w:val="24"/>
          <w:szCs w:val="24"/>
        </w:rPr>
        <w:t>O</w:t>
      </w:r>
      <w:r w:rsidR="00D63622">
        <w:rPr>
          <w:sz w:val="24"/>
          <w:szCs w:val="24"/>
        </w:rPr>
        <w:t xml:space="preserve">pinion at the time </w:t>
      </w:r>
      <w:r w:rsidR="00257DC1">
        <w:rPr>
          <w:sz w:val="24"/>
          <w:szCs w:val="24"/>
        </w:rPr>
        <w:t xml:space="preserve">it filed its </w:t>
      </w:r>
      <w:r w:rsidR="00D63622">
        <w:rPr>
          <w:sz w:val="24"/>
          <w:szCs w:val="24"/>
        </w:rPr>
        <w:t>Repl</w:t>
      </w:r>
      <w:r w:rsidR="00096EEF">
        <w:rPr>
          <w:sz w:val="24"/>
          <w:szCs w:val="24"/>
        </w:rPr>
        <w:t xml:space="preserve">ies to </w:t>
      </w:r>
      <w:r w:rsidR="00D63622">
        <w:rPr>
          <w:sz w:val="24"/>
          <w:szCs w:val="24"/>
        </w:rPr>
        <w:t xml:space="preserve">Exceptions.  AT&amp;T </w:t>
      </w:r>
      <w:r w:rsidR="00A4374C">
        <w:rPr>
          <w:sz w:val="24"/>
          <w:szCs w:val="24"/>
        </w:rPr>
        <w:t>attached a copy of the Opinion to i</w:t>
      </w:r>
      <w:r w:rsidR="001A1E76">
        <w:rPr>
          <w:sz w:val="24"/>
          <w:szCs w:val="24"/>
        </w:rPr>
        <w:t>ts Repl</w:t>
      </w:r>
      <w:r w:rsidR="00A4374C">
        <w:rPr>
          <w:sz w:val="24"/>
          <w:szCs w:val="24"/>
        </w:rPr>
        <w:t xml:space="preserve">ies to </w:t>
      </w:r>
      <w:r w:rsidR="00096EEF">
        <w:rPr>
          <w:sz w:val="24"/>
          <w:szCs w:val="24"/>
        </w:rPr>
        <w:t xml:space="preserve">Exceptions </w:t>
      </w:r>
      <w:r w:rsidR="001A1E76">
        <w:rPr>
          <w:sz w:val="24"/>
          <w:szCs w:val="24"/>
        </w:rPr>
        <w:t>a</w:t>
      </w:r>
      <w:r w:rsidR="00EB05AE">
        <w:rPr>
          <w:sz w:val="24"/>
          <w:szCs w:val="24"/>
        </w:rPr>
        <w:t xml:space="preserve">nd addressed it therein. </w:t>
      </w:r>
      <w:r w:rsidR="001A1E76">
        <w:rPr>
          <w:sz w:val="24"/>
          <w:szCs w:val="24"/>
        </w:rPr>
        <w:t xml:space="preserve">  </w:t>
      </w:r>
      <w:r w:rsidR="00AF265F">
        <w:rPr>
          <w:sz w:val="24"/>
          <w:szCs w:val="24"/>
        </w:rPr>
        <w:t xml:space="preserve">A copy of Core’s </w:t>
      </w:r>
      <w:r w:rsidR="00EB05AE">
        <w:rPr>
          <w:sz w:val="24"/>
          <w:szCs w:val="24"/>
        </w:rPr>
        <w:t>u</w:t>
      </w:r>
      <w:r w:rsidR="00AF265F">
        <w:rPr>
          <w:sz w:val="24"/>
          <w:szCs w:val="24"/>
        </w:rPr>
        <w:t>pdate</w:t>
      </w:r>
      <w:r w:rsidR="00EB05AE">
        <w:rPr>
          <w:sz w:val="24"/>
          <w:szCs w:val="24"/>
        </w:rPr>
        <w:t>d</w:t>
      </w:r>
      <w:r w:rsidR="00AF265F">
        <w:rPr>
          <w:sz w:val="24"/>
          <w:szCs w:val="24"/>
        </w:rPr>
        <w:t xml:space="preserve"> </w:t>
      </w:r>
      <w:r w:rsidR="00EB05AE">
        <w:rPr>
          <w:sz w:val="24"/>
          <w:szCs w:val="24"/>
        </w:rPr>
        <w:t xml:space="preserve">Replies to Exceptions </w:t>
      </w:r>
      <w:r w:rsidR="00AF265F">
        <w:rPr>
          <w:sz w:val="24"/>
          <w:szCs w:val="24"/>
        </w:rPr>
        <w:t xml:space="preserve">was attached to its Motion.  </w:t>
      </w:r>
    </w:p>
    <w:p w:rsidR="00D51652" w:rsidRDefault="00D51652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AF265F" w:rsidRDefault="002D3D75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July 15, 2011, AT&amp;T </w:t>
      </w:r>
      <w:r w:rsidR="000E0FB3">
        <w:rPr>
          <w:sz w:val="24"/>
          <w:szCs w:val="24"/>
        </w:rPr>
        <w:t xml:space="preserve">filed </w:t>
      </w:r>
      <w:r>
        <w:rPr>
          <w:sz w:val="24"/>
          <w:szCs w:val="24"/>
        </w:rPr>
        <w:t>a document styled “</w:t>
      </w:r>
      <w:r w:rsidR="001A1E76">
        <w:rPr>
          <w:sz w:val="24"/>
          <w:szCs w:val="24"/>
        </w:rPr>
        <w:t>Opposition to Core’s Motion for Leave to File Update to Core’s Reply to the Exceptions of AT&amp;T</w:t>
      </w:r>
      <w:r>
        <w:rPr>
          <w:sz w:val="24"/>
          <w:szCs w:val="24"/>
        </w:rPr>
        <w:t>.”</w:t>
      </w:r>
      <w:r w:rsidR="001A1E76">
        <w:rPr>
          <w:sz w:val="24"/>
          <w:szCs w:val="24"/>
        </w:rPr>
        <w:t xml:space="preserve"> </w:t>
      </w:r>
      <w:r w:rsidR="00AF265F">
        <w:rPr>
          <w:sz w:val="24"/>
          <w:szCs w:val="24"/>
        </w:rPr>
        <w:t xml:space="preserve">AT&amp;T alleged </w:t>
      </w:r>
      <w:r w:rsidR="000E0FB3">
        <w:rPr>
          <w:sz w:val="24"/>
          <w:szCs w:val="24"/>
        </w:rPr>
        <w:t xml:space="preserve">therein </w:t>
      </w:r>
      <w:r w:rsidR="00AF265F">
        <w:rPr>
          <w:sz w:val="24"/>
          <w:szCs w:val="24"/>
        </w:rPr>
        <w:t xml:space="preserve">that Core had closely followed the Ninth Circuit case and could have addressed the </w:t>
      </w:r>
      <w:r>
        <w:rPr>
          <w:sz w:val="24"/>
          <w:szCs w:val="24"/>
        </w:rPr>
        <w:t xml:space="preserve">Ninth Circuit Order </w:t>
      </w:r>
      <w:r w:rsidR="00AF265F">
        <w:rPr>
          <w:sz w:val="24"/>
          <w:szCs w:val="24"/>
        </w:rPr>
        <w:t xml:space="preserve">in its Replies.  </w:t>
      </w:r>
      <w:r w:rsidR="0043317B">
        <w:rPr>
          <w:sz w:val="24"/>
          <w:szCs w:val="24"/>
        </w:rPr>
        <w:t>AT&amp;T also asked that</w:t>
      </w:r>
      <w:r w:rsidR="000E0FB3">
        <w:rPr>
          <w:sz w:val="24"/>
          <w:szCs w:val="24"/>
        </w:rPr>
        <w:t>,</w:t>
      </w:r>
      <w:r w:rsidR="0043317B">
        <w:rPr>
          <w:sz w:val="24"/>
          <w:szCs w:val="24"/>
        </w:rPr>
        <w:t xml:space="preserve"> if the Commission were to </w:t>
      </w:r>
      <w:r>
        <w:rPr>
          <w:sz w:val="24"/>
          <w:szCs w:val="24"/>
        </w:rPr>
        <w:t xml:space="preserve">grant </w:t>
      </w:r>
      <w:r w:rsidR="0043317B">
        <w:rPr>
          <w:sz w:val="24"/>
          <w:szCs w:val="24"/>
        </w:rPr>
        <w:t>Core</w:t>
      </w:r>
      <w:r w:rsidR="00096EEF">
        <w:rPr>
          <w:sz w:val="24"/>
          <w:szCs w:val="24"/>
        </w:rPr>
        <w:t>’</w:t>
      </w:r>
      <w:r w:rsidR="0043317B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Motion and consider </w:t>
      </w:r>
      <w:r w:rsidR="006A1E0C">
        <w:rPr>
          <w:sz w:val="24"/>
          <w:szCs w:val="24"/>
        </w:rPr>
        <w:t xml:space="preserve">Core’s </w:t>
      </w:r>
      <w:r w:rsidR="00634A5E">
        <w:rPr>
          <w:sz w:val="24"/>
          <w:szCs w:val="24"/>
        </w:rPr>
        <w:t>u</w:t>
      </w:r>
      <w:r w:rsidR="0043317B">
        <w:rPr>
          <w:sz w:val="24"/>
          <w:szCs w:val="24"/>
        </w:rPr>
        <w:t>pdate</w:t>
      </w:r>
      <w:r w:rsidR="00634A5E">
        <w:rPr>
          <w:sz w:val="24"/>
          <w:szCs w:val="24"/>
        </w:rPr>
        <w:t>d Replies to Exceptions</w:t>
      </w:r>
      <w:r w:rsidR="0043317B">
        <w:rPr>
          <w:sz w:val="24"/>
          <w:szCs w:val="24"/>
        </w:rPr>
        <w:t xml:space="preserve">, that </w:t>
      </w:r>
      <w:r>
        <w:rPr>
          <w:sz w:val="24"/>
          <w:szCs w:val="24"/>
        </w:rPr>
        <w:t>the Commission</w:t>
      </w:r>
      <w:r w:rsidR="0043317B">
        <w:rPr>
          <w:sz w:val="24"/>
          <w:szCs w:val="24"/>
        </w:rPr>
        <w:t xml:space="preserve"> likewise </w:t>
      </w:r>
      <w:r w:rsidR="000E0FB3">
        <w:rPr>
          <w:sz w:val="24"/>
          <w:szCs w:val="24"/>
        </w:rPr>
        <w:t xml:space="preserve">should </w:t>
      </w:r>
      <w:r w:rsidR="0043317B">
        <w:rPr>
          <w:sz w:val="24"/>
          <w:szCs w:val="24"/>
        </w:rPr>
        <w:t xml:space="preserve">consider </w:t>
      </w:r>
      <w:r>
        <w:rPr>
          <w:sz w:val="24"/>
          <w:szCs w:val="24"/>
        </w:rPr>
        <w:t>AT&amp;T’s</w:t>
      </w:r>
      <w:r w:rsidR="000E0FB3">
        <w:rPr>
          <w:sz w:val="24"/>
          <w:szCs w:val="24"/>
        </w:rPr>
        <w:t xml:space="preserve"> </w:t>
      </w:r>
      <w:r w:rsidR="007E57D8">
        <w:rPr>
          <w:sz w:val="24"/>
          <w:szCs w:val="24"/>
        </w:rPr>
        <w:t>respons</w:t>
      </w:r>
      <w:r w:rsidR="00C9250B">
        <w:rPr>
          <w:sz w:val="24"/>
          <w:szCs w:val="24"/>
        </w:rPr>
        <w:t xml:space="preserve">ive arguments </w:t>
      </w:r>
      <w:r w:rsidR="007E57D8">
        <w:rPr>
          <w:sz w:val="24"/>
          <w:szCs w:val="24"/>
        </w:rPr>
        <w:t xml:space="preserve">to the merits of Core’s </w:t>
      </w:r>
      <w:r w:rsidR="00634A5E">
        <w:rPr>
          <w:sz w:val="24"/>
          <w:szCs w:val="24"/>
        </w:rPr>
        <w:t>u</w:t>
      </w:r>
      <w:r w:rsidR="007E57D8">
        <w:rPr>
          <w:sz w:val="24"/>
          <w:szCs w:val="24"/>
        </w:rPr>
        <w:t>pdate</w:t>
      </w:r>
      <w:r w:rsidR="006A1E0C">
        <w:rPr>
          <w:sz w:val="24"/>
          <w:szCs w:val="24"/>
        </w:rPr>
        <w:t>d</w:t>
      </w:r>
      <w:r w:rsidR="00634A5E">
        <w:rPr>
          <w:sz w:val="24"/>
          <w:szCs w:val="24"/>
        </w:rPr>
        <w:t xml:space="preserve"> Replies to Exceptions</w:t>
      </w:r>
      <w:r w:rsidR="000E0FB3">
        <w:rPr>
          <w:sz w:val="24"/>
          <w:szCs w:val="24"/>
        </w:rPr>
        <w:t>.</w:t>
      </w:r>
    </w:p>
    <w:p w:rsidR="00AF265F" w:rsidRDefault="00AF265F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043623" w:rsidRDefault="001A1E76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317B">
        <w:rPr>
          <w:sz w:val="24"/>
          <w:szCs w:val="24"/>
        </w:rPr>
        <w:t xml:space="preserve">In consideration of the timing of </w:t>
      </w:r>
      <w:r w:rsidR="000E4D86">
        <w:rPr>
          <w:sz w:val="24"/>
          <w:szCs w:val="24"/>
        </w:rPr>
        <w:t xml:space="preserve">the </w:t>
      </w:r>
      <w:r w:rsidR="000E0FB3">
        <w:rPr>
          <w:sz w:val="24"/>
          <w:szCs w:val="24"/>
        </w:rPr>
        <w:t>entry of the Ninth Circuit’s Order</w:t>
      </w:r>
      <w:r w:rsidR="007E57D8">
        <w:rPr>
          <w:sz w:val="24"/>
          <w:szCs w:val="24"/>
        </w:rPr>
        <w:t xml:space="preserve"> to which the Parties call our careful attention,</w:t>
      </w:r>
      <w:r w:rsidR="00D549EC">
        <w:rPr>
          <w:sz w:val="24"/>
          <w:szCs w:val="24"/>
        </w:rPr>
        <w:t xml:space="preserve"> </w:t>
      </w:r>
      <w:r w:rsidR="000E4D86">
        <w:rPr>
          <w:sz w:val="24"/>
          <w:szCs w:val="24"/>
        </w:rPr>
        <w:t xml:space="preserve">and in the interest of having </w:t>
      </w:r>
      <w:r w:rsidR="006A1E0C">
        <w:rPr>
          <w:sz w:val="24"/>
          <w:szCs w:val="24"/>
        </w:rPr>
        <w:t xml:space="preserve">each of the </w:t>
      </w:r>
      <w:r w:rsidR="000E4D86">
        <w:rPr>
          <w:sz w:val="24"/>
          <w:szCs w:val="24"/>
        </w:rPr>
        <w:t xml:space="preserve">Parties’ arguments fully vetted prior to a final Commission Order being entered in these cases, </w:t>
      </w:r>
      <w:r w:rsidR="008D6E6E">
        <w:rPr>
          <w:sz w:val="24"/>
          <w:szCs w:val="24"/>
        </w:rPr>
        <w:t xml:space="preserve">we </w:t>
      </w:r>
      <w:r w:rsidR="00C9250B">
        <w:rPr>
          <w:sz w:val="24"/>
          <w:szCs w:val="24"/>
        </w:rPr>
        <w:t>sha</w:t>
      </w:r>
      <w:r w:rsidR="000E4D86">
        <w:rPr>
          <w:sz w:val="24"/>
          <w:szCs w:val="24"/>
        </w:rPr>
        <w:t>ll grant</w:t>
      </w:r>
      <w:r w:rsidR="00282FAE">
        <w:rPr>
          <w:sz w:val="24"/>
          <w:szCs w:val="24"/>
        </w:rPr>
        <w:t xml:space="preserve"> Core’s Motion and consider its </w:t>
      </w:r>
      <w:r w:rsidR="008D6E6E">
        <w:rPr>
          <w:sz w:val="24"/>
          <w:szCs w:val="24"/>
        </w:rPr>
        <w:t>updated Replies to Exceptions.</w:t>
      </w:r>
      <w:r w:rsidR="00282FAE">
        <w:rPr>
          <w:sz w:val="24"/>
          <w:szCs w:val="24"/>
        </w:rPr>
        <w:t xml:space="preserve">  In turn, </w:t>
      </w:r>
      <w:r w:rsidR="008D6E6E">
        <w:rPr>
          <w:sz w:val="24"/>
          <w:szCs w:val="24"/>
        </w:rPr>
        <w:t xml:space="preserve">we shall also </w:t>
      </w:r>
      <w:r w:rsidR="00634A5E">
        <w:rPr>
          <w:sz w:val="24"/>
          <w:szCs w:val="24"/>
        </w:rPr>
        <w:t xml:space="preserve">consider </w:t>
      </w:r>
      <w:r w:rsidR="00282FAE">
        <w:rPr>
          <w:sz w:val="24"/>
          <w:szCs w:val="24"/>
        </w:rPr>
        <w:t xml:space="preserve">AT&amp;T’s </w:t>
      </w:r>
      <w:r w:rsidR="00634A5E">
        <w:rPr>
          <w:sz w:val="24"/>
          <w:szCs w:val="24"/>
        </w:rPr>
        <w:t xml:space="preserve">responsive arguments </w:t>
      </w:r>
      <w:r w:rsidR="00282FAE">
        <w:rPr>
          <w:sz w:val="24"/>
          <w:szCs w:val="24"/>
        </w:rPr>
        <w:t xml:space="preserve">to Core’s </w:t>
      </w:r>
      <w:r w:rsidR="00634A5E">
        <w:rPr>
          <w:sz w:val="24"/>
          <w:szCs w:val="24"/>
        </w:rPr>
        <w:t>u</w:t>
      </w:r>
      <w:r w:rsidR="00282FAE">
        <w:rPr>
          <w:sz w:val="24"/>
          <w:szCs w:val="24"/>
        </w:rPr>
        <w:t>pdate</w:t>
      </w:r>
      <w:r w:rsidR="00906C58">
        <w:rPr>
          <w:sz w:val="24"/>
          <w:szCs w:val="24"/>
        </w:rPr>
        <w:t>d</w:t>
      </w:r>
      <w:r w:rsidR="00C9250B">
        <w:rPr>
          <w:sz w:val="24"/>
          <w:szCs w:val="24"/>
        </w:rPr>
        <w:t xml:space="preserve"> </w:t>
      </w:r>
      <w:r w:rsidR="00634A5E">
        <w:rPr>
          <w:sz w:val="24"/>
          <w:szCs w:val="24"/>
        </w:rPr>
        <w:t>Replies to Exceptions.</w:t>
      </w:r>
    </w:p>
    <w:p w:rsidR="00282FAE" w:rsidRDefault="00282FAE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D549EC" w:rsidRDefault="00D549EC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D549EC" w:rsidRDefault="00D549EC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D549EC" w:rsidRDefault="00D549EC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D549EC" w:rsidRDefault="00D549EC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D549EC" w:rsidRDefault="00D549EC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BE0E75" w:rsidRDefault="00BE0E75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BE0E75" w:rsidRDefault="00BE0E75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BE0E75" w:rsidRDefault="00BE0E75" w:rsidP="00043623">
      <w:pPr>
        <w:tabs>
          <w:tab w:val="left" w:pos="-720"/>
        </w:tabs>
        <w:suppressAutoHyphens/>
        <w:ind w:firstLine="1440"/>
        <w:rPr>
          <w:sz w:val="24"/>
          <w:szCs w:val="24"/>
        </w:rPr>
      </w:pPr>
    </w:p>
    <w:p w:rsidR="00282FAE" w:rsidRPr="006B63CC" w:rsidRDefault="00282FAE" w:rsidP="00043623">
      <w:pPr>
        <w:tabs>
          <w:tab w:val="left" w:pos="-720"/>
        </w:tabs>
        <w:suppressAutoHyphens/>
        <w:ind w:firstLine="1440"/>
        <w:rPr>
          <w:bCs/>
          <w:sz w:val="24"/>
          <w:szCs w:val="24"/>
        </w:rPr>
      </w:pPr>
      <w:r>
        <w:rPr>
          <w:sz w:val="24"/>
          <w:szCs w:val="24"/>
        </w:rPr>
        <w:t xml:space="preserve">However, </w:t>
      </w:r>
      <w:r w:rsidR="00BE0E75">
        <w:rPr>
          <w:sz w:val="24"/>
          <w:szCs w:val="24"/>
        </w:rPr>
        <w:t xml:space="preserve">we will disregard </w:t>
      </w:r>
      <w:r>
        <w:rPr>
          <w:sz w:val="24"/>
          <w:szCs w:val="24"/>
        </w:rPr>
        <w:t xml:space="preserve">Core’s correspondence of July 19, 2011 </w:t>
      </w:r>
      <w:r w:rsidR="00BE0E75">
        <w:rPr>
          <w:sz w:val="24"/>
          <w:szCs w:val="24"/>
        </w:rPr>
        <w:t>(</w:t>
      </w:r>
      <w:r w:rsidR="00A90A45">
        <w:rPr>
          <w:i/>
          <w:sz w:val="24"/>
          <w:szCs w:val="24"/>
        </w:rPr>
        <w:t xml:space="preserve">i.e., </w:t>
      </w:r>
      <w:r w:rsidR="002B0AED">
        <w:rPr>
          <w:sz w:val="24"/>
          <w:szCs w:val="24"/>
        </w:rPr>
        <w:t xml:space="preserve">Core’s Letter Response to AT&amp;T’s Opposition to Motion) </w:t>
      </w:r>
      <w:r>
        <w:rPr>
          <w:sz w:val="24"/>
          <w:szCs w:val="24"/>
        </w:rPr>
        <w:t>as well as AT&amp;T’s correspondence of July</w:t>
      </w:r>
      <w:r w:rsidR="00A90A45">
        <w:rPr>
          <w:sz w:val="24"/>
          <w:szCs w:val="24"/>
        </w:rPr>
        <w:t> </w:t>
      </w:r>
      <w:r>
        <w:rPr>
          <w:sz w:val="24"/>
          <w:szCs w:val="24"/>
        </w:rPr>
        <w:t xml:space="preserve">20, 2011 </w:t>
      </w:r>
      <w:r w:rsidR="002B0AED">
        <w:rPr>
          <w:sz w:val="24"/>
          <w:szCs w:val="24"/>
        </w:rPr>
        <w:t>(</w:t>
      </w:r>
      <w:r w:rsidR="00A90A45">
        <w:rPr>
          <w:i/>
          <w:sz w:val="24"/>
          <w:szCs w:val="24"/>
        </w:rPr>
        <w:t xml:space="preserve">i.e., </w:t>
      </w:r>
      <w:r w:rsidR="002B0AED">
        <w:rPr>
          <w:sz w:val="24"/>
          <w:szCs w:val="24"/>
        </w:rPr>
        <w:t xml:space="preserve">AT&amp;T’s Letter Rebuttal to Core’s </w:t>
      </w:r>
      <w:r w:rsidR="00A90A45">
        <w:rPr>
          <w:sz w:val="24"/>
          <w:szCs w:val="24"/>
        </w:rPr>
        <w:t xml:space="preserve">June 19, 2011 Correspondence) </w:t>
      </w:r>
      <w:r w:rsidR="00E84F15">
        <w:rPr>
          <w:sz w:val="24"/>
          <w:szCs w:val="24"/>
        </w:rPr>
        <w:t>as non-substantive with regard to the matters at hand.</w:t>
      </w:r>
    </w:p>
    <w:p w:rsidR="00581807" w:rsidRDefault="00581807" w:rsidP="00043623">
      <w:pPr>
        <w:ind w:firstLine="1440"/>
        <w:rPr>
          <w:sz w:val="24"/>
          <w:szCs w:val="24"/>
        </w:rPr>
      </w:pPr>
    </w:p>
    <w:p w:rsidR="00D549EC" w:rsidRDefault="00D549EC" w:rsidP="00043623">
      <w:pPr>
        <w:ind w:firstLine="1440"/>
        <w:rPr>
          <w:sz w:val="24"/>
          <w:szCs w:val="24"/>
        </w:rPr>
      </w:pPr>
    </w:p>
    <w:p w:rsidR="003A072B" w:rsidRPr="006B63CC" w:rsidRDefault="003A072B" w:rsidP="006B63CC">
      <w:pPr>
        <w:rPr>
          <w:sz w:val="24"/>
          <w:szCs w:val="24"/>
        </w:rPr>
      </w:pP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="006B63CC">
        <w:rPr>
          <w:sz w:val="24"/>
          <w:szCs w:val="24"/>
        </w:rPr>
        <w:tab/>
      </w:r>
      <w:r w:rsidRPr="006B63CC">
        <w:rPr>
          <w:sz w:val="24"/>
          <w:szCs w:val="24"/>
        </w:rPr>
        <w:t>Very truly yours,</w:t>
      </w:r>
    </w:p>
    <w:p w:rsidR="00D12C93" w:rsidRDefault="00AD4C8E" w:rsidP="006B63C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3810</wp:posOffset>
            </wp:positionV>
            <wp:extent cx="2200275" cy="838200"/>
            <wp:effectExtent l="19050" t="0" r="952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4F3" w:rsidRDefault="000B14F3" w:rsidP="006B63CC">
      <w:pPr>
        <w:rPr>
          <w:sz w:val="24"/>
          <w:szCs w:val="24"/>
        </w:rPr>
      </w:pPr>
    </w:p>
    <w:p w:rsidR="003A072B" w:rsidRDefault="003A072B" w:rsidP="006B63CC">
      <w:pPr>
        <w:rPr>
          <w:sz w:val="24"/>
          <w:szCs w:val="24"/>
        </w:rPr>
      </w:pPr>
    </w:p>
    <w:p w:rsidR="0084236E" w:rsidRPr="006B63CC" w:rsidRDefault="0084236E" w:rsidP="006B63CC">
      <w:pPr>
        <w:rPr>
          <w:sz w:val="24"/>
          <w:szCs w:val="24"/>
        </w:rPr>
      </w:pPr>
    </w:p>
    <w:p w:rsidR="003A072B" w:rsidRPr="006B63CC" w:rsidRDefault="003A072B" w:rsidP="006B63CC">
      <w:pPr>
        <w:rPr>
          <w:sz w:val="24"/>
          <w:szCs w:val="24"/>
        </w:rPr>
      </w:pP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="006B63CC">
        <w:rPr>
          <w:sz w:val="24"/>
          <w:szCs w:val="24"/>
        </w:rPr>
        <w:tab/>
      </w:r>
      <w:r w:rsidR="00393A9B" w:rsidRPr="006B63CC">
        <w:rPr>
          <w:sz w:val="24"/>
          <w:szCs w:val="24"/>
        </w:rPr>
        <w:t>Rosemary Chiavetta</w:t>
      </w:r>
    </w:p>
    <w:p w:rsidR="003A072B" w:rsidRPr="006B63CC" w:rsidRDefault="003A072B" w:rsidP="006B63CC">
      <w:pPr>
        <w:rPr>
          <w:sz w:val="24"/>
          <w:szCs w:val="24"/>
        </w:rPr>
      </w:pP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Pr="006B63CC">
        <w:rPr>
          <w:sz w:val="24"/>
          <w:szCs w:val="24"/>
        </w:rPr>
        <w:tab/>
      </w:r>
      <w:r w:rsidR="006B63CC">
        <w:rPr>
          <w:sz w:val="24"/>
          <w:szCs w:val="24"/>
        </w:rPr>
        <w:tab/>
      </w:r>
      <w:r w:rsidRPr="006B63CC">
        <w:rPr>
          <w:sz w:val="24"/>
          <w:szCs w:val="24"/>
        </w:rPr>
        <w:t>Secretary</w:t>
      </w:r>
    </w:p>
    <w:sectPr w:rsidR="003A072B" w:rsidRPr="006B63CC" w:rsidSect="000B14F3">
      <w:type w:val="continuous"/>
      <w:pgSz w:w="12240" w:h="15840"/>
      <w:pgMar w:top="504" w:right="1440" w:bottom="50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C8E" w:rsidRDefault="00AD4C8E">
      <w:r>
        <w:separator/>
      </w:r>
    </w:p>
  </w:endnote>
  <w:endnote w:type="continuationSeparator" w:id="0">
    <w:p w:rsidR="00AD4C8E" w:rsidRDefault="00AD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C8E" w:rsidRDefault="00AD4C8E">
      <w:r>
        <w:separator/>
      </w:r>
    </w:p>
  </w:footnote>
  <w:footnote w:type="continuationSeparator" w:id="0">
    <w:p w:rsidR="00AD4C8E" w:rsidRDefault="00AD4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6793"/>
    <w:rsid w:val="00034F6B"/>
    <w:rsid w:val="00043623"/>
    <w:rsid w:val="00081C15"/>
    <w:rsid w:val="00085FC5"/>
    <w:rsid w:val="00096EEF"/>
    <w:rsid w:val="000A5135"/>
    <w:rsid w:val="000A659E"/>
    <w:rsid w:val="000B14F3"/>
    <w:rsid w:val="000D020B"/>
    <w:rsid w:val="000D26F3"/>
    <w:rsid w:val="000D28D5"/>
    <w:rsid w:val="000D6753"/>
    <w:rsid w:val="000E0FB3"/>
    <w:rsid w:val="000E3737"/>
    <w:rsid w:val="000E4D86"/>
    <w:rsid w:val="000F03BA"/>
    <w:rsid w:val="001209F1"/>
    <w:rsid w:val="00121FC2"/>
    <w:rsid w:val="00136BAB"/>
    <w:rsid w:val="00145471"/>
    <w:rsid w:val="00157590"/>
    <w:rsid w:val="00164EAA"/>
    <w:rsid w:val="00164F6A"/>
    <w:rsid w:val="0018285B"/>
    <w:rsid w:val="0019580E"/>
    <w:rsid w:val="001A1E76"/>
    <w:rsid w:val="001C1E78"/>
    <w:rsid w:val="001E49F4"/>
    <w:rsid w:val="00201518"/>
    <w:rsid w:val="0021794B"/>
    <w:rsid w:val="002229C3"/>
    <w:rsid w:val="002462B6"/>
    <w:rsid w:val="0025152E"/>
    <w:rsid w:val="00257DC1"/>
    <w:rsid w:val="002762F7"/>
    <w:rsid w:val="00280CC0"/>
    <w:rsid w:val="00282FAE"/>
    <w:rsid w:val="00287550"/>
    <w:rsid w:val="0029471C"/>
    <w:rsid w:val="00295B24"/>
    <w:rsid w:val="002A572E"/>
    <w:rsid w:val="002A7870"/>
    <w:rsid w:val="002B0AED"/>
    <w:rsid w:val="002B75B6"/>
    <w:rsid w:val="002D248F"/>
    <w:rsid w:val="002D3D75"/>
    <w:rsid w:val="002D695B"/>
    <w:rsid w:val="002E28AA"/>
    <w:rsid w:val="002E3430"/>
    <w:rsid w:val="00333554"/>
    <w:rsid w:val="0034399B"/>
    <w:rsid w:val="0036778E"/>
    <w:rsid w:val="003677ED"/>
    <w:rsid w:val="003805F3"/>
    <w:rsid w:val="00391858"/>
    <w:rsid w:val="00393A9B"/>
    <w:rsid w:val="003A006B"/>
    <w:rsid w:val="003A072B"/>
    <w:rsid w:val="003A3D25"/>
    <w:rsid w:val="003A50C3"/>
    <w:rsid w:val="003E3BF1"/>
    <w:rsid w:val="003F6903"/>
    <w:rsid w:val="00430047"/>
    <w:rsid w:val="00430574"/>
    <w:rsid w:val="0043317B"/>
    <w:rsid w:val="004438FC"/>
    <w:rsid w:val="004446DC"/>
    <w:rsid w:val="00463AA5"/>
    <w:rsid w:val="004803F3"/>
    <w:rsid w:val="0049096E"/>
    <w:rsid w:val="004B3DCE"/>
    <w:rsid w:val="004E4CA8"/>
    <w:rsid w:val="004F5793"/>
    <w:rsid w:val="005367C3"/>
    <w:rsid w:val="00581807"/>
    <w:rsid w:val="005907B5"/>
    <w:rsid w:val="005A37A2"/>
    <w:rsid w:val="005C61B7"/>
    <w:rsid w:val="005D0A47"/>
    <w:rsid w:val="005E25C5"/>
    <w:rsid w:val="005F60EF"/>
    <w:rsid w:val="00601B8D"/>
    <w:rsid w:val="0062547B"/>
    <w:rsid w:val="00634A5E"/>
    <w:rsid w:val="00636D03"/>
    <w:rsid w:val="006430DB"/>
    <w:rsid w:val="00647984"/>
    <w:rsid w:val="00656D57"/>
    <w:rsid w:val="00666CB5"/>
    <w:rsid w:val="006755C0"/>
    <w:rsid w:val="00684DEB"/>
    <w:rsid w:val="00695EE4"/>
    <w:rsid w:val="006A1B5E"/>
    <w:rsid w:val="006A1E0C"/>
    <w:rsid w:val="006B63CC"/>
    <w:rsid w:val="006C1497"/>
    <w:rsid w:val="006D3665"/>
    <w:rsid w:val="00706FBE"/>
    <w:rsid w:val="00726821"/>
    <w:rsid w:val="0074407C"/>
    <w:rsid w:val="00745B3D"/>
    <w:rsid w:val="00747131"/>
    <w:rsid w:val="007701C7"/>
    <w:rsid w:val="00772952"/>
    <w:rsid w:val="007D1483"/>
    <w:rsid w:val="007D3E5D"/>
    <w:rsid w:val="007D663A"/>
    <w:rsid w:val="007E57D8"/>
    <w:rsid w:val="007F0181"/>
    <w:rsid w:val="00807300"/>
    <w:rsid w:val="0084236E"/>
    <w:rsid w:val="00853849"/>
    <w:rsid w:val="008666B2"/>
    <w:rsid w:val="00892F54"/>
    <w:rsid w:val="00895AF3"/>
    <w:rsid w:val="008A1146"/>
    <w:rsid w:val="008C0B0D"/>
    <w:rsid w:val="008C2EF8"/>
    <w:rsid w:val="008C645A"/>
    <w:rsid w:val="008D0E03"/>
    <w:rsid w:val="008D17D5"/>
    <w:rsid w:val="008D6E6E"/>
    <w:rsid w:val="008D7334"/>
    <w:rsid w:val="008E6C7A"/>
    <w:rsid w:val="008F69C4"/>
    <w:rsid w:val="0090108D"/>
    <w:rsid w:val="00906C58"/>
    <w:rsid w:val="00914D71"/>
    <w:rsid w:val="00932F72"/>
    <w:rsid w:val="00935778"/>
    <w:rsid w:val="009520ED"/>
    <w:rsid w:val="00977FCD"/>
    <w:rsid w:val="009A7211"/>
    <w:rsid w:val="009F56D2"/>
    <w:rsid w:val="009F5F66"/>
    <w:rsid w:val="009F723A"/>
    <w:rsid w:val="00A02E3B"/>
    <w:rsid w:val="00A0384B"/>
    <w:rsid w:val="00A16BD8"/>
    <w:rsid w:val="00A17721"/>
    <w:rsid w:val="00A332A2"/>
    <w:rsid w:val="00A422A4"/>
    <w:rsid w:val="00A4374C"/>
    <w:rsid w:val="00A6226E"/>
    <w:rsid w:val="00A75733"/>
    <w:rsid w:val="00A90A45"/>
    <w:rsid w:val="00AA0766"/>
    <w:rsid w:val="00AB3B84"/>
    <w:rsid w:val="00AD4C8E"/>
    <w:rsid w:val="00AE4F93"/>
    <w:rsid w:val="00AF265F"/>
    <w:rsid w:val="00AF79AD"/>
    <w:rsid w:val="00B26BFB"/>
    <w:rsid w:val="00B3131B"/>
    <w:rsid w:val="00B338F6"/>
    <w:rsid w:val="00B54C9E"/>
    <w:rsid w:val="00B66608"/>
    <w:rsid w:val="00B82225"/>
    <w:rsid w:val="00BB51B3"/>
    <w:rsid w:val="00BC1DFA"/>
    <w:rsid w:val="00BC2FB9"/>
    <w:rsid w:val="00BC3334"/>
    <w:rsid w:val="00BE0E75"/>
    <w:rsid w:val="00BE5119"/>
    <w:rsid w:val="00C013A1"/>
    <w:rsid w:val="00C217F2"/>
    <w:rsid w:val="00C31018"/>
    <w:rsid w:val="00C74A51"/>
    <w:rsid w:val="00C8472C"/>
    <w:rsid w:val="00C875E3"/>
    <w:rsid w:val="00C9250B"/>
    <w:rsid w:val="00CA50D1"/>
    <w:rsid w:val="00CB5738"/>
    <w:rsid w:val="00CF282B"/>
    <w:rsid w:val="00CF2B17"/>
    <w:rsid w:val="00CF73EC"/>
    <w:rsid w:val="00D12C93"/>
    <w:rsid w:val="00D139D8"/>
    <w:rsid w:val="00D26C3C"/>
    <w:rsid w:val="00D26C57"/>
    <w:rsid w:val="00D340DB"/>
    <w:rsid w:val="00D51652"/>
    <w:rsid w:val="00D549EC"/>
    <w:rsid w:val="00D62DCF"/>
    <w:rsid w:val="00D63622"/>
    <w:rsid w:val="00D958C2"/>
    <w:rsid w:val="00DB2119"/>
    <w:rsid w:val="00DD3FB9"/>
    <w:rsid w:val="00DE0C6D"/>
    <w:rsid w:val="00DF4B0B"/>
    <w:rsid w:val="00E229FE"/>
    <w:rsid w:val="00E23493"/>
    <w:rsid w:val="00E24818"/>
    <w:rsid w:val="00E528E4"/>
    <w:rsid w:val="00E62A79"/>
    <w:rsid w:val="00E70913"/>
    <w:rsid w:val="00E771ED"/>
    <w:rsid w:val="00E84F15"/>
    <w:rsid w:val="00E87F23"/>
    <w:rsid w:val="00E90D5D"/>
    <w:rsid w:val="00E928F1"/>
    <w:rsid w:val="00EB05AE"/>
    <w:rsid w:val="00EC7F84"/>
    <w:rsid w:val="00EE3802"/>
    <w:rsid w:val="00EE63C2"/>
    <w:rsid w:val="00EE7EB6"/>
    <w:rsid w:val="00EF3FBF"/>
    <w:rsid w:val="00EF7F10"/>
    <w:rsid w:val="00F04CF8"/>
    <w:rsid w:val="00F37DCE"/>
    <w:rsid w:val="00F42C1D"/>
    <w:rsid w:val="00F42E52"/>
    <w:rsid w:val="00F46235"/>
    <w:rsid w:val="00F46759"/>
    <w:rsid w:val="00F50FDD"/>
    <w:rsid w:val="00F619E6"/>
    <w:rsid w:val="00F649C8"/>
    <w:rsid w:val="00F65AE7"/>
    <w:rsid w:val="00F7094C"/>
    <w:rsid w:val="00F73C50"/>
    <w:rsid w:val="00F81A1B"/>
    <w:rsid w:val="00F81FCA"/>
    <w:rsid w:val="00F90E04"/>
    <w:rsid w:val="00F912E6"/>
    <w:rsid w:val="00F944BF"/>
    <w:rsid w:val="00F9452A"/>
    <w:rsid w:val="00F9546C"/>
    <w:rsid w:val="00FA4EDB"/>
    <w:rsid w:val="00FA7D17"/>
    <w:rsid w:val="00FC7CC7"/>
    <w:rsid w:val="00FD5EFB"/>
    <w:rsid w:val="00FE0197"/>
    <w:rsid w:val="00FF1FD5"/>
    <w:rsid w:val="00FF7021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0EF"/>
  </w:style>
  <w:style w:type="paragraph" w:styleId="Heading1">
    <w:name w:val="heading 1"/>
    <w:basedOn w:val="Normal"/>
    <w:next w:val="Normal"/>
    <w:qFormat/>
    <w:rsid w:val="005F60E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F60EF"/>
    <w:pPr>
      <w:ind w:left="360"/>
    </w:pPr>
    <w:rPr>
      <w:sz w:val="24"/>
    </w:rPr>
  </w:style>
  <w:style w:type="paragraph" w:styleId="Header">
    <w:name w:val="header"/>
    <w:basedOn w:val="Normal"/>
    <w:rsid w:val="005F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60E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4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dc:description/>
  <cp:lastModifiedBy>kagoss</cp:lastModifiedBy>
  <cp:revision>5</cp:revision>
  <cp:lastPrinted>2011-08-04T18:56:00Z</cp:lastPrinted>
  <dcterms:created xsi:type="dcterms:W3CDTF">2011-08-03T14:18:00Z</dcterms:created>
  <dcterms:modified xsi:type="dcterms:W3CDTF">2011-08-10T13:39:00Z</dcterms:modified>
</cp:coreProperties>
</file>