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1330" w:rsidRPr="00C81100" w:rsidRDefault="00A01330" w:rsidP="00C81100">
      <w:pPr>
        <w:jc w:val="center"/>
        <w:rPr>
          <w:b/>
          <w:sz w:val="24"/>
          <w:szCs w:val="24"/>
        </w:rPr>
      </w:pPr>
      <w:r w:rsidRPr="00C81100">
        <w:rPr>
          <w:b/>
          <w:sz w:val="24"/>
          <w:szCs w:val="24"/>
        </w:rPr>
        <w:t>BEFORE THE</w:t>
      </w:r>
    </w:p>
    <w:p w:rsidR="00A01330" w:rsidRPr="00C81100" w:rsidRDefault="00A01330" w:rsidP="00C81100">
      <w:pPr>
        <w:jc w:val="center"/>
        <w:rPr>
          <w:b/>
          <w:sz w:val="24"/>
          <w:szCs w:val="24"/>
        </w:rPr>
      </w:pPr>
      <w:r w:rsidRPr="00C81100">
        <w:rPr>
          <w:b/>
          <w:sz w:val="24"/>
          <w:szCs w:val="24"/>
        </w:rPr>
        <w:t>PENNSYLVANIA PUBLIC UTILITY COMMISSION</w:t>
      </w:r>
    </w:p>
    <w:p w:rsidR="00A01330" w:rsidRPr="00C81100" w:rsidRDefault="00A01330" w:rsidP="00C81100">
      <w:pPr>
        <w:jc w:val="center"/>
        <w:rPr>
          <w:sz w:val="24"/>
          <w:szCs w:val="24"/>
        </w:rPr>
      </w:pPr>
    </w:p>
    <w:p w:rsidR="00A01330" w:rsidRPr="00C81100" w:rsidRDefault="00A01330" w:rsidP="00C81100">
      <w:pPr>
        <w:jc w:val="center"/>
        <w:rPr>
          <w:sz w:val="24"/>
          <w:szCs w:val="24"/>
        </w:rPr>
      </w:pPr>
    </w:p>
    <w:p w:rsidR="009C4823" w:rsidRDefault="009C4823" w:rsidP="003B1503">
      <w:pPr>
        <w:rPr>
          <w:sz w:val="24"/>
          <w:szCs w:val="24"/>
        </w:rPr>
      </w:pPr>
    </w:p>
    <w:p w:rsidR="009C4823" w:rsidRPr="005A0C0F" w:rsidRDefault="009C4823" w:rsidP="009C4823">
      <w:pPr>
        <w:pStyle w:val="NoSpacing"/>
        <w:rPr>
          <w:sz w:val="24"/>
          <w:szCs w:val="24"/>
        </w:rPr>
      </w:pPr>
      <w:r>
        <w:rPr>
          <w:rFonts w:ascii="Times New Roman" w:hAnsi="Times New Roman" w:cs="Times New Roman"/>
          <w:sz w:val="24"/>
          <w:szCs w:val="24"/>
        </w:rPr>
        <w:t>Guntram Weissenberger, et al.</w:t>
      </w:r>
      <w:r>
        <w:rPr>
          <w:sz w:val="24"/>
          <w:szCs w:val="24"/>
        </w:rPr>
        <w:tab/>
      </w:r>
      <w:r>
        <w:rPr>
          <w:sz w:val="24"/>
          <w:szCs w:val="24"/>
        </w:rPr>
        <w:tab/>
      </w:r>
      <w:r>
        <w:rPr>
          <w:sz w:val="24"/>
          <w:szCs w:val="24"/>
        </w:rPr>
        <w:tab/>
      </w:r>
      <w:r w:rsidRPr="005A0C0F">
        <w:rPr>
          <w:sz w:val="24"/>
          <w:szCs w:val="24"/>
        </w:rPr>
        <w:t>:</w:t>
      </w:r>
    </w:p>
    <w:p w:rsidR="009C4823" w:rsidRPr="005A0C0F" w:rsidRDefault="009C4823" w:rsidP="009C4823">
      <w:pPr>
        <w:rPr>
          <w:sz w:val="24"/>
          <w:szCs w:val="24"/>
        </w:rPr>
      </w:pPr>
      <w:r w:rsidRPr="005A0C0F">
        <w:rPr>
          <w:sz w:val="24"/>
          <w:szCs w:val="24"/>
        </w:rPr>
        <w:tab/>
      </w:r>
      <w:r w:rsidRPr="005A0C0F">
        <w:rPr>
          <w:sz w:val="24"/>
          <w:szCs w:val="24"/>
        </w:rPr>
        <w:tab/>
      </w:r>
      <w:r w:rsidRPr="005A0C0F">
        <w:rPr>
          <w:sz w:val="24"/>
          <w:szCs w:val="24"/>
        </w:rPr>
        <w:tab/>
      </w:r>
      <w:r w:rsidRPr="005A0C0F">
        <w:rPr>
          <w:sz w:val="24"/>
          <w:szCs w:val="24"/>
        </w:rPr>
        <w:tab/>
      </w:r>
      <w:r w:rsidRPr="005A0C0F">
        <w:rPr>
          <w:sz w:val="24"/>
          <w:szCs w:val="24"/>
        </w:rPr>
        <w:tab/>
      </w:r>
      <w:r>
        <w:rPr>
          <w:sz w:val="24"/>
          <w:szCs w:val="24"/>
        </w:rPr>
        <w:tab/>
      </w:r>
      <w:r>
        <w:rPr>
          <w:sz w:val="24"/>
          <w:szCs w:val="24"/>
        </w:rPr>
        <w:tab/>
      </w:r>
      <w:r w:rsidRPr="005A0C0F">
        <w:rPr>
          <w:sz w:val="24"/>
          <w:szCs w:val="24"/>
        </w:rPr>
        <w:t>:</w:t>
      </w:r>
    </w:p>
    <w:p w:rsidR="009C4823" w:rsidRPr="005A0C0F" w:rsidRDefault="009C4823" w:rsidP="009C4823">
      <w:pPr>
        <w:rPr>
          <w:sz w:val="24"/>
          <w:szCs w:val="24"/>
        </w:rPr>
      </w:pPr>
      <w:r w:rsidRPr="005A0C0F">
        <w:rPr>
          <w:sz w:val="24"/>
          <w:szCs w:val="24"/>
        </w:rPr>
        <w:tab/>
        <w:t>v.</w:t>
      </w:r>
      <w:r w:rsidRPr="005A0C0F">
        <w:rPr>
          <w:sz w:val="24"/>
          <w:szCs w:val="24"/>
        </w:rPr>
        <w:tab/>
      </w:r>
      <w:r w:rsidRPr="005A0C0F">
        <w:rPr>
          <w:sz w:val="24"/>
          <w:szCs w:val="24"/>
        </w:rPr>
        <w:tab/>
      </w:r>
      <w:r w:rsidRPr="005A0C0F">
        <w:rPr>
          <w:sz w:val="24"/>
          <w:szCs w:val="24"/>
        </w:rPr>
        <w:tab/>
      </w:r>
      <w:r w:rsidRPr="005A0C0F">
        <w:rPr>
          <w:sz w:val="24"/>
          <w:szCs w:val="24"/>
        </w:rPr>
        <w:tab/>
      </w:r>
      <w:r w:rsidRPr="005A0C0F">
        <w:rPr>
          <w:sz w:val="24"/>
          <w:szCs w:val="24"/>
        </w:rPr>
        <w:tab/>
      </w:r>
      <w:r w:rsidRPr="005A0C0F">
        <w:rPr>
          <w:sz w:val="24"/>
          <w:szCs w:val="24"/>
        </w:rPr>
        <w:tab/>
        <w:t>:</w:t>
      </w:r>
      <w:r w:rsidRPr="005A0C0F">
        <w:rPr>
          <w:sz w:val="24"/>
          <w:szCs w:val="24"/>
        </w:rPr>
        <w:tab/>
        <w:t>Docket No. C-20</w:t>
      </w:r>
      <w:r>
        <w:rPr>
          <w:sz w:val="24"/>
          <w:szCs w:val="24"/>
        </w:rPr>
        <w:t>10</w:t>
      </w:r>
      <w:r w:rsidRPr="005A0C0F">
        <w:rPr>
          <w:sz w:val="24"/>
          <w:szCs w:val="24"/>
        </w:rPr>
        <w:t>-21</w:t>
      </w:r>
      <w:r>
        <w:rPr>
          <w:sz w:val="24"/>
          <w:szCs w:val="24"/>
        </w:rPr>
        <w:t>82281</w:t>
      </w:r>
    </w:p>
    <w:p w:rsidR="009C4823" w:rsidRPr="005A0C0F" w:rsidRDefault="009C4823" w:rsidP="009C4823">
      <w:pPr>
        <w:rPr>
          <w:sz w:val="24"/>
          <w:szCs w:val="24"/>
        </w:rPr>
      </w:pPr>
      <w:r w:rsidRPr="005A0C0F">
        <w:rPr>
          <w:sz w:val="24"/>
          <w:szCs w:val="24"/>
        </w:rPr>
        <w:tab/>
      </w:r>
      <w:r w:rsidRPr="005A0C0F">
        <w:rPr>
          <w:sz w:val="24"/>
          <w:szCs w:val="24"/>
        </w:rPr>
        <w:tab/>
      </w:r>
      <w:r w:rsidRPr="005A0C0F">
        <w:rPr>
          <w:sz w:val="24"/>
          <w:szCs w:val="24"/>
        </w:rPr>
        <w:tab/>
      </w:r>
      <w:r w:rsidRPr="005A0C0F">
        <w:rPr>
          <w:sz w:val="24"/>
          <w:szCs w:val="24"/>
        </w:rPr>
        <w:tab/>
      </w:r>
      <w:r w:rsidRPr="005A0C0F">
        <w:rPr>
          <w:sz w:val="24"/>
          <w:szCs w:val="24"/>
        </w:rPr>
        <w:tab/>
      </w:r>
      <w:r w:rsidRPr="005A0C0F">
        <w:rPr>
          <w:sz w:val="24"/>
          <w:szCs w:val="24"/>
        </w:rPr>
        <w:tab/>
      </w:r>
      <w:r w:rsidRPr="005A0C0F">
        <w:rPr>
          <w:sz w:val="24"/>
          <w:szCs w:val="24"/>
        </w:rPr>
        <w:tab/>
        <w:t>:</w:t>
      </w:r>
    </w:p>
    <w:p w:rsidR="009C4823" w:rsidRPr="005A0C0F" w:rsidRDefault="009C4823" w:rsidP="009C4823">
      <w:pPr>
        <w:rPr>
          <w:sz w:val="24"/>
          <w:szCs w:val="24"/>
        </w:rPr>
      </w:pPr>
      <w:r w:rsidRPr="005A0C0F">
        <w:rPr>
          <w:sz w:val="24"/>
          <w:szCs w:val="24"/>
        </w:rPr>
        <w:t>P</w:t>
      </w:r>
      <w:r>
        <w:rPr>
          <w:sz w:val="24"/>
          <w:szCs w:val="24"/>
        </w:rPr>
        <w:t>ECO Energy Company</w:t>
      </w:r>
      <w:r>
        <w:rPr>
          <w:sz w:val="24"/>
          <w:szCs w:val="24"/>
        </w:rPr>
        <w:tab/>
      </w:r>
      <w:r w:rsidRPr="005A0C0F">
        <w:rPr>
          <w:sz w:val="24"/>
          <w:szCs w:val="24"/>
        </w:rPr>
        <w:tab/>
      </w:r>
      <w:r w:rsidRPr="005A0C0F">
        <w:rPr>
          <w:sz w:val="24"/>
          <w:szCs w:val="24"/>
        </w:rPr>
        <w:tab/>
      </w:r>
      <w:r w:rsidRPr="005A0C0F">
        <w:rPr>
          <w:sz w:val="24"/>
          <w:szCs w:val="24"/>
        </w:rPr>
        <w:tab/>
        <w:t>:</w:t>
      </w:r>
    </w:p>
    <w:p w:rsidR="009C4823" w:rsidRDefault="009C4823" w:rsidP="003B1503">
      <w:pPr>
        <w:rPr>
          <w:sz w:val="24"/>
          <w:szCs w:val="24"/>
        </w:rPr>
      </w:pPr>
    </w:p>
    <w:p w:rsidR="009C4823" w:rsidRDefault="009C4823" w:rsidP="003B1503">
      <w:pPr>
        <w:rPr>
          <w:sz w:val="24"/>
          <w:szCs w:val="24"/>
        </w:rPr>
      </w:pPr>
    </w:p>
    <w:p w:rsidR="00A01330" w:rsidRDefault="00A01330" w:rsidP="00C81100">
      <w:pPr>
        <w:rPr>
          <w:sz w:val="24"/>
          <w:szCs w:val="24"/>
        </w:rPr>
      </w:pPr>
    </w:p>
    <w:p w:rsidR="002C230B" w:rsidRPr="00E16C06" w:rsidRDefault="00E16C06" w:rsidP="005627A7">
      <w:pPr>
        <w:jc w:val="center"/>
        <w:rPr>
          <w:sz w:val="24"/>
          <w:szCs w:val="24"/>
        </w:rPr>
      </w:pPr>
      <w:r w:rsidRPr="00E16C06">
        <w:rPr>
          <w:b/>
          <w:sz w:val="24"/>
          <w:szCs w:val="24"/>
          <w:u w:val="single"/>
        </w:rPr>
        <w:t xml:space="preserve">ORDER </w:t>
      </w:r>
    </w:p>
    <w:p w:rsidR="00E16C06" w:rsidRDefault="00E16C06" w:rsidP="00E16C06">
      <w:pPr>
        <w:rPr>
          <w:sz w:val="24"/>
          <w:szCs w:val="24"/>
        </w:rPr>
      </w:pPr>
    </w:p>
    <w:p w:rsidR="006F40FB" w:rsidRPr="00E16C06" w:rsidRDefault="006F40FB" w:rsidP="00E16C06">
      <w:pPr>
        <w:rPr>
          <w:sz w:val="24"/>
          <w:szCs w:val="24"/>
        </w:rPr>
      </w:pPr>
    </w:p>
    <w:p w:rsidR="00827446" w:rsidRPr="00827446" w:rsidRDefault="00827446" w:rsidP="00827446">
      <w:pPr>
        <w:spacing w:line="360" w:lineRule="auto"/>
        <w:jc w:val="center"/>
        <w:rPr>
          <w:sz w:val="24"/>
          <w:szCs w:val="24"/>
          <w:u w:val="single"/>
        </w:rPr>
      </w:pPr>
      <w:r w:rsidRPr="00827446">
        <w:rPr>
          <w:sz w:val="24"/>
          <w:szCs w:val="24"/>
          <w:u w:val="single"/>
        </w:rPr>
        <w:t>HISTORY</w:t>
      </w:r>
    </w:p>
    <w:p w:rsidR="00827446" w:rsidRDefault="00827446" w:rsidP="008514E6">
      <w:pPr>
        <w:spacing w:line="360" w:lineRule="auto"/>
        <w:rPr>
          <w:sz w:val="24"/>
          <w:szCs w:val="24"/>
        </w:rPr>
      </w:pPr>
      <w:r>
        <w:rPr>
          <w:sz w:val="24"/>
          <w:szCs w:val="24"/>
        </w:rPr>
        <w:tab/>
      </w:r>
      <w:r>
        <w:rPr>
          <w:sz w:val="24"/>
          <w:szCs w:val="24"/>
        </w:rPr>
        <w:tab/>
      </w:r>
    </w:p>
    <w:p w:rsidR="002C230B" w:rsidRDefault="002C230B" w:rsidP="00FA50CC">
      <w:pPr>
        <w:spacing w:line="360" w:lineRule="auto"/>
        <w:rPr>
          <w:sz w:val="24"/>
          <w:szCs w:val="24"/>
        </w:rPr>
      </w:pPr>
      <w:r>
        <w:rPr>
          <w:sz w:val="24"/>
          <w:szCs w:val="24"/>
        </w:rPr>
        <w:tab/>
      </w:r>
      <w:r>
        <w:rPr>
          <w:sz w:val="24"/>
          <w:szCs w:val="24"/>
        </w:rPr>
        <w:tab/>
        <w:t>A detailed History of this proceeding was recited in the Order of July 8, 2011, and i</w:t>
      </w:r>
      <w:r w:rsidR="00D03BA7">
        <w:rPr>
          <w:sz w:val="24"/>
          <w:szCs w:val="24"/>
        </w:rPr>
        <w:t>s</w:t>
      </w:r>
      <w:r>
        <w:rPr>
          <w:sz w:val="24"/>
          <w:szCs w:val="24"/>
        </w:rPr>
        <w:t xml:space="preserve"> incorporated herein by reference.</w:t>
      </w:r>
      <w:r w:rsidR="00827446" w:rsidRPr="002C230B">
        <w:rPr>
          <w:sz w:val="24"/>
          <w:szCs w:val="24"/>
        </w:rPr>
        <w:tab/>
      </w:r>
      <w:r>
        <w:rPr>
          <w:sz w:val="24"/>
          <w:szCs w:val="24"/>
        </w:rPr>
        <w:t xml:space="preserve">That Order directed </w:t>
      </w:r>
      <w:r w:rsidRPr="002C230B">
        <w:rPr>
          <w:sz w:val="24"/>
          <w:szCs w:val="24"/>
        </w:rPr>
        <w:t>Guntram Weissenberger, Panonia Associates, L.P. and 27 Summit Trace, LLC (Complainants or the Westover Companies)</w:t>
      </w:r>
      <w:r>
        <w:rPr>
          <w:sz w:val="24"/>
          <w:szCs w:val="24"/>
        </w:rPr>
        <w:t xml:space="preserve"> to file a Second Amended Complaint </w:t>
      </w:r>
      <w:r w:rsidR="0016536B">
        <w:rPr>
          <w:sz w:val="24"/>
          <w:szCs w:val="24"/>
        </w:rPr>
        <w:t xml:space="preserve">in this case </w:t>
      </w:r>
      <w:r>
        <w:rPr>
          <w:sz w:val="24"/>
          <w:szCs w:val="24"/>
        </w:rPr>
        <w:t xml:space="preserve">within thirty (30) days, </w:t>
      </w:r>
      <w:r w:rsidR="0016536B" w:rsidRPr="0016536B">
        <w:rPr>
          <w:i/>
          <w:sz w:val="24"/>
          <w:szCs w:val="24"/>
        </w:rPr>
        <w:t>i.e.</w:t>
      </w:r>
      <w:r>
        <w:rPr>
          <w:sz w:val="24"/>
          <w:szCs w:val="24"/>
        </w:rPr>
        <w:t xml:space="preserve"> August 8, 2011</w:t>
      </w:r>
      <w:r w:rsidR="00A45226">
        <w:rPr>
          <w:sz w:val="24"/>
          <w:szCs w:val="24"/>
        </w:rPr>
        <w:t>, and directed that this matter be set for hearing</w:t>
      </w:r>
      <w:r>
        <w:rPr>
          <w:sz w:val="24"/>
          <w:szCs w:val="24"/>
        </w:rPr>
        <w:t>.</w:t>
      </w:r>
      <w:r w:rsidR="002F5251">
        <w:rPr>
          <w:sz w:val="24"/>
          <w:szCs w:val="24"/>
        </w:rPr>
        <w:t xml:space="preserve">  </w:t>
      </w:r>
      <w:r w:rsidR="002F5251" w:rsidRPr="002C230B">
        <w:rPr>
          <w:sz w:val="24"/>
          <w:szCs w:val="24"/>
        </w:rPr>
        <w:t>Th</w:t>
      </w:r>
      <w:r w:rsidR="00A45226">
        <w:rPr>
          <w:sz w:val="24"/>
          <w:szCs w:val="24"/>
        </w:rPr>
        <w:t>e July 8, 2011 Order also required that the</w:t>
      </w:r>
      <w:r w:rsidR="002F5251" w:rsidRPr="002C230B">
        <w:rPr>
          <w:sz w:val="24"/>
          <w:szCs w:val="24"/>
        </w:rPr>
        <w:t xml:space="preserve"> Second Amended Complaint state, with specificity, which tariff or rates PECO should have applied to the Complainants, any relevant information or discussion regarding the periodicity of PECO billing, and, most importantly, how PECO’s billing and notifications violated a specific tariff, rule or rate.  </w:t>
      </w:r>
      <w:r w:rsidR="00827446" w:rsidRPr="002C230B">
        <w:rPr>
          <w:sz w:val="24"/>
          <w:szCs w:val="24"/>
        </w:rPr>
        <w:tab/>
      </w:r>
    </w:p>
    <w:p w:rsidR="002C230B" w:rsidRDefault="002C230B" w:rsidP="00FA50CC">
      <w:pPr>
        <w:spacing w:line="360" w:lineRule="auto"/>
        <w:rPr>
          <w:sz w:val="24"/>
          <w:szCs w:val="24"/>
        </w:rPr>
      </w:pPr>
    </w:p>
    <w:p w:rsidR="002F5251" w:rsidRDefault="002C230B" w:rsidP="00FA50CC">
      <w:pPr>
        <w:spacing w:line="360" w:lineRule="auto"/>
        <w:rPr>
          <w:sz w:val="24"/>
          <w:szCs w:val="24"/>
        </w:rPr>
      </w:pPr>
      <w:r>
        <w:rPr>
          <w:sz w:val="24"/>
          <w:szCs w:val="24"/>
        </w:rPr>
        <w:tab/>
      </w:r>
      <w:r>
        <w:rPr>
          <w:sz w:val="24"/>
          <w:szCs w:val="24"/>
        </w:rPr>
        <w:tab/>
      </w:r>
      <w:r w:rsidR="00FA50CC" w:rsidRPr="002C230B">
        <w:rPr>
          <w:sz w:val="24"/>
          <w:szCs w:val="24"/>
        </w:rPr>
        <w:t xml:space="preserve">On August 8, 2011, </w:t>
      </w:r>
      <w:r>
        <w:rPr>
          <w:sz w:val="24"/>
          <w:szCs w:val="24"/>
        </w:rPr>
        <w:t xml:space="preserve">the Complainants </w:t>
      </w:r>
      <w:r w:rsidR="0016536B">
        <w:rPr>
          <w:sz w:val="24"/>
          <w:szCs w:val="24"/>
        </w:rPr>
        <w:t xml:space="preserve">did not file a Second Amended Complaint.  </w:t>
      </w:r>
      <w:r w:rsidR="00A45226">
        <w:rPr>
          <w:sz w:val="24"/>
          <w:szCs w:val="24"/>
        </w:rPr>
        <w:t>Instead, t</w:t>
      </w:r>
      <w:r w:rsidR="0016536B">
        <w:rPr>
          <w:sz w:val="24"/>
          <w:szCs w:val="24"/>
        </w:rPr>
        <w:t xml:space="preserve">he Complainants </w:t>
      </w:r>
      <w:r w:rsidR="00FA50CC" w:rsidRPr="002C230B">
        <w:rPr>
          <w:sz w:val="24"/>
          <w:szCs w:val="24"/>
        </w:rPr>
        <w:t xml:space="preserve">filed a Letter/Petition asking that I amend the Order of July 8, 2011, to allow the Complainants an additional thirty (30) days in which to file </w:t>
      </w:r>
      <w:r w:rsidR="0016536B">
        <w:rPr>
          <w:sz w:val="24"/>
          <w:szCs w:val="24"/>
        </w:rPr>
        <w:t>their</w:t>
      </w:r>
      <w:r w:rsidR="00FA50CC" w:rsidRPr="002C230B">
        <w:rPr>
          <w:sz w:val="24"/>
          <w:szCs w:val="24"/>
        </w:rPr>
        <w:t xml:space="preserve"> Second Amended Complaint.  The basis for the Complainant’s request is the filing of a </w:t>
      </w:r>
      <w:proofErr w:type="spellStart"/>
      <w:r w:rsidR="00FA50CC" w:rsidRPr="002C230B">
        <w:rPr>
          <w:sz w:val="24"/>
          <w:szCs w:val="24"/>
        </w:rPr>
        <w:t>Praecipe</w:t>
      </w:r>
      <w:proofErr w:type="spellEnd"/>
      <w:r w:rsidR="00FA50CC" w:rsidRPr="002C230B">
        <w:rPr>
          <w:sz w:val="24"/>
          <w:szCs w:val="24"/>
        </w:rPr>
        <w:t xml:space="preserve"> in the Delaware County Court of Common Pleas by the Complainants on August 5, 2011, </w:t>
      </w:r>
      <w:r w:rsidR="006D4B74" w:rsidRPr="002C230B">
        <w:rPr>
          <w:sz w:val="24"/>
          <w:szCs w:val="24"/>
        </w:rPr>
        <w:t xml:space="preserve">seeking to discontinue Count VII of their civil complaint </w:t>
      </w:r>
      <w:r w:rsidR="00A45226">
        <w:rPr>
          <w:sz w:val="24"/>
          <w:szCs w:val="24"/>
        </w:rPr>
        <w:t>before</w:t>
      </w:r>
      <w:r w:rsidR="006D4B74" w:rsidRPr="002C230B">
        <w:rPr>
          <w:sz w:val="24"/>
          <w:szCs w:val="24"/>
        </w:rPr>
        <w:t xml:space="preserve"> that Court.  Count VII is a claim for breach of contract that alleges, generally, that PECO improperly charged the Complainants for utility service.  </w:t>
      </w:r>
    </w:p>
    <w:p w:rsidR="002F5251" w:rsidRDefault="002F5251" w:rsidP="00FA50CC">
      <w:pPr>
        <w:spacing w:line="360" w:lineRule="auto"/>
        <w:rPr>
          <w:sz w:val="24"/>
          <w:szCs w:val="24"/>
        </w:rPr>
      </w:pPr>
    </w:p>
    <w:p w:rsidR="00FA50CC" w:rsidRPr="002C230B" w:rsidRDefault="002F5251" w:rsidP="00FA50CC">
      <w:pPr>
        <w:spacing w:line="360" w:lineRule="auto"/>
        <w:rPr>
          <w:sz w:val="24"/>
          <w:szCs w:val="24"/>
        </w:rPr>
      </w:pPr>
      <w:r>
        <w:rPr>
          <w:sz w:val="24"/>
          <w:szCs w:val="24"/>
        </w:rPr>
        <w:lastRenderedPageBreak/>
        <w:tab/>
      </w:r>
      <w:r>
        <w:rPr>
          <w:sz w:val="24"/>
          <w:szCs w:val="24"/>
        </w:rPr>
        <w:tab/>
      </w:r>
      <w:r w:rsidR="006D4B74" w:rsidRPr="002C230B">
        <w:rPr>
          <w:sz w:val="24"/>
          <w:szCs w:val="24"/>
        </w:rPr>
        <w:t>The Complainants advance as a justification for their request the following rationale:</w:t>
      </w:r>
    </w:p>
    <w:p w:rsidR="006D4B74" w:rsidRPr="002C230B" w:rsidRDefault="006D4B74" w:rsidP="00FA50CC">
      <w:pPr>
        <w:spacing w:line="360" w:lineRule="auto"/>
        <w:rPr>
          <w:sz w:val="24"/>
          <w:szCs w:val="24"/>
        </w:rPr>
      </w:pPr>
    </w:p>
    <w:p w:rsidR="006D4B74" w:rsidRPr="002C230B" w:rsidRDefault="006D4B74" w:rsidP="00454893">
      <w:pPr>
        <w:adjustRightInd w:val="0"/>
        <w:ind w:left="1440" w:right="1440"/>
        <w:rPr>
          <w:sz w:val="24"/>
          <w:szCs w:val="24"/>
        </w:rPr>
      </w:pPr>
      <w:r w:rsidRPr="002C230B">
        <w:rPr>
          <w:sz w:val="24"/>
          <w:szCs w:val="24"/>
        </w:rPr>
        <w:t>Given that Count VII is the basis for which the instant complaint is predicated, Complainants believe additional time is wa</w:t>
      </w:r>
      <w:r w:rsidR="00454893" w:rsidRPr="002C230B">
        <w:rPr>
          <w:sz w:val="24"/>
          <w:szCs w:val="24"/>
        </w:rPr>
        <w:t>rr</w:t>
      </w:r>
      <w:r w:rsidRPr="002C230B">
        <w:rPr>
          <w:sz w:val="24"/>
          <w:szCs w:val="24"/>
        </w:rPr>
        <w:t>anted to see what action the Court of Common Pleas</w:t>
      </w:r>
      <w:r w:rsidR="00454893" w:rsidRPr="002C230B">
        <w:rPr>
          <w:sz w:val="24"/>
          <w:szCs w:val="24"/>
        </w:rPr>
        <w:t xml:space="preserve"> </w:t>
      </w:r>
      <w:r w:rsidRPr="002C230B">
        <w:rPr>
          <w:sz w:val="24"/>
          <w:szCs w:val="24"/>
        </w:rPr>
        <w:t xml:space="preserve">takes with respect to the </w:t>
      </w:r>
      <w:proofErr w:type="spellStart"/>
      <w:r w:rsidRPr="002C230B">
        <w:rPr>
          <w:sz w:val="24"/>
          <w:szCs w:val="24"/>
        </w:rPr>
        <w:t>Praecipe</w:t>
      </w:r>
      <w:proofErr w:type="spellEnd"/>
      <w:r w:rsidRPr="002C230B">
        <w:rPr>
          <w:sz w:val="24"/>
          <w:szCs w:val="24"/>
        </w:rPr>
        <w:t xml:space="preserve"> and to determine how that action will impact the ability of</w:t>
      </w:r>
      <w:r w:rsidR="00454893" w:rsidRPr="002C230B">
        <w:rPr>
          <w:sz w:val="24"/>
          <w:szCs w:val="24"/>
        </w:rPr>
        <w:t xml:space="preserve"> </w:t>
      </w:r>
      <w:r w:rsidRPr="002C230B">
        <w:rPr>
          <w:sz w:val="24"/>
          <w:szCs w:val="24"/>
        </w:rPr>
        <w:t>the</w:t>
      </w:r>
      <w:r w:rsidR="00454893" w:rsidRPr="002C230B">
        <w:rPr>
          <w:sz w:val="24"/>
          <w:szCs w:val="24"/>
        </w:rPr>
        <w:t xml:space="preserve"> </w:t>
      </w:r>
      <w:r w:rsidRPr="002C230B">
        <w:rPr>
          <w:sz w:val="24"/>
          <w:szCs w:val="24"/>
        </w:rPr>
        <w:t>present complaint to move forward.</w:t>
      </w:r>
    </w:p>
    <w:p w:rsidR="00FA50CC" w:rsidRDefault="00FA50CC" w:rsidP="008514E6">
      <w:pPr>
        <w:spacing w:line="360" w:lineRule="auto"/>
        <w:rPr>
          <w:sz w:val="24"/>
          <w:szCs w:val="24"/>
        </w:rPr>
      </w:pPr>
    </w:p>
    <w:p w:rsidR="00FA50CC" w:rsidRDefault="00454893" w:rsidP="008514E6">
      <w:pPr>
        <w:spacing w:line="360" w:lineRule="auto"/>
        <w:rPr>
          <w:sz w:val="24"/>
          <w:szCs w:val="24"/>
        </w:rPr>
      </w:pPr>
      <w:r>
        <w:rPr>
          <w:sz w:val="24"/>
          <w:szCs w:val="24"/>
        </w:rPr>
        <w:tab/>
      </w:r>
      <w:r>
        <w:rPr>
          <w:sz w:val="24"/>
          <w:szCs w:val="24"/>
        </w:rPr>
        <w:tab/>
        <w:t xml:space="preserve">On August 8, 2011, </w:t>
      </w:r>
      <w:r w:rsidRPr="00D70DCE">
        <w:rPr>
          <w:sz w:val="24"/>
          <w:szCs w:val="24"/>
        </w:rPr>
        <w:t>PECO Energy Company (PECO)</w:t>
      </w:r>
      <w:r>
        <w:rPr>
          <w:sz w:val="24"/>
          <w:szCs w:val="24"/>
        </w:rPr>
        <w:t xml:space="preserve"> filed an Answer to the Letter/Petition by e-mail.  PECO objects to the requested extension of time for several reasons:</w:t>
      </w:r>
    </w:p>
    <w:p w:rsidR="00454893" w:rsidRDefault="00454893" w:rsidP="008514E6">
      <w:pPr>
        <w:spacing w:line="360" w:lineRule="auto"/>
        <w:rPr>
          <w:sz w:val="24"/>
          <w:szCs w:val="24"/>
        </w:rPr>
      </w:pPr>
    </w:p>
    <w:p w:rsidR="00454893" w:rsidRDefault="00454893" w:rsidP="003A5BAB">
      <w:pPr>
        <w:ind w:left="1440" w:right="1440"/>
        <w:rPr>
          <w:sz w:val="24"/>
          <w:szCs w:val="24"/>
        </w:rPr>
      </w:pPr>
      <w:r w:rsidRPr="00454893">
        <w:rPr>
          <w:sz w:val="24"/>
          <w:szCs w:val="24"/>
        </w:rPr>
        <w:t xml:space="preserve">The only reason that Complainants could have for filing the civil court </w:t>
      </w:r>
      <w:proofErr w:type="spellStart"/>
      <w:r w:rsidRPr="00454893">
        <w:rPr>
          <w:sz w:val="24"/>
          <w:szCs w:val="24"/>
        </w:rPr>
        <w:t>Preacipe</w:t>
      </w:r>
      <w:proofErr w:type="spellEnd"/>
      <w:r w:rsidRPr="00454893">
        <w:rPr>
          <w:sz w:val="24"/>
          <w:szCs w:val="24"/>
        </w:rPr>
        <w:t xml:space="preserve"> to Dismiss </w:t>
      </w:r>
      <w:r w:rsidRPr="00454893">
        <w:rPr>
          <w:i/>
          <w:iCs/>
          <w:sz w:val="24"/>
          <w:szCs w:val="24"/>
        </w:rPr>
        <w:t>without prejudice</w:t>
      </w:r>
      <w:r w:rsidRPr="00454893">
        <w:rPr>
          <w:sz w:val="24"/>
          <w:szCs w:val="24"/>
        </w:rPr>
        <w:t xml:space="preserve">, without making a parallel filing at the PUC asking for their PUC complaint to be dismissed </w:t>
      </w:r>
      <w:r w:rsidRPr="00454893">
        <w:rPr>
          <w:i/>
          <w:iCs/>
          <w:sz w:val="24"/>
          <w:szCs w:val="24"/>
        </w:rPr>
        <w:t>with prejudice</w:t>
      </w:r>
      <w:r w:rsidRPr="00454893">
        <w:rPr>
          <w:sz w:val="24"/>
          <w:szCs w:val="24"/>
        </w:rPr>
        <w:t>, is that Complainants still intend to keep alive liability issues to argue in some future forum.  </w:t>
      </w:r>
    </w:p>
    <w:p w:rsidR="003A5BAB" w:rsidRDefault="003A5BAB" w:rsidP="003A5BAB">
      <w:pPr>
        <w:ind w:left="1440" w:right="1440"/>
        <w:rPr>
          <w:sz w:val="24"/>
          <w:szCs w:val="24"/>
        </w:rPr>
      </w:pPr>
    </w:p>
    <w:p w:rsidR="003A5BAB" w:rsidRPr="003A5BAB" w:rsidRDefault="003A5BAB" w:rsidP="003A5BAB">
      <w:pPr>
        <w:ind w:left="1440" w:right="1440"/>
        <w:rPr>
          <w:sz w:val="24"/>
          <w:szCs w:val="24"/>
        </w:rPr>
      </w:pPr>
      <w:r w:rsidRPr="003A5BAB">
        <w:rPr>
          <w:sz w:val="24"/>
          <w:szCs w:val="24"/>
        </w:rPr>
        <w:t xml:space="preserve">Moreover, if the Court of Common Pleas then for some reason allows Count VII to be withdrawn </w:t>
      </w:r>
      <w:r w:rsidRPr="003A5BAB">
        <w:rPr>
          <w:i/>
          <w:iCs/>
          <w:sz w:val="24"/>
          <w:szCs w:val="24"/>
        </w:rPr>
        <w:t>without prejudice</w:t>
      </w:r>
      <w:r w:rsidRPr="003A5BAB">
        <w:rPr>
          <w:sz w:val="24"/>
          <w:szCs w:val="24"/>
        </w:rPr>
        <w:t xml:space="preserve"> – and that clearly is what Complainants have requested -- then Complainants will undoubtedly consider themselves at liberty to argue liability issues in some future civil litigation or</w:t>
      </w:r>
      <w:r w:rsidR="00D03BA7">
        <w:rPr>
          <w:sz w:val="24"/>
          <w:szCs w:val="24"/>
        </w:rPr>
        <w:t xml:space="preserve"> PUC litigation.  For example, s</w:t>
      </w:r>
      <w:r w:rsidRPr="003A5BAB">
        <w:rPr>
          <w:sz w:val="24"/>
          <w:szCs w:val="24"/>
        </w:rPr>
        <w:t xml:space="preserve">ince Complainants have exhibited no intention to pay the disputed amounts, PECO will need to pursue a collection action in civil court in the Court of Common Pleas of Delaware County.  Complainants clearly wish to argue, in that proceeding, that there has never been a binding determination with respect to the Count VII claims </w:t>
      </w:r>
      <w:r w:rsidRPr="003A5BAB">
        <w:rPr>
          <w:i/>
          <w:iCs/>
          <w:sz w:val="24"/>
          <w:szCs w:val="24"/>
        </w:rPr>
        <w:t>so that they may argue those claims in that civil proceeding</w:t>
      </w:r>
      <w:r w:rsidRPr="003A5BAB">
        <w:rPr>
          <w:sz w:val="24"/>
          <w:szCs w:val="24"/>
        </w:rPr>
        <w:t xml:space="preserve">.   Moreover, the 4-year limitation period has not expired for some of the charges in question here, so if the complaints are withdrawn without prejudice, the Complainants can simply file a new complaint, in either civil court or the PUC, making the very arguments that they have refused to make in this docket, despite being ordered to do so.  </w:t>
      </w:r>
      <w:r w:rsidR="00D03BA7">
        <w:rPr>
          <w:sz w:val="24"/>
          <w:szCs w:val="24"/>
        </w:rPr>
        <w:t>(</w:t>
      </w:r>
      <w:proofErr w:type="gramStart"/>
      <w:r w:rsidR="00D03BA7">
        <w:rPr>
          <w:sz w:val="24"/>
          <w:szCs w:val="24"/>
        </w:rPr>
        <w:t>emphasis</w:t>
      </w:r>
      <w:proofErr w:type="gramEnd"/>
      <w:r w:rsidR="00D03BA7">
        <w:rPr>
          <w:sz w:val="24"/>
          <w:szCs w:val="24"/>
        </w:rPr>
        <w:t xml:space="preserve"> in original)</w:t>
      </w:r>
    </w:p>
    <w:p w:rsidR="003A5BAB" w:rsidRDefault="003A5BAB" w:rsidP="008514E6">
      <w:pPr>
        <w:spacing w:line="360" w:lineRule="auto"/>
        <w:rPr>
          <w:sz w:val="24"/>
          <w:szCs w:val="24"/>
        </w:rPr>
      </w:pPr>
    </w:p>
    <w:p w:rsidR="00FA50CC" w:rsidRDefault="003A5BAB" w:rsidP="008514E6">
      <w:pPr>
        <w:spacing w:line="360" w:lineRule="auto"/>
        <w:rPr>
          <w:sz w:val="24"/>
          <w:szCs w:val="24"/>
        </w:rPr>
      </w:pPr>
      <w:r>
        <w:rPr>
          <w:sz w:val="24"/>
          <w:szCs w:val="24"/>
        </w:rPr>
        <w:t>In sum, PECO argues that to allow the Complainants further time is to invite the very circularity of litigation that I inveighed against in the Order of July 8, 2011.</w:t>
      </w:r>
    </w:p>
    <w:p w:rsidR="00FA50CC" w:rsidRDefault="00FA50CC" w:rsidP="008514E6">
      <w:pPr>
        <w:spacing w:line="360" w:lineRule="auto"/>
        <w:rPr>
          <w:sz w:val="24"/>
          <w:szCs w:val="24"/>
        </w:rPr>
      </w:pPr>
    </w:p>
    <w:p w:rsidR="00810B69" w:rsidRDefault="00810B69" w:rsidP="00810B69">
      <w:pPr>
        <w:spacing w:line="360" w:lineRule="auto"/>
        <w:rPr>
          <w:sz w:val="24"/>
          <w:szCs w:val="24"/>
        </w:rPr>
      </w:pPr>
      <w:r>
        <w:rPr>
          <w:sz w:val="24"/>
          <w:szCs w:val="24"/>
        </w:rPr>
        <w:lastRenderedPageBreak/>
        <w:tab/>
      </w:r>
      <w:r>
        <w:rPr>
          <w:sz w:val="24"/>
          <w:szCs w:val="24"/>
        </w:rPr>
        <w:tab/>
        <w:t>In a subsequent e-mail</w:t>
      </w:r>
      <w:r w:rsidR="0016536B">
        <w:rPr>
          <w:sz w:val="24"/>
          <w:szCs w:val="24"/>
        </w:rPr>
        <w:t xml:space="preserve"> on August 8, 2011</w:t>
      </w:r>
      <w:r>
        <w:rPr>
          <w:sz w:val="24"/>
          <w:szCs w:val="24"/>
        </w:rPr>
        <w:t xml:space="preserve">, PECO contends that </w:t>
      </w:r>
      <w:r w:rsidR="00585199">
        <w:rPr>
          <w:sz w:val="24"/>
          <w:szCs w:val="24"/>
        </w:rPr>
        <w:t xml:space="preserve">the Complainant’s request does not </w:t>
      </w:r>
      <w:r w:rsidRPr="00810B69">
        <w:rPr>
          <w:sz w:val="24"/>
          <w:szCs w:val="24"/>
        </w:rPr>
        <w:t>accurately represent the workings of the Delawa</w:t>
      </w:r>
      <w:r w:rsidR="00585199">
        <w:rPr>
          <w:sz w:val="24"/>
          <w:szCs w:val="24"/>
        </w:rPr>
        <w:t>re County Court of Common Pleas:</w:t>
      </w:r>
    </w:p>
    <w:p w:rsidR="00585199" w:rsidRDefault="00585199" w:rsidP="00810B69">
      <w:pPr>
        <w:spacing w:line="360" w:lineRule="auto"/>
        <w:rPr>
          <w:sz w:val="24"/>
          <w:szCs w:val="24"/>
        </w:rPr>
      </w:pPr>
    </w:p>
    <w:p w:rsidR="00585199" w:rsidRPr="00585199" w:rsidRDefault="00585199" w:rsidP="00585199">
      <w:pPr>
        <w:ind w:left="1440" w:right="1440"/>
        <w:rPr>
          <w:sz w:val="24"/>
          <w:szCs w:val="24"/>
        </w:rPr>
      </w:pPr>
      <w:r w:rsidRPr="00585199">
        <w:rPr>
          <w:sz w:val="24"/>
          <w:szCs w:val="24"/>
        </w:rPr>
        <w:t xml:space="preserve">The </w:t>
      </w:r>
      <w:proofErr w:type="spellStart"/>
      <w:r w:rsidRPr="00585199">
        <w:rPr>
          <w:sz w:val="24"/>
          <w:szCs w:val="24"/>
        </w:rPr>
        <w:t>praecipe</w:t>
      </w:r>
      <w:proofErr w:type="spellEnd"/>
      <w:r w:rsidRPr="00585199">
        <w:rPr>
          <w:sz w:val="24"/>
          <w:szCs w:val="24"/>
        </w:rPr>
        <w:t xml:space="preserve"> is already listed on the docket.  On its face, it was not forwarded to a judge and, according to the Office of Judicial </w:t>
      </w:r>
      <w:proofErr w:type="gramStart"/>
      <w:r w:rsidRPr="00585199">
        <w:rPr>
          <w:sz w:val="24"/>
          <w:szCs w:val="24"/>
        </w:rPr>
        <w:t>Support,</w:t>
      </w:r>
      <w:proofErr w:type="gramEnd"/>
      <w:r w:rsidRPr="00585199">
        <w:rPr>
          <w:sz w:val="24"/>
          <w:szCs w:val="24"/>
        </w:rPr>
        <w:t xml:space="preserve"> it will not be forwarded to a judge.  In other words, the </w:t>
      </w:r>
      <w:proofErr w:type="spellStart"/>
      <w:r w:rsidRPr="00585199">
        <w:rPr>
          <w:sz w:val="24"/>
          <w:szCs w:val="24"/>
        </w:rPr>
        <w:t>praecipe</w:t>
      </w:r>
      <w:proofErr w:type="spellEnd"/>
      <w:r w:rsidRPr="00585199">
        <w:rPr>
          <w:sz w:val="24"/>
          <w:szCs w:val="24"/>
        </w:rPr>
        <w:t xml:space="preserve"> itself halts the civil action on Count VII without any “action” by the Court of Common Pleas.</w:t>
      </w:r>
    </w:p>
    <w:p w:rsidR="00585199" w:rsidRPr="00585199" w:rsidRDefault="00585199" w:rsidP="00585199">
      <w:pPr>
        <w:ind w:left="1440" w:right="1440"/>
        <w:rPr>
          <w:sz w:val="24"/>
          <w:szCs w:val="24"/>
        </w:rPr>
      </w:pPr>
    </w:p>
    <w:p w:rsidR="00585199" w:rsidRPr="00585199" w:rsidRDefault="00585199" w:rsidP="00585199">
      <w:pPr>
        <w:ind w:left="1440" w:right="1440"/>
        <w:rPr>
          <w:sz w:val="24"/>
          <w:szCs w:val="24"/>
        </w:rPr>
      </w:pPr>
      <w:r w:rsidRPr="00585199">
        <w:rPr>
          <w:sz w:val="24"/>
          <w:szCs w:val="24"/>
        </w:rPr>
        <w:t>It appears that we are being asked to wait 30 days for nothing.</w:t>
      </w:r>
    </w:p>
    <w:p w:rsidR="00585199" w:rsidRDefault="00585199" w:rsidP="00810B69">
      <w:pPr>
        <w:spacing w:line="360" w:lineRule="auto"/>
        <w:rPr>
          <w:sz w:val="24"/>
          <w:szCs w:val="24"/>
        </w:rPr>
      </w:pPr>
    </w:p>
    <w:p w:rsidR="00123B64" w:rsidRDefault="00123B64" w:rsidP="00E16C06">
      <w:pPr>
        <w:spacing w:line="360" w:lineRule="auto"/>
        <w:rPr>
          <w:sz w:val="24"/>
          <w:szCs w:val="24"/>
        </w:rPr>
      </w:pPr>
    </w:p>
    <w:p w:rsidR="00123B64" w:rsidRDefault="00123B64" w:rsidP="00123B64">
      <w:pPr>
        <w:jc w:val="center"/>
        <w:rPr>
          <w:sz w:val="24"/>
          <w:szCs w:val="24"/>
          <w:u w:val="single"/>
        </w:rPr>
      </w:pPr>
      <w:r w:rsidRPr="005A0C0F">
        <w:rPr>
          <w:sz w:val="24"/>
          <w:szCs w:val="24"/>
          <w:u w:val="single"/>
        </w:rPr>
        <w:t>CONCLUSIONS OF LAW</w:t>
      </w:r>
    </w:p>
    <w:p w:rsidR="00123B64" w:rsidRDefault="00123B64" w:rsidP="00123B64">
      <w:pPr>
        <w:rPr>
          <w:sz w:val="24"/>
          <w:szCs w:val="24"/>
          <w:u w:val="single"/>
        </w:rPr>
      </w:pPr>
    </w:p>
    <w:p w:rsidR="00123B64" w:rsidRDefault="00123B64" w:rsidP="00123B64">
      <w:pPr>
        <w:rPr>
          <w:sz w:val="24"/>
          <w:szCs w:val="24"/>
          <w:u w:val="single"/>
        </w:rPr>
      </w:pPr>
    </w:p>
    <w:p w:rsidR="00123B64" w:rsidRDefault="00123B64" w:rsidP="00123B64">
      <w:pPr>
        <w:spacing w:line="360" w:lineRule="auto"/>
        <w:rPr>
          <w:spacing w:val="-3"/>
          <w:sz w:val="24"/>
          <w:szCs w:val="24"/>
        </w:rPr>
      </w:pPr>
      <w:r>
        <w:rPr>
          <w:sz w:val="24"/>
          <w:szCs w:val="24"/>
        </w:rPr>
        <w:tab/>
      </w:r>
      <w:r>
        <w:rPr>
          <w:sz w:val="24"/>
          <w:szCs w:val="24"/>
        </w:rPr>
        <w:tab/>
      </w:r>
      <w:r w:rsidRPr="005A0C0F">
        <w:rPr>
          <w:sz w:val="24"/>
          <w:szCs w:val="24"/>
        </w:rPr>
        <w:t xml:space="preserve">1. </w:t>
      </w:r>
      <w:r w:rsidRPr="005A0C0F">
        <w:rPr>
          <w:sz w:val="24"/>
          <w:szCs w:val="24"/>
        </w:rPr>
        <w:tab/>
        <w:t xml:space="preserve">The Commission has jurisdiction over the parties in this proceeding.  </w:t>
      </w:r>
      <w:proofErr w:type="gramStart"/>
      <w:r w:rsidRPr="005A0C0F">
        <w:rPr>
          <w:spacing w:val="-3"/>
          <w:sz w:val="24"/>
          <w:szCs w:val="24"/>
        </w:rPr>
        <w:t>66 Pa. C.S. § 701.</w:t>
      </w:r>
      <w:proofErr w:type="gramEnd"/>
    </w:p>
    <w:p w:rsidR="00BF0AD6" w:rsidRDefault="00BF0AD6" w:rsidP="00123B64">
      <w:pPr>
        <w:spacing w:line="360" w:lineRule="auto"/>
        <w:rPr>
          <w:spacing w:val="-3"/>
          <w:sz w:val="24"/>
          <w:szCs w:val="24"/>
        </w:rPr>
      </w:pPr>
    </w:p>
    <w:p w:rsidR="00BF0AD6" w:rsidRDefault="00BF0AD6" w:rsidP="00123B64">
      <w:pPr>
        <w:spacing w:line="360" w:lineRule="auto"/>
        <w:rPr>
          <w:spacing w:val="-3"/>
          <w:sz w:val="24"/>
          <w:szCs w:val="24"/>
        </w:rPr>
      </w:pPr>
      <w:r>
        <w:rPr>
          <w:spacing w:val="-3"/>
          <w:sz w:val="24"/>
          <w:szCs w:val="24"/>
        </w:rPr>
        <w:tab/>
      </w:r>
      <w:r>
        <w:rPr>
          <w:spacing w:val="-3"/>
          <w:sz w:val="24"/>
          <w:szCs w:val="24"/>
        </w:rPr>
        <w:tab/>
        <w:t>2.</w:t>
      </w:r>
      <w:r>
        <w:rPr>
          <w:spacing w:val="-3"/>
          <w:sz w:val="24"/>
          <w:szCs w:val="24"/>
        </w:rPr>
        <w:tab/>
      </w:r>
      <w:r w:rsidRPr="00BF0AD6">
        <w:rPr>
          <w:spacing w:val="-3"/>
          <w:sz w:val="24"/>
          <w:szCs w:val="24"/>
        </w:rPr>
        <w:t xml:space="preserve">As the party seeking affirmative relief from the Commission, </w:t>
      </w:r>
      <w:r>
        <w:rPr>
          <w:spacing w:val="-3"/>
          <w:sz w:val="24"/>
          <w:szCs w:val="24"/>
        </w:rPr>
        <w:t xml:space="preserve">the </w:t>
      </w:r>
      <w:r w:rsidRPr="00BF0AD6">
        <w:rPr>
          <w:spacing w:val="-3"/>
          <w:sz w:val="24"/>
          <w:szCs w:val="24"/>
        </w:rPr>
        <w:t>Complainant</w:t>
      </w:r>
      <w:r>
        <w:rPr>
          <w:spacing w:val="-3"/>
          <w:sz w:val="24"/>
          <w:szCs w:val="24"/>
        </w:rPr>
        <w:t>s</w:t>
      </w:r>
      <w:r w:rsidRPr="00BF0AD6">
        <w:rPr>
          <w:spacing w:val="-3"/>
          <w:sz w:val="24"/>
          <w:szCs w:val="24"/>
        </w:rPr>
        <w:t xml:space="preserve"> </w:t>
      </w:r>
      <w:proofErr w:type="gramStart"/>
      <w:r w:rsidRPr="00BF0AD6">
        <w:rPr>
          <w:spacing w:val="-3"/>
          <w:sz w:val="24"/>
          <w:szCs w:val="24"/>
        </w:rPr>
        <w:t>bears</w:t>
      </w:r>
      <w:proofErr w:type="gramEnd"/>
      <w:r w:rsidRPr="00BF0AD6">
        <w:rPr>
          <w:spacing w:val="-3"/>
          <w:sz w:val="24"/>
          <w:szCs w:val="24"/>
        </w:rPr>
        <w:t xml:space="preserve"> the burden of proof. </w:t>
      </w:r>
      <w:r>
        <w:rPr>
          <w:spacing w:val="-3"/>
          <w:sz w:val="24"/>
          <w:szCs w:val="24"/>
        </w:rPr>
        <w:t xml:space="preserve"> </w:t>
      </w:r>
      <w:proofErr w:type="gramStart"/>
      <w:r w:rsidRPr="00BF0AD6">
        <w:rPr>
          <w:spacing w:val="-3"/>
          <w:sz w:val="24"/>
          <w:szCs w:val="24"/>
        </w:rPr>
        <w:t>66 Pa. C.S. § 332(a)</w:t>
      </w:r>
      <w:r>
        <w:rPr>
          <w:spacing w:val="-3"/>
          <w:sz w:val="24"/>
          <w:szCs w:val="24"/>
        </w:rPr>
        <w:t>.</w:t>
      </w:r>
      <w:proofErr w:type="gramEnd"/>
    </w:p>
    <w:p w:rsidR="0016536B" w:rsidRDefault="0016536B" w:rsidP="00123B64">
      <w:pPr>
        <w:spacing w:line="360" w:lineRule="auto"/>
        <w:rPr>
          <w:spacing w:val="-3"/>
          <w:sz w:val="24"/>
          <w:szCs w:val="24"/>
        </w:rPr>
      </w:pPr>
    </w:p>
    <w:p w:rsidR="0016536B" w:rsidRDefault="0016536B" w:rsidP="00123B64">
      <w:pPr>
        <w:spacing w:line="360" w:lineRule="auto"/>
        <w:rPr>
          <w:spacing w:val="-3"/>
          <w:sz w:val="24"/>
          <w:szCs w:val="24"/>
        </w:rPr>
      </w:pPr>
      <w:r>
        <w:rPr>
          <w:spacing w:val="-3"/>
          <w:sz w:val="24"/>
          <w:szCs w:val="24"/>
        </w:rPr>
        <w:tab/>
      </w:r>
      <w:r>
        <w:rPr>
          <w:spacing w:val="-3"/>
          <w:sz w:val="24"/>
          <w:szCs w:val="24"/>
        </w:rPr>
        <w:tab/>
      </w:r>
      <w:r w:rsidR="00BF0AD6">
        <w:rPr>
          <w:spacing w:val="-3"/>
          <w:sz w:val="24"/>
          <w:szCs w:val="24"/>
        </w:rPr>
        <w:t>3</w:t>
      </w:r>
      <w:r>
        <w:rPr>
          <w:spacing w:val="-3"/>
          <w:sz w:val="24"/>
          <w:szCs w:val="24"/>
        </w:rPr>
        <w:t>.</w:t>
      </w:r>
      <w:r>
        <w:rPr>
          <w:spacing w:val="-3"/>
          <w:sz w:val="24"/>
          <w:szCs w:val="24"/>
        </w:rPr>
        <w:tab/>
        <w:t xml:space="preserve">Under the Commission’s procedural rules, a presiding officer </w:t>
      </w:r>
      <w:r w:rsidR="00D30B1E">
        <w:rPr>
          <w:spacing w:val="-3"/>
          <w:sz w:val="24"/>
          <w:szCs w:val="24"/>
        </w:rPr>
        <w:t xml:space="preserve">has the authority, as specified under the Public Utility Code, to regulate the course of a proceeding.  </w:t>
      </w:r>
      <w:proofErr w:type="gramStart"/>
      <w:r w:rsidR="00D30B1E">
        <w:rPr>
          <w:spacing w:val="-3"/>
          <w:sz w:val="24"/>
          <w:szCs w:val="24"/>
        </w:rPr>
        <w:t>52 Pa. Code § 5.483(a).</w:t>
      </w:r>
      <w:proofErr w:type="gramEnd"/>
    </w:p>
    <w:p w:rsidR="005627A7" w:rsidRDefault="005627A7" w:rsidP="00123B64">
      <w:pPr>
        <w:spacing w:line="360" w:lineRule="auto"/>
        <w:rPr>
          <w:spacing w:val="-3"/>
          <w:sz w:val="24"/>
          <w:szCs w:val="24"/>
        </w:rPr>
      </w:pPr>
    </w:p>
    <w:p w:rsidR="005627A7" w:rsidRDefault="005627A7" w:rsidP="00123B64">
      <w:pPr>
        <w:spacing w:line="360" w:lineRule="auto"/>
        <w:rPr>
          <w:spacing w:val="-3"/>
          <w:sz w:val="24"/>
          <w:szCs w:val="24"/>
        </w:rPr>
      </w:pPr>
      <w:r>
        <w:rPr>
          <w:spacing w:val="-3"/>
          <w:sz w:val="24"/>
          <w:szCs w:val="24"/>
        </w:rPr>
        <w:tab/>
      </w:r>
      <w:r>
        <w:rPr>
          <w:spacing w:val="-3"/>
          <w:sz w:val="24"/>
          <w:szCs w:val="24"/>
        </w:rPr>
        <w:tab/>
      </w:r>
      <w:r w:rsidR="00BF0AD6">
        <w:rPr>
          <w:spacing w:val="-3"/>
          <w:sz w:val="24"/>
          <w:szCs w:val="24"/>
        </w:rPr>
        <w:t>4</w:t>
      </w:r>
      <w:r>
        <w:rPr>
          <w:spacing w:val="-3"/>
          <w:sz w:val="24"/>
          <w:szCs w:val="24"/>
        </w:rPr>
        <w:t>.</w:t>
      </w:r>
      <w:r>
        <w:rPr>
          <w:spacing w:val="-3"/>
          <w:sz w:val="24"/>
          <w:szCs w:val="24"/>
        </w:rPr>
        <w:tab/>
      </w:r>
      <w:r w:rsidR="00DA09A7">
        <w:rPr>
          <w:spacing w:val="-3"/>
          <w:sz w:val="24"/>
          <w:szCs w:val="24"/>
        </w:rPr>
        <w:t xml:space="preserve">A presiding officer may, for good cause, extend the time for an act required or allowed, or, if after the expiration of the period, </w:t>
      </w:r>
      <w:r w:rsidR="0036110F">
        <w:rPr>
          <w:spacing w:val="-3"/>
          <w:sz w:val="24"/>
          <w:szCs w:val="24"/>
        </w:rPr>
        <w:t xml:space="preserve">may do so </w:t>
      </w:r>
      <w:r w:rsidR="00DA09A7">
        <w:rPr>
          <w:spacing w:val="-3"/>
          <w:sz w:val="24"/>
          <w:szCs w:val="24"/>
        </w:rPr>
        <w:t>where reasonable grounds are shown for the failure to act.  52 Pa. Code § 1.15(a</w:t>
      </w:r>
      <w:proofErr w:type="gramStart"/>
      <w:r w:rsidR="00DA09A7">
        <w:rPr>
          <w:spacing w:val="-3"/>
          <w:sz w:val="24"/>
          <w:szCs w:val="24"/>
        </w:rPr>
        <w:t>)(</w:t>
      </w:r>
      <w:proofErr w:type="gramEnd"/>
      <w:r w:rsidR="00DA09A7">
        <w:rPr>
          <w:spacing w:val="-3"/>
          <w:sz w:val="24"/>
          <w:szCs w:val="24"/>
        </w:rPr>
        <w:t>1)</w:t>
      </w:r>
    </w:p>
    <w:p w:rsidR="00123B64" w:rsidRDefault="00123B64" w:rsidP="00123B64">
      <w:pPr>
        <w:spacing w:line="360" w:lineRule="auto"/>
        <w:rPr>
          <w:spacing w:val="-3"/>
          <w:sz w:val="24"/>
          <w:szCs w:val="24"/>
        </w:rPr>
      </w:pPr>
    </w:p>
    <w:p w:rsidR="00C2737B" w:rsidRPr="00C2737B" w:rsidRDefault="00C2737B" w:rsidP="00C2737B">
      <w:pPr>
        <w:spacing w:line="360" w:lineRule="auto"/>
        <w:jc w:val="center"/>
        <w:rPr>
          <w:sz w:val="24"/>
          <w:szCs w:val="24"/>
          <w:u w:val="single"/>
        </w:rPr>
      </w:pPr>
      <w:r>
        <w:rPr>
          <w:sz w:val="24"/>
          <w:szCs w:val="24"/>
          <w:u w:val="single"/>
        </w:rPr>
        <w:t>DISCUSSION</w:t>
      </w:r>
    </w:p>
    <w:p w:rsidR="00D30B1E" w:rsidRDefault="0013115B" w:rsidP="00E16C06">
      <w:pPr>
        <w:spacing w:line="360" w:lineRule="auto"/>
        <w:rPr>
          <w:sz w:val="24"/>
          <w:szCs w:val="24"/>
        </w:rPr>
      </w:pPr>
      <w:r>
        <w:rPr>
          <w:sz w:val="24"/>
          <w:szCs w:val="24"/>
        </w:rPr>
        <w:tab/>
      </w:r>
      <w:r>
        <w:rPr>
          <w:sz w:val="24"/>
          <w:szCs w:val="24"/>
        </w:rPr>
        <w:tab/>
      </w:r>
    </w:p>
    <w:p w:rsidR="000D272D" w:rsidRDefault="00D30B1E" w:rsidP="00E16C06">
      <w:pPr>
        <w:spacing w:line="360" w:lineRule="auto"/>
        <w:rPr>
          <w:sz w:val="24"/>
          <w:szCs w:val="24"/>
        </w:rPr>
      </w:pPr>
      <w:r>
        <w:rPr>
          <w:sz w:val="24"/>
          <w:szCs w:val="24"/>
        </w:rPr>
        <w:tab/>
      </w:r>
      <w:r>
        <w:rPr>
          <w:sz w:val="24"/>
          <w:szCs w:val="24"/>
        </w:rPr>
        <w:tab/>
      </w:r>
      <w:r w:rsidR="0013115B">
        <w:rPr>
          <w:sz w:val="24"/>
          <w:szCs w:val="24"/>
        </w:rPr>
        <w:t xml:space="preserve">The nature of the request </w:t>
      </w:r>
      <w:r w:rsidR="002C7550">
        <w:rPr>
          <w:sz w:val="24"/>
          <w:szCs w:val="24"/>
        </w:rPr>
        <w:t xml:space="preserve">for an extension of time in which to file a Second Amended Complaint </w:t>
      </w:r>
      <w:r w:rsidR="005627A7">
        <w:rPr>
          <w:sz w:val="24"/>
          <w:szCs w:val="24"/>
        </w:rPr>
        <w:t xml:space="preserve">in this case </w:t>
      </w:r>
      <w:r w:rsidR="0013115B">
        <w:rPr>
          <w:sz w:val="24"/>
          <w:szCs w:val="24"/>
        </w:rPr>
        <w:t>and</w:t>
      </w:r>
      <w:r w:rsidR="00515D30">
        <w:rPr>
          <w:sz w:val="24"/>
          <w:szCs w:val="24"/>
        </w:rPr>
        <w:t>,</w:t>
      </w:r>
      <w:r w:rsidR="0013115B">
        <w:rPr>
          <w:sz w:val="24"/>
          <w:szCs w:val="24"/>
        </w:rPr>
        <w:t xml:space="preserve"> </w:t>
      </w:r>
      <w:r w:rsidR="00515D30">
        <w:rPr>
          <w:sz w:val="24"/>
          <w:szCs w:val="24"/>
        </w:rPr>
        <w:t xml:space="preserve">most especially, </w:t>
      </w:r>
      <w:r w:rsidR="0013115B">
        <w:rPr>
          <w:sz w:val="24"/>
          <w:szCs w:val="24"/>
        </w:rPr>
        <w:t>the timing of th</w:t>
      </w:r>
      <w:r w:rsidR="002C7550">
        <w:rPr>
          <w:sz w:val="24"/>
          <w:szCs w:val="24"/>
        </w:rPr>
        <w:t>at</w:t>
      </w:r>
      <w:r w:rsidR="0013115B">
        <w:rPr>
          <w:sz w:val="24"/>
          <w:szCs w:val="24"/>
        </w:rPr>
        <w:t xml:space="preserve"> request submitted by the </w:t>
      </w:r>
      <w:r w:rsidR="0013115B">
        <w:rPr>
          <w:sz w:val="24"/>
          <w:szCs w:val="24"/>
        </w:rPr>
        <w:lastRenderedPageBreak/>
        <w:t xml:space="preserve">Complainants is troubling.  The Order of July 8, 2011 </w:t>
      </w:r>
      <w:r w:rsidR="0013115B" w:rsidRPr="005627A7">
        <w:rPr>
          <w:sz w:val="24"/>
          <w:szCs w:val="24"/>
          <w:u w:val="single"/>
        </w:rPr>
        <w:t>required</w:t>
      </w:r>
      <w:r w:rsidR="0013115B">
        <w:rPr>
          <w:sz w:val="24"/>
          <w:szCs w:val="24"/>
        </w:rPr>
        <w:t xml:space="preserve"> that the Second Amended Complaint be filed today, August 8, 2011.  </w:t>
      </w:r>
      <w:r w:rsidR="000D272D">
        <w:rPr>
          <w:sz w:val="24"/>
          <w:szCs w:val="24"/>
        </w:rPr>
        <w:t xml:space="preserve">Clearly, that is not going to happen.  For its part, </w:t>
      </w:r>
      <w:r w:rsidR="0013115B">
        <w:rPr>
          <w:sz w:val="24"/>
          <w:szCs w:val="24"/>
        </w:rPr>
        <w:t>PECO all but accuses the Complainants—and Complainants’ counsel—of a disturbing level of gamesmanship</w:t>
      </w:r>
      <w:r w:rsidR="00515D30">
        <w:rPr>
          <w:sz w:val="24"/>
          <w:szCs w:val="24"/>
        </w:rPr>
        <w:t>.</w:t>
      </w:r>
    </w:p>
    <w:p w:rsidR="000D272D" w:rsidRDefault="000D272D" w:rsidP="00E16C06">
      <w:pPr>
        <w:spacing w:line="360" w:lineRule="auto"/>
        <w:rPr>
          <w:sz w:val="24"/>
          <w:szCs w:val="24"/>
        </w:rPr>
      </w:pPr>
    </w:p>
    <w:p w:rsidR="00BC779E" w:rsidRDefault="000D272D" w:rsidP="00E16C06">
      <w:pPr>
        <w:spacing w:line="360" w:lineRule="auto"/>
        <w:rPr>
          <w:sz w:val="24"/>
          <w:szCs w:val="24"/>
        </w:rPr>
      </w:pPr>
      <w:r>
        <w:rPr>
          <w:sz w:val="24"/>
          <w:szCs w:val="24"/>
        </w:rPr>
        <w:tab/>
      </w:r>
      <w:r>
        <w:rPr>
          <w:sz w:val="24"/>
          <w:szCs w:val="24"/>
        </w:rPr>
        <w:tab/>
      </w:r>
      <w:r w:rsidR="00BC779E">
        <w:rPr>
          <w:sz w:val="24"/>
          <w:szCs w:val="24"/>
        </w:rPr>
        <w:t xml:space="preserve">Even taking the request in its best possible light, that there is </w:t>
      </w:r>
      <w:r w:rsidR="002C7550">
        <w:rPr>
          <w:sz w:val="24"/>
          <w:szCs w:val="24"/>
        </w:rPr>
        <w:t>“</w:t>
      </w:r>
      <w:r w:rsidR="00BC779E">
        <w:rPr>
          <w:sz w:val="24"/>
          <w:szCs w:val="24"/>
        </w:rPr>
        <w:t>something</w:t>
      </w:r>
      <w:r w:rsidR="002C7550">
        <w:rPr>
          <w:sz w:val="24"/>
          <w:szCs w:val="24"/>
        </w:rPr>
        <w:t>”</w:t>
      </w:r>
      <w:r w:rsidR="00BC779E">
        <w:rPr>
          <w:sz w:val="24"/>
          <w:szCs w:val="24"/>
        </w:rPr>
        <w:t xml:space="preserve"> that the Court of Common Pleas might do that would resolve the Complaint before the Commission, it is manifestly unclear just what that “something,” might be.  PECO argues that the effect of the Complainants’ </w:t>
      </w:r>
      <w:r w:rsidR="00115DAE">
        <w:rPr>
          <w:sz w:val="24"/>
          <w:szCs w:val="24"/>
        </w:rPr>
        <w:t xml:space="preserve">latest </w:t>
      </w:r>
      <w:r w:rsidR="00BC779E">
        <w:rPr>
          <w:sz w:val="24"/>
          <w:szCs w:val="24"/>
        </w:rPr>
        <w:t>filing with the Court of Common Pleas and request for another thirty days in which to file a Second Amended Complaint</w:t>
      </w:r>
      <w:r w:rsidR="0036110F">
        <w:rPr>
          <w:sz w:val="24"/>
          <w:szCs w:val="24"/>
        </w:rPr>
        <w:t xml:space="preserve"> -- if granted--</w:t>
      </w:r>
      <w:r w:rsidR="00BC779E">
        <w:rPr>
          <w:sz w:val="24"/>
          <w:szCs w:val="24"/>
        </w:rPr>
        <w:t xml:space="preserve"> </w:t>
      </w:r>
      <w:r w:rsidR="002C7550">
        <w:rPr>
          <w:sz w:val="24"/>
          <w:szCs w:val="24"/>
        </w:rPr>
        <w:t>creates a stand-off in this case.</w:t>
      </w:r>
    </w:p>
    <w:p w:rsidR="0036110F" w:rsidRDefault="0036110F" w:rsidP="00E16C06">
      <w:pPr>
        <w:spacing w:line="360" w:lineRule="auto"/>
        <w:rPr>
          <w:sz w:val="24"/>
          <w:szCs w:val="24"/>
        </w:rPr>
      </w:pPr>
    </w:p>
    <w:p w:rsidR="0036110F" w:rsidRDefault="0036110F" w:rsidP="00E16C06">
      <w:pPr>
        <w:spacing w:line="360" w:lineRule="auto"/>
        <w:rPr>
          <w:sz w:val="24"/>
          <w:szCs w:val="24"/>
        </w:rPr>
      </w:pPr>
      <w:r>
        <w:rPr>
          <w:sz w:val="24"/>
          <w:szCs w:val="24"/>
        </w:rPr>
        <w:tab/>
      </w:r>
      <w:r>
        <w:rPr>
          <w:sz w:val="24"/>
          <w:szCs w:val="24"/>
        </w:rPr>
        <w:tab/>
        <w:t>I agree.</w:t>
      </w:r>
    </w:p>
    <w:p w:rsidR="0036110F" w:rsidRDefault="0036110F" w:rsidP="00E16C06">
      <w:pPr>
        <w:spacing w:line="360" w:lineRule="auto"/>
        <w:rPr>
          <w:sz w:val="24"/>
          <w:szCs w:val="24"/>
        </w:rPr>
      </w:pPr>
    </w:p>
    <w:p w:rsidR="00FA1BCE" w:rsidRDefault="0036110F" w:rsidP="00E16C06">
      <w:pPr>
        <w:spacing w:line="360" w:lineRule="auto"/>
        <w:rPr>
          <w:sz w:val="24"/>
          <w:szCs w:val="24"/>
        </w:rPr>
      </w:pPr>
      <w:r>
        <w:rPr>
          <w:sz w:val="24"/>
          <w:szCs w:val="24"/>
        </w:rPr>
        <w:tab/>
      </w:r>
      <w:r>
        <w:rPr>
          <w:sz w:val="24"/>
          <w:szCs w:val="24"/>
        </w:rPr>
        <w:tab/>
        <w:t xml:space="preserve">The Complainants have failed to show good cause for their request.  Regardless of what the Delaware </w:t>
      </w:r>
      <w:r w:rsidR="00216631">
        <w:rPr>
          <w:sz w:val="24"/>
          <w:szCs w:val="24"/>
        </w:rPr>
        <w:t xml:space="preserve">County </w:t>
      </w:r>
      <w:r>
        <w:rPr>
          <w:sz w:val="24"/>
          <w:szCs w:val="24"/>
        </w:rPr>
        <w:t xml:space="preserve">Court of Common Pleas may or may not do with respect to Count VII of the Complainants’ civil complaint, the fact is that the Complainants filed a formal, administrative Complaint before the Commission.  The Complainants </w:t>
      </w:r>
      <w:r w:rsidR="00FA1BCE">
        <w:rPr>
          <w:sz w:val="24"/>
          <w:szCs w:val="24"/>
        </w:rPr>
        <w:t xml:space="preserve">previously </w:t>
      </w:r>
      <w:r>
        <w:rPr>
          <w:sz w:val="24"/>
          <w:szCs w:val="24"/>
        </w:rPr>
        <w:t xml:space="preserve">moved to withdraw that Complaint </w:t>
      </w:r>
      <w:r w:rsidRPr="00FA1BCE">
        <w:rPr>
          <w:i/>
          <w:sz w:val="24"/>
          <w:szCs w:val="24"/>
        </w:rPr>
        <w:t>without prejudice</w:t>
      </w:r>
      <w:r>
        <w:rPr>
          <w:sz w:val="24"/>
          <w:szCs w:val="24"/>
        </w:rPr>
        <w:t xml:space="preserve">, </w:t>
      </w:r>
      <w:r w:rsidR="00FA1BCE">
        <w:rPr>
          <w:sz w:val="24"/>
          <w:szCs w:val="24"/>
        </w:rPr>
        <w:t xml:space="preserve">and </w:t>
      </w:r>
      <w:r w:rsidR="00115DAE">
        <w:rPr>
          <w:sz w:val="24"/>
          <w:szCs w:val="24"/>
        </w:rPr>
        <w:t>that request was denied by the Order of July 8, 2011, which also directed that this matter was to move forward to hearing.  N</w:t>
      </w:r>
      <w:r w:rsidR="00FA1BCE">
        <w:rPr>
          <w:sz w:val="24"/>
          <w:szCs w:val="24"/>
        </w:rPr>
        <w:t>othing in the</w:t>
      </w:r>
      <w:r w:rsidR="00115DAE">
        <w:rPr>
          <w:sz w:val="24"/>
          <w:szCs w:val="24"/>
        </w:rPr>
        <w:t xml:space="preserve"> Complainants’</w:t>
      </w:r>
      <w:r w:rsidR="00FA1BCE">
        <w:rPr>
          <w:sz w:val="24"/>
          <w:szCs w:val="24"/>
        </w:rPr>
        <w:t xml:space="preserve"> Letter/Petition filed today changes th</w:t>
      </w:r>
      <w:r w:rsidR="00216631">
        <w:rPr>
          <w:sz w:val="24"/>
          <w:szCs w:val="24"/>
        </w:rPr>
        <w:t>e requirements of the July 8, 2011 Order or its underlying rationale</w:t>
      </w:r>
      <w:r w:rsidR="00FA1BCE">
        <w:rPr>
          <w:sz w:val="24"/>
          <w:szCs w:val="24"/>
        </w:rPr>
        <w:t xml:space="preserve">.  </w:t>
      </w:r>
    </w:p>
    <w:p w:rsidR="00115DAE" w:rsidRDefault="00115DAE" w:rsidP="00E16C06">
      <w:pPr>
        <w:spacing w:line="360" w:lineRule="auto"/>
        <w:rPr>
          <w:sz w:val="24"/>
          <w:szCs w:val="24"/>
        </w:rPr>
      </w:pPr>
    </w:p>
    <w:p w:rsidR="00FA1BCE" w:rsidRDefault="00FA1BCE" w:rsidP="00E16C06">
      <w:pPr>
        <w:spacing w:line="360" w:lineRule="auto"/>
        <w:rPr>
          <w:sz w:val="24"/>
          <w:szCs w:val="24"/>
        </w:rPr>
      </w:pPr>
      <w:r>
        <w:rPr>
          <w:sz w:val="24"/>
          <w:szCs w:val="24"/>
        </w:rPr>
        <w:tab/>
      </w:r>
      <w:r>
        <w:rPr>
          <w:sz w:val="24"/>
          <w:szCs w:val="24"/>
        </w:rPr>
        <w:tab/>
        <w:t xml:space="preserve">Indeed, if the </w:t>
      </w:r>
      <w:proofErr w:type="spellStart"/>
      <w:r>
        <w:rPr>
          <w:sz w:val="24"/>
          <w:szCs w:val="24"/>
        </w:rPr>
        <w:t>praecipe</w:t>
      </w:r>
      <w:proofErr w:type="spellEnd"/>
      <w:r>
        <w:rPr>
          <w:sz w:val="24"/>
          <w:szCs w:val="24"/>
        </w:rPr>
        <w:t xml:space="preserve"> filed with the Court of Common Pleas is seen as the discontinuation of Count VII in that forum, </w:t>
      </w:r>
      <w:r w:rsidR="00EC42DA">
        <w:rPr>
          <w:sz w:val="24"/>
          <w:szCs w:val="24"/>
        </w:rPr>
        <w:t xml:space="preserve">then </w:t>
      </w:r>
      <w:r>
        <w:rPr>
          <w:sz w:val="24"/>
          <w:szCs w:val="24"/>
        </w:rPr>
        <w:t>it makes it all the more likely that the claim will be pursued in this forum</w:t>
      </w:r>
      <w:r w:rsidR="00EC42DA">
        <w:rPr>
          <w:sz w:val="24"/>
          <w:szCs w:val="24"/>
        </w:rPr>
        <w:t xml:space="preserve"> at some point because there has been absolutely no showing that the underlying controversy with respect to PECO’s unpaid charges has been addressed in any way.</w:t>
      </w:r>
    </w:p>
    <w:p w:rsidR="006A2759" w:rsidRDefault="006A2759" w:rsidP="00E16C06">
      <w:pPr>
        <w:spacing w:line="360" w:lineRule="auto"/>
        <w:rPr>
          <w:sz w:val="24"/>
          <w:szCs w:val="24"/>
        </w:rPr>
      </w:pPr>
    </w:p>
    <w:p w:rsidR="006A2759" w:rsidRDefault="006A2759" w:rsidP="00E16C06">
      <w:pPr>
        <w:spacing w:line="360" w:lineRule="auto"/>
        <w:rPr>
          <w:sz w:val="24"/>
          <w:szCs w:val="24"/>
        </w:rPr>
      </w:pPr>
      <w:r>
        <w:rPr>
          <w:sz w:val="24"/>
          <w:szCs w:val="24"/>
        </w:rPr>
        <w:tab/>
      </w:r>
      <w:r>
        <w:rPr>
          <w:sz w:val="24"/>
          <w:szCs w:val="24"/>
        </w:rPr>
        <w:tab/>
        <w:t xml:space="preserve">The Complainants’ </w:t>
      </w:r>
      <w:r w:rsidR="001C4A15">
        <w:rPr>
          <w:sz w:val="24"/>
          <w:szCs w:val="24"/>
        </w:rPr>
        <w:t xml:space="preserve">have failed to show good cause for their </w:t>
      </w:r>
      <w:r>
        <w:rPr>
          <w:sz w:val="24"/>
          <w:szCs w:val="24"/>
        </w:rPr>
        <w:t>request for a thirty day extension of time</w:t>
      </w:r>
      <w:r w:rsidR="001C4A15">
        <w:rPr>
          <w:sz w:val="24"/>
          <w:szCs w:val="24"/>
        </w:rPr>
        <w:t>, and that request</w:t>
      </w:r>
      <w:r>
        <w:rPr>
          <w:sz w:val="24"/>
          <w:szCs w:val="24"/>
        </w:rPr>
        <w:t xml:space="preserve"> will be denied.  As I </w:t>
      </w:r>
      <w:r w:rsidR="001C4A15">
        <w:rPr>
          <w:sz w:val="24"/>
          <w:szCs w:val="24"/>
        </w:rPr>
        <w:t xml:space="preserve">had </w:t>
      </w:r>
      <w:r>
        <w:rPr>
          <w:sz w:val="24"/>
          <w:szCs w:val="24"/>
        </w:rPr>
        <w:t>expected that the Complainants would comply with the Order of July 8, 2011, no consequence was</w:t>
      </w:r>
      <w:r w:rsidR="001C4A15">
        <w:rPr>
          <w:sz w:val="24"/>
          <w:szCs w:val="24"/>
        </w:rPr>
        <w:t xml:space="preserve"> laid out for failure to do so.  I also note that PECO, in its Answer, today, asked that “the PUC process continue,” as opposed to </w:t>
      </w:r>
      <w:r w:rsidR="006F40FB">
        <w:rPr>
          <w:sz w:val="24"/>
          <w:szCs w:val="24"/>
        </w:rPr>
        <w:lastRenderedPageBreak/>
        <w:t>d</w:t>
      </w:r>
      <w:r w:rsidR="001C4A15">
        <w:rPr>
          <w:sz w:val="24"/>
          <w:szCs w:val="24"/>
        </w:rPr>
        <w:t xml:space="preserve">emanding </w:t>
      </w:r>
      <w:r w:rsidR="006F40FB">
        <w:rPr>
          <w:sz w:val="24"/>
          <w:szCs w:val="24"/>
        </w:rPr>
        <w:t xml:space="preserve">the immediate </w:t>
      </w:r>
      <w:r w:rsidR="001C4A15">
        <w:rPr>
          <w:sz w:val="24"/>
          <w:szCs w:val="24"/>
        </w:rPr>
        <w:t xml:space="preserve">dismissal of the Complaint </w:t>
      </w:r>
      <w:r w:rsidR="001C4A15" w:rsidRPr="001C4A15">
        <w:rPr>
          <w:i/>
          <w:sz w:val="24"/>
          <w:szCs w:val="24"/>
        </w:rPr>
        <w:t>with prejudice</w:t>
      </w:r>
      <w:r w:rsidR="001C4A15">
        <w:rPr>
          <w:sz w:val="24"/>
          <w:szCs w:val="24"/>
        </w:rPr>
        <w:t xml:space="preserve"> for failure to prosecute</w:t>
      </w:r>
      <w:r w:rsidR="00216631">
        <w:rPr>
          <w:sz w:val="24"/>
          <w:szCs w:val="24"/>
        </w:rPr>
        <w:t>, so that measure will not be taken, today</w:t>
      </w:r>
      <w:r w:rsidR="001C4A15">
        <w:rPr>
          <w:sz w:val="24"/>
          <w:szCs w:val="24"/>
        </w:rPr>
        <w:t>.</w:t>
      </w:r>
      <w:r w:rsidR="005859F8">
        <w:rPr>
          <w:sz w:val="24"/>
          <w:szCs w:val="24"/>
        </w:rPr>
        <w:t xml:space="preserve">  However, the Complainants are warned that further delay in this matter will not be tolerated.</w:t>
      </w:r>
    </w:p>
    <w:p w:rsidR="00115DAE" w:rsidRPr="00E16C06" w:rsidRDefault="00051C94" w:rsidP="00115DAE">
      <w:pPr>
        <w:spacing w:line="360" w:lineRule="auto"/>
        <w:rPr>
          <w:sz w:val="24"/>
          <w:szCs w:val="24"/>
        </w:rPr>
      </w:pPr>
      <w:r w:rsidRPr="00051C94">
        <w:rPr>
          <w:sz w:val="24"/>
          <w:szCs w:val="24"/>
        </w:rPr>
        <w:br/>
      </w:r>
      <w:r w:rsidR="00115DAE" w:rsidRPr="00C6607C">
        <w:rPr>
          <w:sz w:val="24"/>
          <w:szCs w:val="24"/>
        </w:rPr>
        <w:tab/>
      </w:r>
      <w:r w:rsidR="00115DAE" w:rsidRPr="00E16C06">
        <w:rPr>
          <w:sz w:val="24"/>
          <w:szCs w:val="24"/>
        </w:rPr>
        <w:tab/>
      </w:r>
      <w:r w:rsidR="00115DAE">
        <w:rPr>
          <w:sz w:val="24"/>
          <w:szCs w:val="24"/>
        </w:rPr>
        <w:t xml:space="preserve"> </w:t>
      </w:r>
      <w:r w:rsidR="00115DAE" w:rsidRPr="00E16C06">
        <w:rPr>
          <w:sz w:val="24"/>
          <w:szCs w:val="24"/>
        </w:rPr>
        <w:t>THEREFORE,</w:t>
      </w:r>
    </w:p>
    <w:p w:rsidR="00115DAE" w:rsidRPr="00E16C06" w:rsidRDefault="00115DAE" w:rsidP="00115DAE">
      <w:pPr>
        <w:rPr>
          <w:sz w:val="24"/>
          <w:szCs w:val="24"/>
        </w:rPr>
      </w:pPr>
    </w:p>
    <w:p w:rsidR="00115DAE" w:rsidRDefault="00115DAE" w:rsidP="00115DAE">
      <w:pPr>
        <w:rPr>
          <w:sz w:val="24"/>
          <w:szCs w:val="24"/>
        </w:rPr>
      </w:pPr>
      <w:r w:rsidRPr="00E16C06">
        <w:rPr>
          <w:sz w:val="24"/>
          <w:szCs w:val="24"/>
        </w:rPr>
        <w:tab/>
      </w:r>
      <w:r w:rsidRPr="00E16C06">
        <w:rPr>
          <w:sz w:val="24"/>
          <w:szCs w:val="24"/>
        </w:rPr>
        <w:tab/>
        <w:t>IT IS ORDERED:</w:t>
      </w:r>
    </w:p>
    <w:p w:rsidR="00115DAE" w:rsidRPr="00E16C06" w:rsidRDefault="00115DAE" w:rsidP="00115DAE">
      <w:pPr>
        <w:rPr>
          <w:sz w:val="24"/>
          <w:szCs w:val="24"/>
        </w:rPr>
      </w:pPr>
    </w:p>
    <w:p w:rsidR="00115DAE" w:rsidRPr="00E16C06" w:rsidRDefault="00115DAE" w:rsidP="00115DAE">
      <w:pPr>
        <w:rPr>
          <w:sz w:val="24"/>
          <w:szCs w:val="24"/>
        </w:rPr>
      </w:pPr>
    </w:p>
    <w:p w:rsidR="00115DAE" w:rsidRPr="00E16C06" w:rsidRDefault="00115DAE" w:rsidP="00115DAE">
      <w:pPr>
        <w:spacing w:line="360" w:lineRule="auto"/>
        <w:rPr>
          <w:sz w:val="24"/>
          <w:szCs w:val="24"/>
        </w:rPr>
      </w:pPr>
      <w:r w:rsidRPr="00E16C06">
        <w:rPr>
          <w:sz w:val="24"/>
          <w:szCs w:val="24"/>
        </w:rPr>
        <w:tab/>
      </w:r>
      <w:r w:rsidRPr="00E16C06">
        <w:rPr>
          <w:sz w:val="24"/>
          <w:szCs w:val="24"/>
        </w:rPr>
        <w:tab/>
        <w:t>1.</w:t>
      </w:r>
      <w:r w:rsidRPr="00E16C06">
        <w:rPr>
          <w:sz w:val="24"/>
          <w:szCs w:val="24"/>
        </w:rPr>
        <w:tab/>
      </w:r>
      <w:r>
        <w:rPr>
          <w:sz w:val="24"/>
          <w:szCs w:val="24"/>
        </w:rPr>
        <w:t xml:space="preserve">That the </w:t>
      </w:r>
      <w:r w:rsidR="00BE2EC5">
        <w:rPr>
          <w:sz w:val="24"/>
          <w:szCs w:val="24"/>
        </w:rPr>
        <w:t xml:space="preserve">August 8, 2011 Letter/Petition requesting a thirty day extension of time in which to file a Second Amended Answer filed by </w:t>
      </w:r>
      <w:r>
        <w:rPr>
          <w:sz w:val="24"/>
          <w:szCs w:val="24"/>
        </w:rPr>
        <w:t xml:space="preserve">the Complainants, </w:t>
      </w:r>
      <w:r w:rsidRPr="00D70DCE">
        <w:rPr>
          <w:sz w:val="24"/>
          <w:szCs w:val="24"/>
        </w:rPr>
        <w:t>Guntram Weissenberger, Panonia Associates, L.P. and 27 Summit Trace, LLC</w:t>
      </w:r>
      <w:r w:rsidR="004E308F">
        <w:rPr>
          <w:sz w:val="24"/>
          <w:szCs w:val="24"/>
        </w:rPr>
        <w:t>,</w:t>
      </w:r>
      <w:r w:rsidR="00BE2EC5">
        <w:rPr>
          <w:sz w:val="24"/>
          <w:szCs w:val="24"/>
        </w:rPr>
        <w:t xml:space="preserve"> is denied</w:t>
      </w:r>
      <w:r>
        <w:rPr>
          <w:sz w:val="24"/>
          <w:szCs w:val="24"/>
        </w:rPr>
        <w:t>.</w:t>
      </w:r>
    </w:p>
    <w:p w:rsidR="00115DAE" w:rsidRPr="00E16C06" w:rsidRDefault="00115DAE" w:rsidP="00115DAE">
      <w:pPr>
        <w:rPr>
          <w:sz w:val="24"/>
          <w:szCs w:val="24"/>
        </w:rPr>
      </w:pPr>
    </w:p>
    <w:p w:rsidR="00BE2EC5" w:rsidRDefault="00115DAE" w:rsidP="00115DAE">
      <w:pPr>
        <w:spacing w:line="360" w:lineRule="auto"/>
        <w:rPr>
          <w:sz w:val="24"/>
          <w:szCs w:val="24"/>
        </w:rPr>
      </w:pPr>
      <w:r>
        <w:rPr>
          <w:sz w:val="24"/>
          <w:szCs w:val="24"/>
        </w:rPr>
        <w:tab/>
      </w:r>
      <w:r>
        <w:rPr>
          <w:sz w:val="24"/>
          <w:szCs w:val="24"/>
        </w:rPr>
        <w:tab/>
      </w:r>
      <w:r w:rsidR="00BE2EC5">
        <w:rPr>
          <w:sz w:val="24"/>
          <w:szCs w:val="24"/>
        </w:rPr>
        <w:t>2</w:t>
      </w:r>
      <w:r>
        <w:rPr>
          <w:sz w:val="24"/>
          <w:szCs w:val="24"/>
        </w:rPr>
        <w:t>.</w:t>
      </w:r>
      <w:r>
        <w:rPr>
          <w:sz w:val="24"/>
          <w:szCs w:val="24"/>
        </w:rPr>
        <w:tab/>
        <w:t xml:space="preserve">That the Complainants have </w:t>
      </w:r>
      <w:r w:rsidR="00BE2EC5">
        <w:rPr>
          <w:sz w:val="24"/>
          <w:szCs w:val="24"/>
        </w:rPr>
        <w:t xml:space="preserve">seven </w:t>
      </w:r>
      <w:r>
        <w:rPr>
          <w:sz w:val="24"/>
          <w:szCs w:val="24"/>
        </w:rPr>
        <w:t>(</w:t>
      </w:r>
      <w:r w:rsidR="00BE2EC5">
        <w:rPr>
          <w:sz w:val="24"/>
          <w:szCs w:val="24"/>
        </w:rPr>
        <w:t>7</w:t>
      </w:r>
      <w:r>
        <w:rPr>
          <w:sz w:val="24"/>
          <w:szCs w:val="24"/>
        </w:rPr>
        <w:t xml:space="preserve">) days from the date of issuance </w:t>
      </w:r>
      <w:r w:rsidR="00BE2EC5">
        <w:rPr>
          <w:sz w:val="24"/>
          <w:szCs w:val="24"/>
        </w:rPr>
        <w:t>of this Order to file with the S</w:t>
      </w:r>
      <w:r>
        <w:rPr>
          <w:sz w:val="24"/>
          <w:szCs w:val="24"/>
        </w:rPr>
        <w:t xml:space="preserve">ecretary of the Commission and serve on PECO a Second Amended Complaint which states, with specificity, </w:t>
      </w:r>
      <w:r w:rsidRPr="00C6607C">
        <w:rPr>
          <w:sz w:val="24"/>
          <w:szCs w:val="24"/>
        </w:rPr>
        <w:t xml:space="preserve">which tariff or rates PECO should have applied to the Complainants, any relevant information or discussion regarding the periodicity of PECO billing, </w:t>
      </w:r>
      <w:r>
        <w:rPr>
          <w:sz w:val="24"/>
          <w:szCs w:val="24"/>
        </w:rPr>
        <w:t xml:space="preserve">and, most importantly, </w:t>
      </w:r>
      <w:r w:rsidRPr="00C6607C">
        <w:rPr>
          <w:sz w:val="24"/>
          <w:szCs w:val="24"/>
        </w:rPr>
        <w:t>how PECO’s billing and notifications violated a specific tariff, rule or rate.</w:t>
      </w:r>
    </w:p>
    <w:p w:rsidR="00BE2EC5" w:rsidRDefault="00BE2EC5" w:rsidP="00115DAE">
      <w:pPr>
        <w:spacing w:line="360" w:lineRule="auto"/>
        <w:rPr>
          <w:sz w:val="24"/>
          <w:szCs w:val="24"/>
        </w:rPr>
      </w:pPr>
    </w:p>
    <w:p w:rsidR="00115DAE" w:rsidRPr="00E16C06" w:rsidRDefault="00BE2EC5" w:rsidP="00115DAE">
      <w:pPr>
        <w:spacing w:line="360" w:lineRule="auto"/>
        <w:rPr>
          <w:sz w:val="24"/>
          <w:szCs w:val="24"/>
        </w:rPr>
      </w:pPr>
      <w:r>
        <w:rPr>
          <w:sz w:val="24"/>
          <w:szCs w:val="24"/>
        </w:rPr>
        <w:tab/>
      </w:r>
      <w:r>
        <w:rPr>
          <w:sz w:val="24"/>
          <w:szCs w:val="24"/>
        </w:rPr>
        <w:tab/>
        <w:t>3.</w:t>
      </w:r>
      <w:r>
        <w:rPr>
          <w:sz w:val="24"/>
          <w:szCs w:val="24"/>
        </w:rPr>
        <w:tab/>
        <w:t xml:space="preserve">That if the Complainants’ fail to comply with the terms of this Order, their Complaint filed at </w:t>
      </w:r>
      <w:r w:rsidRPr="005A0C0F">
        <w:rPr>
          <w:sz w:val="24"/>
          <w:szCs w:val="24"/>
        </w:rPr>
        <w:t>Docket No. C-20</w:t>
      </w:r>
      <w:r>
        <w:rPr>
          <w:sz w:val="24"/>
          <w:szCs w:val="24"/>
        </w:rPr>
        <w:t>10</w:t>
      </w:r>
      <w:r w:rsidRPr="005A0C0F">
        <w:rPr>
          <w:sz w:val="24"/>
          <w:szCs w:val="24"/>
        </w:rPr>
        <w:t>-21</w:t>
      </w:r>
      <w:r>
        <w:rPr>
          <w:sz w:val="24"/>
          <w:szCs w:val="24"/>
        </w:rPr>
        <w:t>82281 will be dismissed with prejudice for failure to prosecute.</w:t>
      </w:r>
      <w:r w:rsidR="00115DAE" w:rsidRPr="00C6607C">
        <w:rPr>
          <w:sz w:val="24"/>
          <w:szCs w:val="24"/>
        </w:rPr>
        <w:t xml:space="preserve"> </w:t>
      </w:r>
    </w:p>
    <w:p w:rsidR="00115DAE" w:rsidRPr="00E16C06" w:rsidRDefault="00115DAE" w:rsidP="00115DAE">
      <w:pPr>
        <w:rPr>
          <w:sz w:val="24"/>
          <w:szCs w:val="24"/>
        </w:rPr>
      </w:pPr>
    </w:p>
    <w:p w:rsidR="00115DAE" w:rsidRDefault="00115DAE" w:rsidP="00115DAE">
      <w:pPr>
        <w:rPr>
          <w:sz w:val="24"/>
          <w:szCs w:val="24"/>
        </w:rPr>
      </w:pPr>
      <w:r w:rsidRPr="00152350">
        <w:rPr>
          <w:sz w:val="24"/>
          <w:szCs w:val="24"/>
        </w:rPr>
        <w:tab/>
      </w:r>
      <w:r w:rsidRPr="00152350">
        <w:rPr>
          <w:sz w:val="24"/>
          <w:szCs w:val="24"/>
        </w:rPr>
        <w:tab/>
      </w:r>
    </w:p>
    <w:p w:rsidR="00115DAE" w:rsidRPr="00152350" w:rsidRDefault="00115DAE" w:rsidP="00115DAE">
      <w:pPr>
        <w:rPr>
          <w:sz w:val="24"/>
          <w:szCs w:val="24"/>
        </w:rPr>
      </w:pPr>
      <w:r w:rsidRPr="00152350">
        <w:rPr>
          <w:sz w:val="24"/>
          <w:szCs w:val="24"/>
        </w:rPr>
        <w:br/>
        <w:t>Date:</w:t>
      </w:r>
      <w:r w:rsidRPr="00152350">
        <w:rPr>
          <w:sz w:val="24"/>
          <w:szCs w:val="24"/>
        </w:rPr>
        <w:tab/>
      </w:r>
      <w:r w:rsidR="00BE2EC5">
        <w:rPr>
          <w:sz w:val="24"/>
          <w:szCs w:val="24"/>
          <w:u w:val="single"/>
        </w:rPr>
        <w:t xml:space="preserve">August </w:t>
      </w:r>
      <w:r>
        <w:rPr>
          <w:sz w:val="24"/>
          <w:szCs w:val="24"/>
          <w:u w:val="single"/>
        </w:rPr>
        <w:t>8,</w:t>
      </w:r>
      <w:r w:rsidRPr="00152350">
        <w:rPr>
          <w:sz w:val="24"/>
          <w:szCs w:val="24"/>
          <w:u w:val="single"/>
        </w:rPr>
        <w:t xml:space="preserve"> 2011</w:t>
      </w:r>
      <w:r>
        <w:rPr>
          <w:sz w:val="24"/>
          <w:szCs w:val="24"/>
        </w:rPr>
        <w:tab/>
      </w:r>
      <w:r w:rsidRPr="00152350">
        <w:rPr>
          <w:sz w:val="24"/>
          <w:szCs w:val="24"/>
        </w:rPr>
        <w:tab/>
      </w:r>
      <w:r w:rsidRPr="00152350">
        <w:rPr>
          <w:sz w:val="24"/>
          <w:szCs w:val="24"/>
        </w:rPr>
        <w:tab/>
      </w:r>
      <w:r w:rsidRPr="00152350">
        <w:rPr>
          <w:sz w:val="24"/>
          <w:szCs w:val="24"/>
        </w:rPr>
        <w:tab/>
        <w:t>_____________________________</w:t>
      </w:r>
    </w:p>
    <w:p w:rsidR="00115DAE" w:rsidRPr="00152350" w:rsidRDefault="00115DAE" w:rsidP="00115DAE">
      <w:pPr>
        <w:rPr>
          <w:sz w:val="24"/>
          <w:szCs w:val="24"/>
        </w:rPr>
      </w:pPr>
      <w:r w:rsidRPr="00152350">
        <w:rPr>
          <w:sz w:val="24"/>
          <w:szCs w:val="24"/>
        </w:rPr>
        <w:tab/>
      </w:r>
      <w:r w:rsidRPr="00152350">
        <w:rPr>
          <w:sz w:val="24"/>
          <w:szCs w:val="24"/>
        </w:rPr>
        <w:tab/>
      </w:r>
      <w:r w:rsidRPr="00152350">
        <w:rPr>
          <w:sz w:val="24"/>
          <w:szCs w:val="24"/>
        </w:rPr>
        <w:tab/>
      </w:r>
      <w:r w:rsidRPr="00152350">
        <w:rPr>
          <w:sz w:val="24"/>
          <w:szCs w:val="24"/>
        </w:rPr>
        <w:tab/>
      </w:r>
      <w:r w:rsidRPr="00152350">
        <w:rPr>
          <w:sz w:val="24"/>
          <w:szCs w:val="24"/>
        </w:rPr>
        <w:tab/>
      </w:r>
      <w:r w:rsidRPr="00152350">
        <w:rPr>
          <w:sz w:val="24"/>
          <w:szCs w:val="24"/>
        </w:rPr>
        <w:tab/>
      </w:r>
      <w:r w:rsidRPr="00152350">
        <w:rPr>
          <w:sz w:val="24"/>
          <w:szCs w:val="24"/>
        </w:rPr>
        <w:tab/>
        <w:t>Dennis J. Buckley</w:t>
      </w:r>
    </w:p>
    <w:p w:rsidR="00115DAE" w:rsidRPr="00152350" w:rsidRDefault="00115DAE" w:rsidP="00115DAE">
      <w:pPr>
        <w:ind w:hanging="720"/>
        <w:rPr>
          <w:sz w:val="24"/>
          <w:szCs w:val="24"/>
        </w:rPr>
      </w:pPr>
      <w:r w:rsidRPr="00152350">
        <w:rPr>
          <w:sz w:val="24"/>
          <w:szCs w:val="24"/>
        </w:rPr>
        <w:tab/>
      </w:r>
      <w:r w:rsidRPr="00152350">
        <w:rPr>
          <w:sz w:val="24"/>
          <w:szCs w:val="24"/>
        </w:rPr>
        <w:tab/>
      </w:r>
      <w:r w:rsidRPr="00152350">
        <w:rPr>
          <w:sz w:val="24"/>
          <w:szCs w:val="24"/>
        </w:rPr>
        <w:tab/>
      </w:r>
      <w:r w:rsidRPr="00152350">
        <w:rPr>
          <w:sz w:val="24"/>
          <w:szCs w:val="24"/>
        </w:rPr>
        <w:tab/>
      </w:r>
      <w:r w:rsidRPr="00152350">
        <w:rPr>
          <w:sz w:val="24"/>
          <w:szCs w:val="24"/>
        </w:rPr>
        <w:tab/>
      </w:r>
      <w:r w:rsidRPr="00152350">
        <w:rPr>
          <w:sz w:val="24"/>
          <w:szCs w:val="24"/>
        </w:rPr>
        <w:tab/>
      </w:r>
      <w:r w:rsidRPr="00152350">
        <w:rPr>
          <w:sz w:val="24"/>
          <w:szCs w:val="24"/>
        </w:rPr>
        <w:tab/>
      </w:r>
      <w:r w:rsidRPr="00152350">
        <w:rPr>
          <w:sz w:val="24"/>
          <w:szCs w:val="24"/>
        </w:rPr>
        <w:tab/>
        <w:t>Administrative Law Judge</w:t>
      </w:r>
    </w:p>
    <w:p w:rsidR="00112B8D" w:rsidRDefault="00112B8D" w:rsidP="00051C94">
      <w:pPr>
        <w:spacing w:line="360" w:lineRule="auto"/>
        <w:rPr>
          <w:sz w:val="24"/>
          <w:szCs w:val="24"/>
        </w:rPr>
      </w:pPr>
    </w:p>
    <w:p w:rsidR="006738E7" w:rsidRDefault="006738E7" w:rsidP="00C6607C">
      <w:pPr>
        <w:pStyle w:val="NoSpacing"/>
        <w:spacing w:line="360" w:lineRule="auto"/>
        <w:rPr>
          <w:rFonts w:ascii="Times New Roman" w:hAnsi="Times New Roman" w:cs="Times New Roman"/>
          <w:sz w:val="24"/>
          <w:szCs w:val="24"/>
        </w:rPr>
      </w:pPr>
    </w:p>
    <w:p w:rsidR="006E1AA0" w:rsidRDefault="00E16C06" w:rsidP="005859F8">
      <w:pPr>
        <w:spacing w:line="360" w:lineRule="auto"/>
        <w:rPr>
          <w:sz w:val="24"/>
          <w:szCs w:val="24"/>
        </w:rPr>
        <w:sectPr w:rsidR="006E1AA0" w:rsidSect="006B08C2">
          <w:footerReference w:type="even" r:id="rId8"/>
          <w:footerReference w:type="default" r:id="rId9"/>
          <w:type w:val="continuous"/>
          <w:pgSz w:w="12240" w:h="15840"/>
          <w:pgMar w:top="1440" w:right="1440" w:bottom="1440" w:left="1440" w:header="720" w:footer="720" w:gutter="0"/>
          <w:cols w:space="720"/>
          <w:noEndnote/>
          <w:titlePg/>
        </w:sectPr>
      </w:pPr>
      <w:r w:rsidRPr="00C6607C">
        <w:rPr>
          <w:sz w:val="24"/>
          <w:szCs w:val="24"/>
        </w:rPr>
        <w:tab/>
      </w:r>
      <w:r w:rsidRPr="00E16C06">
        <w:rPr>
          <w:sz w:val="24"/>
          <w:szCs w:val="24"/>
        </w:rPr>
        <w:tab/>
      </w:r>
    </w:p>
    <w:p w:rsidR="006E1AA0" w:rsidRPr="00057980" w:rsidRDefault="006E1AA0" w:rsidP="006E1AA0">
      <w:pPr>
        <w:rPr>
          <w:rFonts w:ascii="Microsoft Sans Serif" w:hAnsi="Microsoft Sans Serif" w:cs="Microsoft Sans Serif"/>
          <w:b/>
          <w:caps/>
          <w:szCs w:val="24"/>
          <w:u w:val="single"/>
        </w:rPr>
      </w:pPr>
      <w:r w:rsidRPr="003901F1">
        <w:rPr>
          <w:rFonts w:ascii="Microsoft Sans Serif" w:hAnsi="Microsoft Sans Serif" w:cs="Microsoft Sans Serif"/>
          <w:b/>
          <w:caps/>
          <w:noProof/>
          <w:szCs w:val="24"/>
          <w:u w:val="single"/>
        </w:rPr>
        <w:lastRenderedPageBreak/>
        <w:t>C-2010-2182281</w:t>
      </w:r>
      <w:r w:rsidRPr="00057980">
        <w:rPr>
          <w:rFonts w:ascii="Microsoft Sans Serif" w:hAnsi="Microsoft Sans Serif" w:cs="Microsoft Sans Serif"/>
          <w:b/>
          <w:caps/>
          <w:szCs w:val="24"/>
          <w:u w:val="single"/>
        </w:rPr>
        <w:t xml:space="preserve"> </w:t>
      </w:r>
      <w:r>
        <w:rPr>
          <w:rFonts w:ascii="Microsoft Sans Serif" w:hAnsi="Microsoft Sans Serif" w:cs="Microsoft Sans Serif"/>
          <w:b/>
          <w:caps/>
          <w:szCs w:val="24"/>
          <w:u w:val="single"/>
        </w:rPr>
        <w:t>-</w:t>
      </w:r>
      <w:r w:rsidRPr="00057980">
        <w:rPr>
          <w:rFonts w:ascii="Microsoft Sans Serif" w:hAnsi="Microsoft Sans Serif" w:cs="Microsoft Sans Serif"/>
          <w:b/>
          <w:caps/>
          <w:szCs w:val="24"/>
          <w:u w:val="single"/>
        </w:rPr>
        <w:t xml:space="preserve"> </w:t>
      </w:r>
      <w:r w:rsidRPr="003901F1">
        <w:rPr>
          <w:rFonts w:ascii="Microsoft Sans Serif" w:hAnsi="Microsoft Sans Serif" w:cs="Microsoft Sans Serif"/>
          <w:b/>
          <w:caps/>
          <w:noProof/>
          <w:szCs w:val="24"/>
          <w:u w:val="single"/>
        </w:rPr>
        <w:t>Guntram Weissenberger</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3901F1">
        <w:rPr>
          <w:rFonts w:ascii="Microsoft Sans Serif" w:hAnsi="Microsoft Sans Serif" w:cs="Microsoft Sans Serif"/>
          <w:b/>
          <w:caps/>
          <w:noProof/>
          <w:szCs w:val="24"/>
          <w:u w:val="single"/>
        </w:rPr>
        <w:t>PECO Energy Company</w:t>
      </w:r>
    </w:p>
    <w:p w:rsidR="006E1AA0" w:rsidRPr="00057980" w:rsidRDefault="006E1AA0" w:rsidP="006E1AA0">
      <w:pPr>
        <w:rPr>
          <w:rFonts w:ascii="Microsoft Sans Serif" w:hAnsi="Microsoft Sans Serif" w:cs="Microsoft Sans Serif"/>
          <w:caps/>
          <w:szCs w:val="24"/>
        </w:rPr>
      </w:pPr>
    </w:p>
    <w:p w:rsidR="006E1AA0" w:rsidRPr="00057980" w:rsidRDefault="006E1AA0" w:rsidP="006E1AA0">
      <w:pPr>
        <w:rPr>
          <w:rFonts w:ascii="Microsoft Sans Serif" w:hAnsi="Microsoft Sans Serif" w:cs="Microsoft Sans Serif"/>
          <w:caps/>
          <w:szCs w:val="24"/>
        </w:rPr>
      </w:pPr>
    </w:p>
    <w:p w:rsidR="006E1AA0" w:rsidRPr="00057980" w:rsidRDefault="006E1AA0" w:rsidP="006E1AA0">
      <w:pPr>
        <w:rPr>
          <w:rFonts w:ascii="Microsoft Sans Serif" w:hAnsi="Microsoft Sans Serif" w:cs="Microsoft Sans Serif"/>
          <w:caps/>
          <w:szCs w:val="24"/>
        </w:rPr>
      </w:pPr>
      <w:r w:rsidRPr="003901F1">
        <w:rPr>
          <w:rFonts w:ascii="Microsoft Sans Serif" w:hAnsi="Microsoft Sans Serif" w:cs="Microsoft Sans Serif"/>
          <w:caps/>
          <w:noProof/>
          <w:szCs w:val="24"/>
        </w:rPr>
        <w:t>GUNTRAM WEISSENBERGER</w:t>
      </w:r>
      <w:r w:rsidRPr="00057980">
        <w:rPr>
          <w:rFonts w:ascii="Microsoft Sans Serif" w:hAnsi="Microsoft Sans Serif" w:cs="Microsoft Sans Serif"/>
          <w:caps/>
          <w:szCs w:val="24"/>
        </w:rPr>
        <w:t xml:space="preserve"> </w:t>
      </w:r>
    </w:p>
    <w:p w:rsidR="006E1AA0" w:rsidRPr="00057980" w:rsidRDefault="006E1AA0" w:rsidP="006E1AA0">
      <w:pPr>
        <w:rPr>
          <w:rFonts w:ascii="Microsoft Sans Serif" w:hAnsi="Microsoft Sans Serif" w:cs="Microsoft Sans Serif"/>
          <w:caps/>
          <w:szCs w:val="24"/>
        </w:rPr>
      </w:pPr>
      <w:r w:rsidRPr="003901F1">
        <w:rPr>
          <w:rFonts w:ascii="Microsoft Sans Serif" w:hAnsi="Microsoft Sans Serif" w:cs="Microsoft Sans Serif"/>
          <w:caps/>
          <w:noProof/>
          <w:szCs w:val="24"/>
        </w:rPr>
        <w:t>550 American Avenue</w:t>
      </w:r>
    </w:p>
    <w:p w:rsidR="006E1AA0" w:rsidRPr="00057980" w:rsidRDefault="006E1AA0" w:rsidP="006E1AA0">
      <w:pPr>
        <w:rPr>
          <w:rFonts w:ascii="Microsoft Sans Serif" w:hAnsi="Microsoft Sans Serif" w:cs="Microsoft Sans Serif"/>
          <w:caps/>
          <w:szCs w:val="24"/>
        </w:rPr>
      </w:pPr>
      <w:r w:rsidRPr="003901F1">
        <w:rPr>
          <w:rFonts w:ascii="Microsoft Sans Serif" w:hAnsi="Microsoft Sans Serif" w:cs="Microsoft Sans Serif"/>
          <w:caps/>
          <w:noProof/>
          <w:szCs w:val="24"/>
        </w:rPr>
        <w:t>Suite 1</w:t>
      </w:r>
    </w:p>
    <w:p w:rsidR="006E1AA0" w:rsidRPr="00057980" w:rsidRDefault="006E1AA0" w:rsidP="006E1AA0">
      <w:pPr>
        <w:rPr>
          <w:rFonts w:ascii="Microsoft Sans Serif" w:hAnsi="Microsoft Sans Serif" w:cs="Microsoft Sans Serif"/>
          <w:caps/>
          <w:szCs w:val="24"/>
        </w:rPr>
      </w:pPr>
      <w:r w:rsidRPr="003901F1">
        <w:rPr>
          <w:rFonts w:ascii="Microsoft Sans Serif" w:hAnsi="Microsoft Sans Serif" w:cs="Microsoft Sans Serif"/>
          <w:caps/>
          <w:noProof/>
          <w:szCs w:val="24"/>
        </w:rPr>
        <w:t>King of Prussia</w:t>
      </w:r>
      <w:r w:rsidRPr="00057980">
        <w:rPr>
          <w:rFonts w:ascii="Microsoft Sans Serif" w:hAnsi="Microsoft Sans Serif" w:cs="Microsoft Sans Serif"/>
          <w:caps/>
          <w:szCs w:val="24"/>
        </w:rPr>
        <w:t xml:space="preserve"> </w:t>
      </w:r>
      <w:r w:rsidRPr="003901F1">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3901F1">
        <w:rPr>
          <w:rFonts w:ascii="Microsoft Sans Serif" w:hAnsi="Microsoft Sans Serif" w:cs="Microsoft Sans Serif"/>
          <w:caps/>
          <w:noProof/>
          <w:szCs w:val="24"/>
        </w:rPr>
        <w:t>19406</w:t>
      </w:r>
    </w:p>
    <w:p w:rsidR="006E1AA0" w:rsidRDefault="006E1AA0" w:rsidP="006E1AA0">
      <w:pPr>
        <w:rPr>
          <w:rFonts w:ascii="Microsoft Sans Serif" w:hAnsi="Microsoft Sans Serif" w:cs="Microsoft Sans Serif"/>
          <w:caps/>
          <w:szCs w:val="24"/>
        </w:rPr>
      </w:pPr>
    </w:p>
    <w:p w:rsidR="006E1AA0" w:rsidRPr="00057980" w:rsidRDefault="006E1AA0" w:rsidP="006E1AA0">
      <w:pPr>
        <w:rPr>
          <w:rFonts w:ascii="Microsoft Sans Serif" w:hAnsi="Microsoft Sans Serif" w:cs="Microsoft Sans Serif"/>
          <w:caps/>
          <w:szCs w:val="24"/>
        </w:rPr>
      </w:pPr>
      <w:r w:rsidRPr="003901F1">
        <w:rPr>
          <w:rFonts w:ascii="Microsoft Sans Serif" w:hAnsi="Microsoft Sans Serif" w:cs="Microsoft Sans Serif"/>
          <w:caps/>
          <w:noProof/>
          <w:szCs w:val="24"/>
        </w:rPr>
        <w:t>Tishekia E</w:t>
      </w:r>
      <w:r w:rsidRPr="00057980">
        <w:rPr>
          <w:rFonts w:ascii="Microsoft Sans Serif" w:hAnsi="Microsoft Sans Serif" w:cs="Microsoft Sans Serif"/>
          <w:caps/>
          <w:szCs w:val="24"/>
        </w:rPr>
        <w:t xml:space="preserve"> </w:t>
      </w:r>
      <w:r w:rsidRPr="003901F1">
        <w:rPr>
          <w:rFonts w:ascii="Microsoft Sans Serif" w:hAnsi="Microsoft Sans Serif" w:cs="Microsoft Sans Serif"/>
          <w:caps/>
          <w:noProof/>
          <w:szCs w:val="24"/>
        </w:rPr>
        <w:t>Williams</w:t>
      </w:r>
      <w:r w:rsidRPr="00057980">
        <w:rPr>
          <w:rFonts w:ascii="Microsoft Sans Serif" w:hAnsi="Microsoft Sans Serif" w:cs="Microsoft Sans Serif"/>
          <w:caps/>
          <w:szCs w:val="24"/>
        </w:rPr>
        <w:t xml:space="preserve"> </w:t>
      </w:r>
      <w:r w:rsidRPr="003901F1">
        <w:rPr>
          <w:rFonts w:ascii="Microsoft Sans Serif" w:hAnsi="Microsoft Sans Serif" w:cs="Microsoft Sans Serif"/>
          <w:caps/>
          <w:noProof/>
          <w:szCs w:val="24"/>
        </w:rPr>
        <w:t>Esquire</w:t>
      </w:r>
    </w:p>
    <w:p w:rsidR="006E1AA0" w:rsidRPr="00057980" w:rsidRDefault="006E1AA0" w:rsidP="006E1AA0">
      <w:pPr>
        <w:rPr>
          <w:rFonts w:ascii="Microsoft Sans Serif" w:hAnsi="Microsoft Sans Serif" w:cs="Microsoft Sans Serif"/>
          <w:caps/>
          <w:szCs w:val="24"/>
        </w:rPr>
      </w:pPr>
      <w:r w:rsidRPr="003901F1">
        <w:rPr>
          <w:rFonts w:ascii="Microsoft Sans Serif" w:hAnsi="Microsoft Sans Serif" w:cs="Microsoft Sans Serif"/>
          <w:caps/>
          <w:noProof/>
          <w:szCs w:val="24"/>
        </w:rPr>
        <w:t>Exelon Business Services Company</w:t>
      </w:r>
    </w:p>
    <w:p w:rsidR="006E1AA0" w:rsidRPr="00057980" w:rsidRDefault="006E1AA0" w:rsidP="006E1AA0">
      <w:pPr>
        <w:rPr>
          <w:rFonts w:ascii="Microsoft Sans Serif" w:hAnsi="Microsoft Sans Serif" w:cs="Microsoft Sans Serif"/>
          <w:caps/>
          <w:szCs w:val="24"/>
        </w:rPr>
      </w:pPr>
      <w:r w:rsidRPr="003901F1">
        <w:rPr>
          <w:rFonts w:ascii="Microsoft Sans Serif" w:hAnsi="Microsoft Sans Serif" w:cs="Microsoft Sans Serif"/>
          <w:caps/>
          <w:noProof/>
          <w:szCs w:val="24"/>
        </w:rPr>
        <w:t>2301 Market Street/S23-1</w:t>
      </w:r>
    </w:p>
    <w:p w:rsidR="006E1AA0" w:rsidRPr="00057980" w:rsidRDefault="006E1AA0" w:rsidP="006E1AA0">
      <w:pPr>
        <w:rPr>
          <w:rFonts w:ascii="Microsoft Sans Serif" w:hAnsi="Microsoft Sans Serif" w:cs="Microsoft Sans Serif"/>
          <w:caps/>
          <w:szCs w:val="24"/>
        </w:rPr>
      </w:pPr>
      <w:r w:rsidRPr="003901F1">
        <w:rPr>
          <w:rFonts w:ascii="Microsoft Sans Serif" w:hAnsi="Microsoft Sans Serif" w:cs="Microsoft Sans Serif"/>
          <w:caps/>
          <w:noProof/>
          <w:szCs w:val="24"/>
        </w:rPr>
        <w:t>P O Box 8699</w:t>
      </w:r>
    </w:p>
    <w:p w:rsidR="006E1AA0" w:rsidRPr="00057980" w:rsidRDefault="006E1AA0" w:rsidP="006E1AA0">
      <w:pPr>
        <w:rPr>
          <w:rFonts w:ascii="Microsoft Sans Serif" w:hAnsi="Microsoft Sans Serif" w:cs="Microsoft Sans Serif"/>
          <w:caps/>
          <w:szCs w:val="24"/>
        </w:rPr>
      </w:pPr>
      <w:r w:rsidRPr="003901F1">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3901F1">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3901F1">
        <w:rPr>
          <w:rFonts w:ascii="Microsoft Sans Serif" w:hAnsi="Microsoft Sans Serif" w:cs="Microsoft Sans Serif"/>
          <w:caps/>
          <w:noProof/>
          <w:szCs w:val="24"/>
        </w:rPr>
        <w:t>19101-8699</w:t>
      </w:r>
    </w:p>
    <w:p w:rsidR="006E1AA0" w:rsidRDefault="006E1AA0" w:rsidP="006E1AA0">
      <w:pPr>
        <w:rPr>
          <w:rFonts w:ascii="Microsoft Sans Serif" w:hAnsi="Microsoft Sans Serif" w:cs="Microsoft Sans Serif"/>
          <w:b/>
          <w:caps/>
          <w:noProof/>
          <w:szCs w:val="24"/>
        </w:rPr>
      </w:pPr>
      <w:r w:rsidRPr="003901F1">
        <w:rPr>
          <w:rFonts w:ascii="Microsoft Sans Serif" w:hAnsi="Microsoft Sans Serif" w:cs="Microsoft Sans Serif"/>
          <w:b/>
          <w:caps/>
          <w:noProof/>
          <w:szCs w:val="24"/>
        </w:rPr>
        <w:t>215.841.6841</w:t>
      </w:r>
    </w:p>
    <w:p w:rsidR="006E1AA0" w:rsidRDefault="006E1AA0" w:rsidP="006E1AA0">
      <w:pPr>
        <w:rPr>
          <w:rFonts w:ascii="Microsoft Sans Serif" w:hAnsi="Microsoft Sans Serif" w:cs="Microsoft Sans Serif"/>
          <w:b/>
          <w:caps/>
          <w:noProof/>
          <w:szCs w:val="24"/>
        </w:rPr>
      </w:pPr>
    </w:p>
    <w:p w:rsidR="006E1AA0" w:rsidRDefault="006E1AA0" w:rsidP="006E1AA0">
      <w:pPr>
        <w:rPr>
          <w:rFonts w:ascii="Microsoft Sans Serif" w:hAnsi="Microsoft Sans Serif" w:cs="Microsoft Sans Serif"/>
          <w:caps/>
          <w:noProof/>
          <w:szCs w:val="24"/>
        </w:rPr>
      </w:pPr>
      <w:r>
        <w:rPr>
          <w:rFonts w:ascii="Microsoft Sans Serif" w:hAnsi="Microsoft Sans Serif" w:cs="Microsoft Sans Serif"/>
          <w:caps/>
          <w:noProof/>
          <w:szCs w:val="24"/>
        </w:rPr>
        <w:t>ward smith</w:t>
      </w:r>
    </w:p>
    <w:p w:rsidR="006E1AA0" w:rsidRDefault="006E1AA0" w:rsidP="006E1AA0">
      <w:pPr>
        <w:rPr>
          <w:rFonts w:ascii="Microsoft Sans Serif" w:hAnsi="Microsoft Sans Serif" w:cs="Microsoft Sans Serif"/>
          <w:caps/>
          <w:noProof/>
          <w:szCs w:val="24"/>
        </w:rPr>
      </w:pPr>
      <w:r>
        <w:rPr>
          <w:rFonts w:ascii="Microsoft Sans Serif" w:hAnsi="Microsoft Sans Serif" w:cs="Microsoft Sans Serif"/>
          <w:caps/>
          <w:noProof/>
          <w:szCs w:val="24"/>
        </w:rPr>
        <w:t>peco energy company</w:t>
      </w:r>
    </w:p>
    <w:p w:rsidR="006E1AA0" w:rsidRDefault="006E1AA0" w:rsidP="006E1AA0">
      <w:pPr>
        <w:rPr>
          <w:rFonts w:ascii="Microsoft Sans Serif" w:hAnsi="Microsoft Sans Serif" w:cs="Microsoft Sans Serif"/>
          <w:caps/>
          <w:noProof/>
          <w:szCs w:val="24"/>
        </w:rPr>
      </w:pPr>
      <w:r>
        <w:rPr>
          <w:rFonts w:ascii="Microsoft Sans Serif" w:hAnsi="Microsoft Sans Serif" w:cs="Microsoft Sans Serif"/>
          <w:caps/>
          <w:noProof/>
          <w:szCs w:val="24"/>
        </w:rPr>
        <w:t>2301 market street/s23-1</w:t>
      </w:r>
    </w:p>
    <w:p w:rsidR="006E1AA0" w:rsidRDefault="006E1AA0" w:rsidP="006E1AA0">
      <w:pPr>
        <w:rPr>
          <w:rFonts w:ascii="Microsoft Sans Serif" w:hAnsi="Microsoft Sans Serif" w:cs="Microsoft Sans Serif"/>
          <w:caps/>
          <w:noProof/>
          <w:szCs w:val="24"/>
        </w:rPr>
      </w:pPr>
      <w:r>
        <w:rPr>
          <w:rFonts w:ascii="Microsoft Sans Serif" w:hAnsi="Microsoft Sans Serif" w:cs="Microsoft Sans Serif"/>
          <w:caps/>
          <w:noProof/>
          <w:szCs w:val="24"/>
        </w:rPr>
        <w:t>philadelphia pa 19103</w:t>
      </w:r>
    </w:p>
    <w:p w:rsidR="006E1AA0" w:rsidRPr="00191FCF" w:rsidRDefault="006E1AA0" w:rsidP="006E1AA0">
      <w:pPr>
        <w:rPr>
          <w:rFonts w:ascii="Microsoft Sans Serif" w:hAnsi="Microsoft Sans Serif" w:cs="Microsoft Sans Serif"/>
          <w:b/>
          <w:caps/>
          <w:szCs w:val="24"/>
        </w:rPr>
      </w:pPr>
      <w:r w:rsidRPr="00191FCF">
        <w:rPr>
          <w:rFonts w:ascii="Microsoft Sans Serif" w:hAnsi="Microsoft Sans Serif" w:cs="Microsoft Sans Serif"/>
          <w:b/>
          <w:caps/>
          <w:noProof/>
          <w:szCs w:val="24"/>
        </w:rPr>
        <w:t>215.841.6863</w:t>
      </w:r>
    </w:p>
    <w:p w:rsidR="006E1AA0" w:rsidRDefault="006E1AA0" w:rsidP="006E1AA0">
      <w:pPr>
        <w:rPr>
          <w:rFonts w:ascii="Microsoft Sans Serif" w:hAnsi="Microsoft Sans Serif" w:cs="Microsoft Sans Serif"/>
          <w:caps/>
          <w:szCs w:val="24"/>
        </w:rPr>
      </w:pPr>
    </w:p>
    <w:p w:rsidR="006E1AA0" w:rsidRDefault="006E1AA0" w:rsidP="006E1AA0">
      <w:pPr>
        <w:rPr>
          <w:rFonts w:ascii="Microsoft Sans Serif" w:hAnsi="Microsoft Sans Serif" w:cs="Microsoft Sans Serif"/>
          <w:caps/>
          <w:noProof/>
          <w:szCs w:val="24"/>
        </w:rPr>
      </w:pPr>
      <w:r w:rsidRPr="003901F1">
        <w:rPr>
          <w:rFonts w:ascii="Microsoft Sans Serif" w:hAnsi="Microsoft Sans Serif" w:cs="Microsoft Sans Serif"/>
          <w:caps/>
          <w:noProof/>
          <w:szCs w:val="24"/>
        </w:rPr>
        <w:t>Norman J</w:t>
      </w:r>
      <w:r w:rsidRPr="00057980">
        <w:rPr>
          <w:rFonts w:ascii="Microsoft Sans Serif" w:hAnsi="Microsoft Sans Serif" w:cs="Microsoft Sans Serif"/>
          <w:caps/>
          <w:szCs w:val="24"/>
        </w:rPr>
        <w:t xml:space="preserve"> </w:t>
      </w:r>
      <w:r w:rsidRPr="003901F1">
        <w:rPr>
          <w:rFonts w:ascii="Microsoft Sans Serif" w:hAnsi="Microsoft Sans Serif" w:cs="Microsoft Sans Serif"/>
          <w:caps/>
          <w:noProof/>
          <w:szCs w:val="24"/>
        </w:rPr>
        <w:t>Kennard</w:t>
      </w:r>
      <w:r w:rsidRPr="00057980">
        <w:rPr>
          <w:rFonts w:ascii="Microsoft Sans Serif" w:hAnsi="Microsoft Sans Serif" w:cs="Microsoft Sans Serif"/>
          <w:caps/>
          <w:szCs w:val="24"/>
        </w:rPr>
        <w:t xml:space="preserve"> </w:t>
      </w:r>
      <w:r w:rsidRPr="003901F1">
        <w:rPr>
          <w:rFonts w:ascii="Microsoft Sans Serif" w:hAnsi="Microsoft Sans Serif" w:cs="Microsoft Sans Serif"/>
          <w:caps/>
          <w:noProof/>
          <w:szCs w:val="24"/>
        </w:rPr>
        <w:t>Esquire</w:t>
      </w:r>
    </w:p>
    <w:p w:rsidR="006E1AA0" w:rsidRPr="00057980" w:rsidRDefault="006E1AA0" w:rsidP="006E1AA0">
      <w:pPr>
        <w:rPr>
          <w:rFonts w:ascii="Microsoft Sans Serif" w:hAnsi="Microsoft Sans Serif" w:cs="Microsoft Sans Serif"/>
          <w:caps/>
          <w:szCs w:val="24"/>
        </w:rPr>
      </w:pPr>
      <w:r>
        <w:rPr>
          <w:rFonts w:ascii="Microsoft Sans Serif" w:hAnsi="Microsoft Sans Serif" w:cs="Microsoft Sans Serif"/>
          <w:caps/>
          <w:noProof/>
          <w:szCs w:val="24"/>
        </w:rPr>
        <w:t>charles e thomas iii esquire</w:t>
      </w:r>
    </w:p>
    <w:p w:rsidR="006E1AA0" w:rsidRPr="00057980" w:rsidRDefault="006E1AA0" w:rsidP="006E1AA0">
      <w:pPr>
        <w:rPr>
          <w:rFonts w:ascii="Microsoft Sans Serif" w:hAnsi="Microsoft Sans Serif" w:cs="Microsoft Sans Serif"/>
          <w:caps/>
          <w:szCs w:val="24"/>
        </w:rPr>
      </w:pPr>
      <w:r w:rsidRPr="003901F1">
        <w:rPr>
          <w:rFonts w:ascii="Microsoft Sans Serif" w:hAnsi="Microsoft Sans Serif" w:cs="Microsoft Sans Serif"/>
          <w:caps/>
          <w:noProof/>
          <w:szCs w:val="24"/>
        </w:rPr>
        <w:t>THOMAS LONG NIESEN &amp; KENNARD</w:t>
      </w:r>
    </w:p>
    <w:p w:rsidR="006E1AA0" w:rsidRPr="00057980" w:rsidRDefault="006E1AA0" w:rsidP="006E1AA0">
      <w:pPr>
        <w:rPr>
          <w:rFonts w:ascii="Microsoft Sans Serif" w:hAnsi="Microsoft Sans Serif" w:cs="Microsoft Sans Serif"/>
          <w:caps/>
          <w:szCs w:val="24"/>
        </w:rPr>
      </w:pPr>
      <w:r w:rsidRPr="003901F1">
        <w:rPr>
          <w:rFonts w:ascii="Microsoft Sans Serif" w:hAnsi="Microsoft Sans Serif" w:cs="Microsoft Sans Serif"/>
          <w:caps/>
          <w:noProof/>
          <w:szCs w:val="24"/>
        </w:rPr>
        <w:t>212 Locust Street</w:t>
      </w:r>
    </w:p>
    <w:p w:rsidR="006E1AA0" w:rsidRPr="00057980" w:rsidRDefault="006E1AA0" w:rsidP="006E1AA0">
      <w:pPr>
        <w:rPr>
          <w:rFonts w:ascii="Microsoft Sans Serif" w:hAnsi="Microsoft Sans Serif" w:cs="Microsoft Sans Serif"/>
          <w:caps/>
          <w:szCs w:val="24"/>
        </w:rPr>
      </w:pPr>
      <w:r w:rsidRPr="003901F1">
        <w:rPr>
          <w:rFonts w:ascii="Microsoft Sans Serif" w:hAnsi="Microsoft Sans Serif" w:cs="Microsoft Sans Serif"/>
          <w:caps/>
          <w:noProof/>
          <w:szCs w:val="24"/>
        </w:rPr>
        <w:t>Suite 500</w:t>
      </w:r>
    </w:p>
    <w:p w:rsidR="006E1AA0" w:rsidRPr="00057980" w:rsidRDefault="006E1AA0" w:rsidP="006E1AA0">
      <w:pPr>
        <w:rPr>
          <w:rFonts w:ascii="Microsoft Sans Serif" w:hAnsi="Microsoft Sans Serif" w:cs="Microsoft Sans Serif"/>
          <w:caps/>
          <w:szCs w:val="24"/>
        </w:rPr>
      </w:pPr>
      <w:r w:rsidRPr="003901F1">
        <w:rPr>
          <w:rFonts w:ascii="Microsoft Sans Serif" w:hAnsi="Microsoft Sans Serif" w:cs="Microsoft Sans Serif"/>
          <w:caps/>
          <w:noProof/>
          <w:szCs w:val="24"/>
        </w:rPr>
        <w:t>P.O. Box 9500</w:t>
      </w:r>
    </w:p>
    <w:p w:rsidR="006E1AA0" w:rsidRPr="00057980" w:rsidRDefault="006E1AA0" w:rsidP="006E1AA0">
      <w:pPr>
        <w:rPr>
          <w:rFonts w:ascii="Microsoft Sans Serif" w:hAnsi="Microsoft Sans Serif" w:cs="Microsoft Sans Serif"/>
          <w:caps/>
          <w:szCs w:val="24"/>
        </w:rPr>
      </w:pPr>
      <w:r w:rsidRPr="003901F1">
        <w:rPr>
          <w:rFonts w:ascii="Microsoft Sans Serif" w:hAnsi="Microsoft Sans Serif" w:cs="Microsoft Sans Serif"/>
          <w:caps/>
          <w:noProof/>
          <w:szCs w:val="24"/>
        </w:rPr>
        <w:t>Harrisburg</w:t>
      </w:r>
      <w:r w:rsidRPr="00057980">
        <w:rPr>
          <w:rFonts w:ascii="Microsoft Sans Serif" w:hAnsi="Microsoft Sans Serif" w:cs="Microsoft Sans Serif"/>
          <w:caps/>
          <w:szCs w:val="24"/>
        </w:rPr>
        <w:t xml:space="preserve"> </w:t>
      </w:r>
      <w:r w:rsidRPr="003901F1">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3901F1">
        <w:rPr>
          <w:rFonts w:ascii="Microsoft Sans Serif" w:hAnsi="Microsoft Sans Serif" w:cs="Microsoft Sans Serif"/>
          <w:caps/>
          <w:noProof/>
          <w:szCs w:val="24"/>
        </w:rPr>
        <w:t>17108-9500</w:t>
      </w:r>
    </w:p>
    <w:p w:rsidR="006E1AA0" w:rsidRPr="00057980" w:rsidRDefault="006E1AA0" w:rsidP="006E1AA0">
      <w:pPr>
        <w:rPr>
          <w:rFonts w:ascii="Microsoft Sans Serif" w:hAnsi="Microsoft Sans Serif" w:cs="Microsoft Sans Serif"/>
          <w:caps/>
          <w:szCs w:val="24"/>
        </w:rPr>
      </w:pPr>
      <w:r w:rsidRPr="003901F1">
        <w:rPr>
          <w:rFonts w:ascii="Microsoft Sans Serif" w:hAnsi="Microsoft Sans Serif" w:cs="Microsoft Sans Serif"/>
          <w:b/>
          <w:caps/>
          <w:noProof/>
          <w:szCs w:val="24"/>
        </w:rPr>
        <w:t>717.255.7600</w:t>
      </w:r>
    </w:p>
    <w:p w:rsidR="006E1AA0" w:rsidRDefault="006E1AA0" w:rsidP="006E1AA0">
      <w:pPr>
        <w:rPr>
          <w:rFonts w:ascii="Microsoft Sans Serif" w:hAnsi="Microsoft Sans Serif" w:cs="Microsoft Sans Serif"/>
          <w:caps/>
          <w:szCs w:val="24"/>
        </w:rPr>
      </w:pPr>
    </w:p>
    <w:p w:rsidR="006E1AA0" w:rsidRPr="00057980" w:rsidRDefault="006E1AA0" w:rsidP="006E1AA0">
      <w:pPr>
        <w:rPr>
          <w:rFonts w:ascii="Microsoft Sans Serif" w:hAnsi="Microsoft Sans Serif" w:cs="Microsoft Sans Serif"/>
          <w:caps/>
          <w:szCs w:val="24"/>
        </w:rPr>
      </w:pPr>
      <w:r w:rsidRPr="003901F1">
        <w:rPr>
          <w:rFonts w:ascii="Microsoft Sans Serif" w:hAnsi="Microsoft Sans Serif" w:cs="Microsoft Sans Serif"/>
          <w:caps/>
          <w:noProof/>
          <w:szCs w:val="24"/>
        </w:rPr>
        <w:t>Lee A</w:t>
      </w:r>
      <w:r w:rsidRPr="00057980">
        <w:rPr>
          <w:rFonts w:ascii="Microsoft Sans Serif" w:hAnsi="Microsoft Sans Serif" w:cs="Microsoft Sans Serif"/>
          <w:caps/>
          <w:szCs w:val="24"/>
        </w:rPr>
        <w:t xml:space="preserve"> </w:t>
      </w:r>
      <w:r w:rsidRPr="003901F1">
        <w:rPr>
          <w:rFonts w:ascii="Microsoft Sans Serif" w:hAnsi="Microsoft Sans Serif" w:cs="Microsoft Sans Serif"/>
          <w:caps/>
          <w:noProof/>
          <w:szCs w:val="24"/>
        </w:rPr>
        <w:t>Stivale</w:t>
      </w:r>
      <w:r w:rsidRPr="00057980">
        <w:rPr>
          <w:rFonts w:ascii="Microsoft Sans Serif" w:hAnsi="Microsoft Sans Serif" w:cs="Microsoft Sans Serif"/>
          <w:caps/>
          <w:szCs w:val="24"/>
        </w:rPr>
        <w:t xml:space="preserve"> </w:t>
      </w:r>
      <w:r w:rsidRPr="003901F1">
        <w:rPr>
          <w:rFonts w:ascii="Microsoft Sans Serif" w:hAnsi="Microsoft Sans Serif" w:cs="Microsoft Sans Serif"/>
          <w:caps/>
          <w:noProof/>
          <w:szCs w:val="24"/>
        </w:rPr>
        <w:t>Esquire</w:t>
      </w:r>
    </w:p>
    <w:p w:rsidR="006E1AA0" w:rsidRPr="00057980" w:rsidRDefault="006E1AA0" w:rsidP="006E1AA0">
      <w:pPr>
        <w:rPr>
          <w:rFonts w:ascii="Microsoft Sans Serif" w:hAnsi="Microsoft Sans Serif" w:cs="Microsoft Sans Serif"/>
          <w:caps/>
          <w:szCs w:val="24"/>
        </w:rPr>
      </w:pPr>
      <w:r w:rsidRPr="003901F1">
        <w:rPr>
          <w:rFonts w:ascii="Microsoft Sans Serif" w:hAnsi="Microsoft Sans Serif" w:cs="Microsoft Sans Serif"/>
          <w:caps/>
          <w:noProof/>
          <w:szCs w:val="24"/>
        </w:rPr>
        <w:t>Vincent B Mancini &amp; Associates</w:t>
      </w:r>
    </w:p>
    <w:p w:rsidR="006E1AA0" w:rsidRPr="00057980" w:rsidRDefault="006E1AA0" w:rsidP="006E1AA0">
      <w:pPr>
        <w:rPr>
          <w:rFonts w:ascii="Microsoft Sans Serif" w:hAnsi="Microsoft Sans Serif" w:cs="Microsoft Sans Serif"/>
          <w:caps/>
          <w:szCs w:val="24"/>
        </w:rPr>
      </w:pPr>
      <w:r w:rsidRPr="003901F1">
        <w:rPr>
          <w:rFonts w:ascii="Microsoft Sans Serif" w:hAnsi="Microsoft Sans Serif" w:cs="Microsoft Sans Serif"/>
          <w:caps/>
          <w:noProof/>
          <w:szCs w:val="24"/>
        </w:rPr>
        <w:t>414 East Baltimore Pike</w:t>
      </w:r>
    </w:p>
    <w:p w:rsidR="006E1AA0" w:rsidRPr="00057980" w:rsidRDefault="006E1AA0" w:rsidP="006E1AA0">
      <w:pPr>
        <w:rPr>
          <w:rFonts w:ascii="Microsoft Sans Serif" w:hAnsi="Microsoft Sans Serif" w:cs="Microsoft Sans Serif"/>
          <w:caps/>
          <w:szCs w:val="24"/>
        </w:rPr>
      </w:pPr>
      <w:r w:rsidRPr="003901F1">
        <w:rPr>
          <w:rFonts w:ascii="Microsoft Sans Serif" w:hAnsi="Microsoft Sans Serif" w:cs="Microsoft Sans Serif"/>
          <w:caps/>
          <w:noProof/>
          <w:szCs w:val="24"/>
        </w:rPr>
        <w:t>Media</w:t>
      </w:r>
      <w:r w:rsidRPr="00057980">
        <w:rPr>
          <w:rFonts w:ascii="Microsoft Sans Serif" w:hAnsi="Microsoft Sans Serif" w:cs="Microsoft Sans Serif"/>
          <w:caps/>
          <w:szCs w:val="24"/>
        </w:rPr>
        <w:t xml:space="preserve"> </w:t>
      </w:r>
      <w:r w:rsidRPr="003901F1">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3901F1">
        <w:rPr>
          <w:rFonts w:ascii="Microsoft Sans Serif" w:hAnsi="Microsoft Sans Serif" w:cs="Microsoft Sans Serif"/>
          <w:caps/>
          <w:noProof/>
          <w:szCs w:val="24"/>
        </w:rPr>
        <w:t>19063</w:t>
      </w:r>
    </w:p>
    <w:p w:rsidR="006E1AA0" w:rsidRPr="00057980" w:rsidRDefault="006E1AA0" w:rsidP="006E1AA0">
      <w:pPr>
        <w:rPr>
          <w:rFonts w:ascii="Microsoft Sans Serif" w:hAnsi="Microsoft Sans Serif" w:cs="Microsoft Sans Serif"/>
          <w:caps/>
          <w:szCs w:val="24"/>
        </w:rPr>
      </w:pPr>
      <w:r w:rsidRPr="003901F1">
        <w:rPr>
          <w:rFonts w:ascii="Microsoft Sans Serif" w:hAnsi="Microsoft Sans Serif" w:cs="Microsoft Sans Serif"/>
          <w:b/>
          <w:caps/>
          <w:noProof/>
          <w:szCs w:val="24"/>
        </w:rPr>
        <w:t>610.566.8064</w:t>
      </w:r>
    </w:p>
    <w:p w:rsidR="00E16C06" w:rsidRPr="00C81100" w:rsidRDefault="00E16C06" w:rsidP="005859F8">
      <w:pPr>
        <w:spacing w:line="360" w:lineRule="auto"/>
        <w:rPr>
          <w:sz w:val="24"/>
          <w:szCs w:val="24"/>
        </w:rPr>
      </w:pPr>
    </w:p>
    <w:sectPr w:rsidR="00E16C06" w:rsidRPr="00C81100" w:rsidSect="006E1AA0">
      <w:pgSz w:w="12240" w:h="15840" w:code="1"/>
      <w:pgMar w:top="1440" w:right="720" w:bottom="1440" w:left="720" w:header="720" w:footer="72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71FF" w:rsidRDefault="000D71FF">
      <w:r>
        <w:separator/>
      </w:r>
    </w:p>
  </w:endnote>
  <w:endnote w:type="continuationSeparator" w:id="0">
    <w:p w:rsidR="000D71FF" w:rsidRDefault="000D71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08C2" w:rsidRDefault="00B54A5E" w:rsidP="006B08C2">
    <w:pPr>
      <w:pStyle w:val="Footer"/>
      <w:framePr w:wrap="around" w:vAnchor="text" w:hAnchor="margin" w:xAlign="center" w:y="1"/>
      <w:rPr>
        <w:rStyle w:val="PageNumber"/>
      </w:rPr>
    </w:pPr>
    <w:r>
      <w:rPr>
        <w:rStyle w:val="PageNumber"/>
      </w:rPr>
      <w:fldChar w:fldCharType="begin"/>
    </w:r>
    <w:r w:rsidR="006B08C2">
      <w:rPr>
        <w:rStyle w:val="PageNumber"/>
      </w:rPr>
      <w:instrText xml:space="preserve">PAGE  </w:instrText>
    </w:r>
    <w:r>
      <w:rPr>
        <w:rStyle w:val="PageNumber"/>
      </w:rPr>
      <w:fldChar w:fldCharType="end"/>
    </w:r>
  </w:p>
  <w:p w:rsidR="006B08C2" w:rsidRDefault="006B08C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08C2" w:rsidRDefault="00B54A5E" w:rsidP="006B08C2">
    <w:pPr>
      <w:pStyle w:val="Footer"/>
      <w:framePr w:wrap="around" w:vAnchor="text" w:hAnchor="margin" w:xAlign="center" w:y="1"/>
      <w:rPr>
        <w:rStyle w:val="PageNumber"/>
      </w:rPr>
    </w:pPr>
    <w:r>
      <w:rPr>
        <w:rStyle w:val="PageNumber"/>
      </w:rPr>
      <w:fldChar w:fldCharType="begin"/>
    </w:r>
    <w:r w:rsidR="006B08C2">
      <w:rPr>
        <w:rStyle w:val="PageNumber"/>
      </w:rPr>
      <w:instrText xml:space="preserve">PAGE  </w:instrText>
    </w:r>
    <w:r>
      <w:rPr>
        <w:rStyle w:val="PageNumber"/>
      </w:rPr>
      <w:fldChar w:fldCharType="separate"/>
    </w:r>
    <w:r w:rsidR="006E1AA0">
      <w:rPr>
        <w:rStyle w:val="PageNumber"/>
        <w:noProof/>
      </w:rPr>
      <w:t>5</w:t>
    </w:r>
    <w:r>
      <w:rPr>
        <w:rStyle w:val="PageNumber"/>
      </w:rPr>
      <w:fldChar w:fldCharType="end"/>
    </w:r>
  </w:p>
  <w:p w:rsidR="006B08C2" w:rsidRDefault="006B08C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71FF" w:rsidRDefault="000D71FF">
      <w:r>
        <w:separator/>
      </w:r>
    </w:p>
  </w:footnote>
  <w:footnote w:type="continuationSeparator" w:id="0">
    <w:p w:rsidR="000D71FF" w:rsidRDefault="000D71F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CF62A7"/>
    <w:multiLevelType w:val="hybridMultilevel"/>
    <w:tmpl w:val="6AB4FCB8"/>
    <w:lvl w:ilvl="0" w:tplc="5B66F194">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6B30649B"/>
    <w:multiLevelType w:val="hybridMultilevel"/>
    <w:tmpl w:val="95A441B8"/>
    <w:lvl w:ilvl="0" w:tplc="FA5086AA">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nsid w:val="7E694697"/>
    <w:multiLevelType w:val="hybridMultilevel"/>
    <w:tmpl w:val="60AC33FC"/>
    <w:lvl w:ilvl="0" w:tplc="3AD433F4">
      <w:start w:val="1"/>
      <w:numFmt w:val="lowerLetter"/>
      <w:lvlText w:val="(%1)"/>
      <w:lvlJc w:val="left"/>
      <w:pPr>
        <w:ind w:left="4320" w:hanging="21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rsids>
    <w:rsidRoot w:val="00736CC4"/>
    <w:rsid w:val="00004000"/>
    <w:rsid w:val="00026F22"/>
    <w:rsid w:val="00051C94"/>
    <w:rsid w:val="000B267B"/>
    <w:rsid w:val="000B40DB"/>
    <w:rsid w:val="000B444D"/>
    <w:rsid w:val="000C29CA"/>
    <w:rsid w:val="000D272D"/>
    <w:rsid w:val="000D39CD"/>
    <w:rsid w:val="000D71FF"/>
    <w:rsid w:val="000E62DC"/>
    <w:rsid w:val="000E64D7"/>
    <w:rsid w:val="000F5192"/>
    <w:rsid w:val="001109E2"/>
    <w:rsid w:val="00112B8D"/>
    <w:rsid w:val="00115DAE"/>
    <w:rsid w:val="00115DAF"/>
    <w:rsid w:val="00122DFB"/>
    <w:rsid w:val="00123B64"/>
    <w:rsid w:val="0013115B"/>
    <w:rsid w:val="00150EB1"/>
    <w:rsid w:val="001600B8"/>
    <w:rsid w:val="0016536B"/>
    <w:rsid w:val="0016688B"/>
    <w:rsid w:val="00166B0E"/>
    <w:rsid w:val="00173053"/>
    <w:rsid w:val="001765C3"/>
    <w:rsid w:val="00176B23"/>
    <w:rsid w:val="001B6AD0"/>
    <w:rsid w:val="001C4A15"/>
    <w:rsid w:val="001C5B6F"/>
    <w:rsid w:val="001E1C95"/>
    <w:rsid w:val="001F7F8A"/>
    <w:rsid w:val="00201928"/>
    <w:rsid w:val="002041FA"/>
    <w:rsid w:val="00205356"/>
    <w:rsid w:val="00212490"/>
    <w:rsid w:val="00216631"/>
    <w:rsid w:val="00251B56"/>
    <w:rsid w:val="00261D42"/>
    <w:rsid w:val="00275341"/>
    <w:rsid w:val="00280BAC"/>
    <w:rsid w:val="00290CBB"/>
    <w:rsid w:val="00292054"/>
    <w:rsid w:val="002A3226"/>
    <w:rsid w:val="002B0937"/>
    <w:rsid w:val="002C230B"/>
    <w:rsid w:val="002C7550"/>
    <w:rsid w:val="002F5251"/>
    <w:rsid w:val="003112BF"/>
    <w:rsid w:val="003151F9"/>
    <w:rsid w:val="003212B2"/>
    <w:rsid w:val="00337F8B"/>
    <w:rsid w:val="00343E99"/>
    <w:rsid w:val="00355692"/>
    <w:rsid w:val="0036110F"/>
    <w:rsid w:val="00361125"/>
    <w:rsid w:val="003629FB"/>
    <w:rsid w:val="0037756A"/>
    <w:rsid w:val="003A5BAB"/>
    <w:rsid w:val="003A6970"/>
    <w:rsid w:val="003A6CB8"/>
    <w:rsid w:val="003B0BCE"/>
    <w:rsid w:val="003B1503"/>
    <w:rsid w:val="003C1F8F"/>
    <w:rsid w:val="003F2366"/>
    <w:rsid w:val="003F6F58"/>
    <w:rsid w:val="004032CE"/>
    <w:rsid w:val="00405714"/>
    <w:rsid w:val="00407A27"/>
    <w:rsid w:val="00415A1D"/>
    <w:rsid w:val="00453FAA"/>
    <w:rsid w:val="00454893"/>
    <w:rsid w:val="00466F8B"/>
    <w:rsid w:val="00496408"/>
    <w:rsid w:val="00496B51"/>
    <w:rsid w:val="004A733A"/>
    <w:rsid w:val="004B7358"/>
    <w:rsid w:val="004C0371"/>
    <w:rsid w:val="004E308F"/>
    <w:rsid w:val="005031B5"/>
    <w:rsid w:val="0050701F"/>
    <w:rsid w:val="0051502A"/>
    <w:rsid w:val="00515D30"/>
    <w:rsid w:val="00524411"/>
    <w:rsid w:val="005323F5"/>
    <w:rsid w:val="00550461"/>
    <w:rsid w:val="005560D2"/>
    <w:rsid w:val="00561691"/>
    <w:rsid w:val="005627A7"/>
    <w:rsid w:val="00571EDD"/>
    <w:rsid w:val="00585199"/>
    <w:rsid w:val="005859F8"/>
    <w:rsid w:val="005A7648"/>
    <w:rsid w:val="005B1756"/>
    <w:rsid w:val="005D136A"/>
    <w:rsid w:val="005D395D"/>
    <w:rsid w:val="005E272C"/>
    <w:rsid w:val="0062414C"/>
    <w:rsid w:val="00650F97"/>
    <w:rsid w:val="006619C6"/>
    <w:rsid w:val="0067197F"/>
    <w:rsid w:val="006738E7"/>
    <w:rsid w:val="00673F5D"/>
    <w:rsid w:val="006766C2"/>
    <w:rsid w:val="006837CE"/>
    <w:rsid w:val="00685397"/>
    <w:rsid w:val="006905F4"/>
    <w:rsid w:val="006A2759"/>
    <w:rsid w:val="006A416B"/>
    <w:rsid w:val="006A5CB6"/>
    <w:rsid w:val="006A75B3"/>
    <w:rsid w:val="006B08C2"/>
    <w:rsid w:val="006B789F"/>
    <w:rsid w:val="006C1547"/>
    <w:rsid w:val="006D4B74"/>
    <w:rsid w:val="006E0F54"/>
    <w:rsid w:val="006E1AA0"/>
    <w:rsid w:val="006F40FB"/>
    <w:rsid w:val="00700589"/>
    <w:rsid w:val="00701ABD"/>
    <w:rsid w:val="00722E82"/>
    <w:rsid w:val="007321EA"/>
    <w:rsid w:val="00736CC4"/>
    <w:rsid w:val="00744C95"/>
    <w:rsid w:val="00745EE3"/>
    <w:rsid w:val="00771959"/>
    <w:rsid w:val="0077461C"/>
    <w:rsid w:val="007751E5"/>
    <w:rsid w:val="00775C74"/>
    <w:rsid w:val="00777417"/>
    <w:rsid w:val="00780804"/>
    <w:rsid w:val="007A6F28"/>
    <w:rsid w:val="007B2437"/>
    <w:rsid w:val="007B58A2"/>
    <w:rsid w:val="007C4C3B"/>
    <w:rsid w:val="007C61C9"/>
    <w:rsid w:val="007E11A3"/>
    <w:rsid w:val="007E5F82"/>
    <w:rsid w:val="007E6BA7"/>
    <w:rsid w:val="007F132E"/>
    <w:rsid w:val="007F29A5"/>
    <w:rsid w:val="007F5BC0"/>
    <w:rsid w:val="007F72E0"/>
    <w:rsid w:val="008011FE"/>
    <w:rsid w:val="008032DA"/>
    <w:rsid w:val="00806F7E"/>
    <w:rsid w:val="00807CE1"/>
    <w:rsid w:val="00810B69"/>
    <w:rsid w:val="008201CE"/>
    <w:rsid w:val="00826B21"/>
    <w:rsid w:val="00827446"/>
    <w:rsid w:val="00833A51"/>
    <w:rsid w:val="008417C9"/>
    <w:rsid w:val="008514E6"/>
    <w:rsid w:val="008675F2"/>
    <w:rsid w:val="0087075E"/>
    <w:rsid w:val="008713FF"/>
    <w:rsid w:val="008745A3"/>
    <w:rsid w:val="00882840"/>
    <w:rsid w:val="00897EEA"/>
    <w:rsid w:val="008F2448"/>
    <w:rsid w:val="009119CA"/>
    <w:rsid w:val="00912C55"/>
    <w:rsid w:val="009152CE"/>
    <w:rsid w:val="009157C0"/>
    <w:rsid w:val="0093282A"/>
    <w:rsid w:val="00933192"/>
    <w:rsid w:val="00934E8E"/>
    <w:rsid w:val="00940F50"/>
    <w:rsid w:val="00941E1D"/>
    <w:rsid w:val="0094378D"/>
    <w:rsid w:val="00956F51"/>
    <w:rsid w:val="009656ED"/>
    <w:rsid w:val="009A01B1"/>
    <w:rsid w:val="009C4823"/>
    <w:rsid w:val="009D205E"/>
    <w:rsid w:val="009D67F1"/>
    <w:rsid w:val="009E103C"/>
    <w:rsid w:val="009E7BFB"/>
    <w:rsid w:val="009F1C01"/>
    <w:rsid w:val="00A01330"/>
    <w:rsid w:val="00A07660"/>
    <w:rsid w:val="00A4149A"/>
    <w:rsid w:val="00A45226"/>
    <w:rsid w:val="00A66698"/>
    <w:rsid w:val="00AA4D9A"/>
    <w:rsid w:val="00AA56DB"/>
    <w:rsid w:val="00AB18C4"/>
    <w:rsid w:val="00AB2A2D"/>
    <w:rsid w:val="00AC1591"/>
    <w:rsid w:val="00AE6262"/>
    <w:rsid w:val="00AE771B"/>
    <w:rsid w:val="00AF1265"/>
    <w:rsid w:val="00AF288A"/>
    <w:rsid w:val="00AF4CC4"/>
    <w:rsid w:val="00B218EC"/>
    <w:rsid w:val="00B23652"/>
    <w:rsid w:val="00B4086D"/>
    <w:rsid w:val="00B46117"/>
    <w:rsid w:val="00B54A5E"/>
    <w:rsid w:val="00B66AD6"/>
    <w:rsid w:val="00B86061"/>
    <w:rsid w:val="00BA21A5"/>
    <w:rsid w:val="00BA4494"/>
    <w:rsid w:val="00BB63B5"/>
    <w:rsid w:val="00BC3D6A"/>
    <w:rsid w:val="00BC779E"/>
    <w:rsid w:val="00BD2D47"/>
    <w:rsid w:val="00BE2EC5"/>
    <w:rsid w:val="00BE5464"/>
    <w:rsid w:val="00BF0ABC"/>
    <w:rsid w:val="00BF0AD6"/>
    <w:rsid w:val="00C05652"/>
    <w:rsid w:val="00C07D26"/>
    <w:rsid w:val="00C170D9"/>
    <w:rsid w:val="00C25D50"/>
    <w:rsid w:val="00C26FD2"/>
    <w:rsid w:val="00C2737B"/>
    <w:rsid w:val="00C56F78"/>
    <w:rsid w:val="00C65822"/>
    <w:rsid w:val="00C6607C"/>
    <w:rsid w:val="00C73E77"/>
    <w:rsid w:val="00C743BB"/>
    <w:rsid w:val="00C751CE"/>
    <w:rsid w:val="00C75886"/>
    <w:rsid w:val="00C81100"/>
    <w:rsid w:val="00C851DD"/>
    <w:rsid w:val="00C85CA5"/>
    <w:rsid w:val="00C90DD7"/>
    <w:rsid w:val="00CB029D"/>
    <w:rsid w:val="00CB60AD"/>
    <w:rsid w:val="00CC2590"/>
    <w:rsid w:val="00CF2C2D"/>
    <w:rsid w:val="00D03BA7"/>
    <w:rsid w:val="00D117C7"/>
    <w:rsid w:val="00D127BB"/>
    <w:rsid w:val="00D27B46"/>
    <w:rsid w:val="00D30B1E"/>
    <w:rsid w:val="00D42453"/>
    <w:rsid w:val="00D52DAE"/>
    <w:rsid w:val="00D55527"/>
    <w:rsid w:val="00D70DCE"/>
    <w:rsid w:val="00D717C3"/>
    <w:rsid w:val="00D73A33"/>
    <w:rsid w:val="00D87B3D"/>
    <w:rsid w:val="00DA09A7"/>
    <w:rsid w:val="00DB036A"/>
    <w:rsid w:val="00DB273F"/>
    <w:rsid w:val="00DC656B"/>
    <w:rsid w:val="00DD1D22"/>
    <w:rsid w:val="00DF00FE"/>
    <w:rsid w:val="00DF0230"/>
    <w:rsid w:val="00E01DD4"/>
    <w:rsid w:val="00E04142"/>
    <w:rsid w:val="00E10271"/>
    <w:rsid w:val="00E10414"/>
    <w:rsid w:val="00E16C06"/>
    <w:rsid w:val="00E23E84"/>
    <w:rsid w:val="00E401C7"/>
    <w:rsid w:val="00E4073C"/>
    <w:rsid w:val="00E5495C"/>
    <w:rsid w:val="00E8320B"/>
    <w:rsid w:val="00EC358C"/>
    <w:rsid w:val="00EC42DA"/>
    <w:rsid w:val="00ED21B9"/>
    <w:rsid w:val="00EF6711"/>
    <w:rsid w:val="00F10EDB"/>
    <w:rsid w:val="00F17EFA"/>
    <w:rsid w:val="00F2122C"/>
    <w:rsid w:val="00F228FB"/>
    <w:rsid w:val="00F239BA"/>
    <w:rsid w:val="00F25149"/>
    <w:rsid w:val="00F26904"/>
    <w:rsid w:val="00F278E4"/>
    <w:rsid w:val="00F44AA0"/>
    <w:rsid w:val="00F6330A"/>
    <w:rsid w:val="00F765A5"/>
    <w:rsid w:val="00F81994"/>
    <w:rsid w:val="00F9166E"/>
    <w:rsid w:val="00FA1BCE"/>
    <w:rsid w:val="00FA50CC"/>
    <w:rsid w:val="00FB1F41"/>
    <w:rsid w:val="00FE28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321EA"/>
    <w:pPr>
      <w:autoSpaceDE w:val="0"/>
      <w:autoSpaceDN w:val="0"/>
    </w:pPr>
  </w:style>
  <w:style w:type="paragraph" w:styleId="Heading1">
    <w:name w:val="heading 1"/>
    <w:basedOn w:val="Normal"/>
    <w:next w:val="Normal"/>
    <w:qFormat/>
    <w:rsid w:val="007321EA"/>
    <w:pPr>
      <w:keepNext/>
      <w:widowControl w:val="0"/>
      <w:outlineLvl w:val="0"/>
    </w:pPr>
    <w:rPr>
      <w:sz w:val="26"/>
      <w:szCs w:val="26"/>
    </w:rPr>
  </w:style>
  <w:style w:type="paragraph" w:styleId="Heading2">
    <w:name w:val="heading 2"/>
    <w:basedOn w:val="Normal"/>
    <w:next w:val="Normal"/>
    <w:qFormat/>
    <w:rsid w:val="007321EA"/>
    <w:pPr>
      <w:keepNext/>
      <w:widowControl w:val="0"/>
      <w:spacing w:line="360" w:lineRule="auto"/>
      <w:jc w:val="center"/>
      <w:outlineLvl w:val="1"/>
    </w:pPr>
    <w:rPr>
      <w:b/>
      <w:bCs/>
      <w:sz w:val="26"/>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7321EA"/>
    <w:pPr>
      <w:widowControl w:val="0"/>
      <w:spacing w:line="360" w:lineRule="auto"/>
      <w:ind w:firstLine="1440"/>
    </w:pPr>
    <w:rPr>
      <w:sz w:val="26"/>
      <w:szCs w:val="26"/>
    </w:rPr>
  </w:style>
  <w:style w:type="paragraph" w:styleId="BodyTextIndent2">
    <w:name w:val="Body Text Indent 2"/>
    <w:basedOn w:val="Normal"/>
    <w:rsid w:val="007321EA"/>
    <w:pPr>
      <w:widowControl w:val="0"/>
      <w:spacing w:line="360" w:lineRule="auto"/>
      <w:ind w:left="1440" w:firstLine="720"/>
    </w:pPr>
    <w:rPr>
      <w:sz w:val="26"/>
      <w:szCs w:val="26"/>
    </w:rPr>
  </w:style>
  <w:style w:type="paragraph" w:styleId="BodyTextIndent3">
    <w:name w:val="Body Text Indent 3"/>
    <w:basedOn w:val="Normal"/>
    <w:rsid w:val="007321EA"/>
    <w:pPr>
      <w:widowControl w:val="0"/>
      <w:spacing w:line="480" w:lineRule="atLeast"/>
      <w:ind w:firstLine="720"/>
      <w:jc w:val="both"/>
    </w:pPr>
    <w:rPr>
      <w:sz w:val="26"/>
      <w:szCs w:val="26"/>
    </w:rPr>
  </w:style>
  <w:style w:type="paragraph" w:customStyle="1" w:styleId="ParaTab1">
    <w:name w:val="ParaTab 1"/>
    <w:rsid w:val="007321EA"/>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rsid w:val="006B08C2"/>
    <w:pPr>
      <w:tabs>
        <w:tab w:val="center" w:pos="4320"/>
        <w:tab w:val="right" w:pos="8640"/>
      </w:tabs>
    </w:pPr>
  </w:style>
  <w:style w:type="character" w:styleId="PageNumber">
    <w:name w:val="page number"/>
    <w:basedOn w:val="DefaultParagraphFont"/>
    <w:rsid w:val="006B08C2"/>
  </w:style>
  <w:style w:type="character" w:styleId="Hyperlink">
    <w:name w:val="Hyperlink"/>
    <w:basedOn w:val="DefaultParagraphFont"/>
    <w:rsid w:val="003212B2"/>
    <w:rPr>
      <w:color w:val="0000FF"/>
      <w:u w:val="single"/>
    </w:rPr>
  </w:style>
  <w:style w:type="paragraph" w:styleId="ListParagraph">
    <w:name w:val="List Paragraph"/>
    <w:basedOn w:val="Normal"/>
    <w:uiPriority w:val="34"/>
    <w:qFormat/>
    <w:rsid w:val="00DD1D22"/>
    <w:pPr>
      <w:ind w:left="720"/>
    </w:pPr>
  </w:style>
  <w:style w:type="paragraph" w:styleId="FootnoteText">
    <w:name w:val="footnote text"/>
    <w:basedOn w:val="Normal"/>
    <w:link w:val="FootnoteTextChar"/>
    <w:rsid w:val="00EC358C"/>
  </w:style>
  <w:style w:type="character" w:customStyle="1" w:styleId="FootnoteTextChar">
    <w:name w:val="Footnote Text Char"/>
    <w:basedOn w:val="DefaultParagraphFont"/>
    <w:link w:val="FootnoteText"/>
    <w:rsid w:val="00EC358C"/>
  </w:style>
  <w:style w:type="character" w:styleId="FootnoteReference">
    <w:name w:val="footnote reference"/>
    <w:basedOn w:val="DefaultParagraphFont"/>
    <w:uiPriority w:val="99"/>
    <w:rsid w:val="00EC358C"/>
    <w:rPr>
      <w:vertAlign w:val="superscript"/>
    </w:rPr>
  </w:style>
  <w:style w:type="paragraph" w:styleId="NoSpacing">
    <w:name w:val="No Spacing"/>
    <w:uiPriority w:val="1"/>
    <w:qFormat/>
    <w:rsid w:val="009C4823"/>
    <w:rPr>
      <w:rFonts w:asciiTheme="minorHAnsi" w:eastAsiaTheme="minorHAnsi"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divs>
    <w:div w:id="237449688">
      <w:bodyDiv w:val="1"/>
      <w:marLeft w:val="0"/>
      <w:marRight w:val="0"/>
      <w:marTop w:val="0"/>
      <w:marBottom w:val="0"/>
      <w:divBdr>
        <w:top w:val="none" w:sz="0" w:space="0" w:color="auto"/>
        <w:left w:val="none" w:sz="0" w:space="0" w:color="auto"/>
        <w:bottom w:val="none" w:sz="0" w:space="0" w:color="auto"/>
        <w:right w:val="none" w:sz="0" w:space="0" w:color="auto"/>
      </w:divBdr>
    </w:div>
    <w:div w:id="264969613">
      <w:bodyDiv w:val="1"/>
      <w:marLeft w:val="0"/>
      <w:marRight w:val="0"/>
      <w:marTop w:val="0"/>
      <w:marBottom w:val="0"/>
      <w:divBdr>
        <w:top w:val="none" w:sz="0" w:space="0" w:color="auto"/>
        <w:left w:val="none" w:sz="0" w:space="0" w:color="auto"/>
        <w:bottom w:val="none" w:sz="0" w:space="0" w:color="auto"/>
        <w:right w:val="none" w:sz="0" w:space="0" w:color="auto"/>
      </w:divBdr>
    </w:div>
    <w:div w:id="293218994">
      <w:bodyDiv w:val="1"/>
      <w:marLeft w:val="0"/>
      <w:marRight w:val="0"/>
      <w:marTop w:val="0"/>
      <w:marBottom w:val="0"/>
      <w:divBdr>
        <w:top w:val="none" w:sz="0" w:space="0" w:color="auto"/>
        <w:left w:val="none" w:sz="0" w:space="0" w:color="auto"/>
        <w:bottom w:val="none" w:sz="0" w:space="0" w:color="auto"/>
        <w:right w:val="none" w:sz="0" w:space="0" w:color="auto"/>
      </w:divBdr>
    </w:div>
    <w:div w:id="831681240">
      <w:bodyDiv w:val="1"/>
      <w:marLeft w:val="0"/>
      <w:marRight w:val="0"/>
      <w:marTop w:val="0"/>
      <w:marBottom w:val="0"/>
      <w:divBdr>
        <w:top w:val="none" w:sz="0" w:space="0" w:color="auto"/>
        <w:left w:val="none" w:sz="0" w:space="0" w:color="auto"/>
        <w:bottom w:val="none" w:sz="0" w:space="0" w:color="auto"/>
        <w:right w:val="none" w:sz="0" w:space="0" w:color="auto"/>
      </w:divBdr>
      <w:divsChild>
        <w:div w:id="21180182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4603659">
      <w:bodyDiv w:val="1"/>
      <w:marLeft w:val="0"/>
      <w:marRight w:val="0"/>
      <w:marTop w:val="0"/>
      <w:marBottom w:val="0"/>
      <w:divBdr>
        <w:top w:val="none" w:sz="0" w:space="0" w:color="auto"/>
        <w:left w:val="none" w:sz="0" w:space="0" w:color="auto"/>
        <w:bottom w:val="none" w:sz="0" w:space="0" w:color="auto"/>
        <w:right w:val="none" w:sz="0" w:space="0" w:color="auto"/>
      </w:divBdr>
    </w:div>
    <w:div w:id="1642495279">
      <w:bodyDiv w:val="1"/>
      <w:marLeft w:val="0"/>
      <w:marRight w:val="0"/>
      <w:marTop w:val="0"/>
      <w:marBottom w:val="0"/>
      <w:divBdr>
        <w:top w:val="none" w:sz="0" w:space="0" w:color="auto"/>
        <w:left w:val="none" w:sz="0" w:space="0" w:color="auto"/>
        <w:bottom w:val="none" w:sz="0" w:space="0" w:color="auto"/>
        <w:right w:val="none" w:sz="0" w:space="0" w:color="auto"/>
      </w:divBdr>
    </w:div>
    <w:div w:id="1795445866">
      <w:bodyDiv w:val="1"/>
      <w:marLeft w:val="0"/>
      <w:marRight w:val="0"/>
      <w:marTop w:val="0"/>
      <w:marBottom w:val="0"/>
      <w:divBdr>
        <w:top w:val="none" w:sz="0" w:space="0" w:color="auto"/>
        <w:left w:val="none" w:sz="0" w:space="0" w:color="auto"/>
        <w:bottom w:val="none" w:sz="0" w:space="0" w:color="auto"/>
        <w:right w:val="none" w:sz="0" w:space="0" w:color="auto"/>
      </w:divBdr>
    </w:div>
    <w:div w:id="1827624284">
      <w:bodyDiv w:val="1"/>
      <w:marLeft w:val="0"/>
      <w:marRight w:val="0"/>
      <w:marTop w:val="0"/>
      <w:marBottom w:val="0"/>
      <w:divBdr>
        <w:top w:val="none" w:sz="0" w:space="0" w:color="auto"/>
        <w:left w:val="none" w:sz="0" w:space="0" w:color="auto"/>
        <w:bottom w:val="none" w:sz="0" w:space="0" w:color="auto"/>
        <w:right w:val="none" w:sz="0" w:space="0" w:color="auto"/>
      </w:divBdr>
      <w:divsChild>
        <w:div w:id="2006290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7264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448852-6E6D-4906-BB78-F2C120F6FA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1378</Words>
  <Characters>7861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9221</CharactersWithSpaces>
  <SharedDoc>false</SharedDoc>
  <HLinks>
    <vt:vector size="6" baseType="variant">
      <vt:variant>
        <vt:i4>4718638</vt:i4>
      </vt:variant>
      <vt:variant>
        <vt:i4>0</vt:i4>
      </vt:variant>
      <vt:variant>
        <vt:i4>0</vt:i4>
      </vt:variant>
      <vt:variant>
        <vt:i4>5</vt:i4>
      </vt:variant>
      <vt:variant>
        <vt:lpwstr>mailto:debuckley@state.pa.us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ALJCOMMON</dc:creator>
  <cp:keywords/>
  <dc:description/>
  <cp:lastModifiedBy>astout</cp:lastModifiedBy>
  <cp:revision>3</cp:revision>
  <cp:lastPrinted>2011-08-08T20:10:00Z</cp:lastPrinted>
  <dcterms:created xsi:type="dcterms:W3CDTF">2011-08-11T14:53:00Z</dcterms:created>
  <dcterms:modified xsi:type="dcterms:W3CDTF">2011-08-11T14:58:00Z</dcterms:modified>
</cp:coreProperties>
</file>