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6D33B5" w:rsidRPr="00E22703" w:rsidRDefault="00865FE8">
      <w:r>
        <w:t>J3 Energy Group, Inc.</w:t>
      </w:r>
      <w:r>
        <w:tab/>
      </w:r>
      <w:r>
        <w:tab/>
      </w:r>
      <w:r>
        <w:tab/>
      </w:r>
      <w:r w:rsidR="00555AB2">
        <w:tab/>
      </w:r>
      <w:r w:rsidR="006D33B5" w:rsidRPr="00E22703">
        <w:tab/>
        <w:t>:</w:t>
      </w:r>
    </w:p>
    <w:p w:rsidR="00E22703" w:rsidRDefault="00E21F02">
      <w:r>
        <w:tab/>
      </w:r>
      <w:r>
        <w:tab/>
      </w:r>
      <w:r>
        <w:tab/>
      </w:r>
      <w:r>
        <w:tab/>
      </w:r>
      <w:r>
        <w:tab/>
      </w:r>
      <w:r>
        <w:tab/>
      </w:r>
      <w:r>
        <w:tab/>
        <w:t>:</w:t>
      </w:r>
    </w:p>
    <w:p w:rsidR="00E21F02" w:rsidRDefault="00E21F02">
      <w:r>
        <w:tab/>
      </w:r>
      <w:r>
        <w:tab/>
        <w:t>v.</w:t>
      </w:r>
      <w:r>
        <w:tab/>
      </w:r>
      <w:r>
        <w:tab/>
      </w:r>
      <w:r>
        <w:tab/>
      </w:r>
      <w:r>
        <w:tab/>
      </w:r>
      <w:r>
        <w:tab/>
        <w:t>:</w:t>
      </w:r>
      <w:r>
        <w:tab/>
      </w:r>
      <w:r w:rsidR="00865FE8">
        <w:t>C-2011-2219920</w:t>
      </w:r>
    </w:p>
    <w:p w:rsidR="00865FE8" w:rsidRDefault="00865FE8">
      <w:r>
        <w:tab/>
      </w:r>
      <w:r>
        <w:tab/>
      </w:r>
      <w:r>
        <w:tab/>
      </w:r>
      <w:r>
        <w:tab/>
      </w:r>
      <w:r>
        <w:tab/>
      </w:r>
      <w:r>
        <w:tab/>
      </w:r>
      <w:r>
        <w:tab/>
        <w:t>:</w:t>
      </w:r>
    </w:p>
    <w:p w:rsidR="00865FE8" w:rsidRDefault="00865FE8">
      <w:r>
        <w:t>West Penn Power Company</w:t>
      </w:r>
      <w:r>
        <w:tab/>
      </w:r>
      <w:r>
        <w:tab/>
      </w:r>
      <w:r>
        <w:tab/>
      </w:r>
      <w:r>
        <w:tab/>
        <w:t>:</w:t>
      </w:r>
    </w:p>
    <w:p w:rsidR="00E21F02" w:rsidRDefault="00E21F02"/>
    <w:p w:rsidR="00E22703" w:rsidRPr="00E22703" w:rsidRDefault="00E22703"/>
    <w:p w:rsidR="00922597" w:rsidRDefault="00B93070" w:rsidP="00922597">
      <w:pPr>
        <w:tabs>
          <w:tab w:val="center" w:pos="4680"/>
        </w:tabs>
        <w:suppressAutoHyphens/>
        <w:jc w:val="center"/>
        <w:rPr>
          <w:b/>
          <w:spacing w:val="-3"/>
          <w:u w:val="single"/>
        </w:rPr>
      </w:pPr>
      <w:r>
        <w:rPr>
          <w:b/>
          <w:spacing w:val="-3"/>
          <w:u w:val="single"/>
        </w:rPr>
        <w:t>SCHEDULING ORDER</w:t>
      </w:r>
      <w:r w:rsidR="00CE701C" w:rsidRPr="00BF3A95">
        <w:rPr>
          <w:b/>
          <w:spacing w:val="-3"/>
          <w:u w:val="single"/>
        </w:rPr>
        <w:t xml:space="preserve"> </w:t>
      </w:r>
    </w:p>
    <w:p w:rsidR="00B759BF" w:rsidRDefault="00B759BF" w:rsidP="00922597">
      <w:pPr>
        <w:tabs>
          <w:tab w:val="center" w:pos="4680"/>
        </w:tabs>
        <w:suppressAutoHyphens/>
        <w:jc w:val="center"/>
        <w:rPr>
          <w:spacing w:val="-3"/>
        </w:rPr>
      </w:pPr>
    </w:p>
    <w:p w:rsidR="007B76C4" w:rsidRPr="007B76C4" w:rsidRDefault="007B76C4" w:rsidP="00922597">
      <w:pPr>
        <w:tabs>
          <w:tab w:val="center" w:pos="4680"/>
        </w:tabs>
        <w:suppressAutoHyphens/>
        <w:jc w:val="center"/>
        <w:rPr>
          <w:spacing w:val="-3"/>
        </w:rPr>
      </w:pPr>
    </w:p>
    <w:p w:rsidR="00865FE8" w:rsidRDefault="00B93070">
      <w:pPr>
        <w:spacing w:line="360" w:lineRule="auto"/>
        <w:ind w:firstLine="1440"/>
      </w:pPr>
      <w:r>
        <w:t xml:space="preserve">On </w:t>
      </w:r>
      <w:r w:rsidR="00865FE8">
        <w:t xml:space="preserve">January 10, 2011, J3 Energy Group, Inc. (“J3”) filed a formal complaint contending that West Penn Power Company (“West Penn”) had incorrectly evaluated the bid that J3 had submitted to supply solar photovoltaic alternative energy credits (“SPAECs”) in response to a competitive Request For Proposals (“RFP”) issued by West Penn.  J3’s bid </w:t>
      </w:r>
      <w:r w:rsidR="003776BF">
        <w:t>had not been</w:t>
      </w:r>
      <w:r w:rsidR="00865FE8">
        <w:t xml:space="preserve"> selected in the RFP process.</w:t>
      </w:r>
    </w:p>
    <w:p w:rsidR="00865FE8" w:rsidRDefault="00865FE8">
      <w:pPr>
        <w:spacing w:line="360" w:lineRule="auto"/>
        <w:ind w:firstLine="1440"/>
      </w:pPr>
    </w:p>
    <w:p w:rsidR="00A97EAA" w:rsidRDefault="00A97EAA">
      <w:pPr>
        <w:spacing w:line="360" w:lineRule="auto"/>
        <w:ind w:firstLine="1440"/>
      </w:pPr>
      <w:r>
        <w:t xml:space="preserve">West Penn answered the Complaint on February 2, 2011, and stated that its evaluation of J3’s SPAEC bid proposal was correct.  West Penn stated that it followed its default service procurement process for SPAECs, as approved by the Commission Order entered September 8, 2010, at Docket No. P-00072342, and that West Penn’s competitive bid solicitation was further conducted pursuant to Commission regulations at 52 Pa. Code § 54.186. </w:t>
      </w:r>
    </w:p>
    <w:p w:rsidR="00A97EAA" w:rsidRDefault="00A97EAA">
      <w:pPr>
        <w:spacing w:line="360" w:lineRule="auto"/>
        <w:ind w:firstLine="1440"/>
      </w:pPr>
    </w:p>
    <w:p w:rsidR="006D33B5" w:rsidRDefault="003F03EA">
      <w:pPr>
        <w:spacing w:line="360" w:lineRule="auto"/>
        <w:ind w:firstLine="1440"/>
      </w:pPr>
      <w:r>
        <w:t xml:space="preserve">A Prehearing Conference was held in the above-captioned matter on </w:t>
      </w:r>
      <w:r w:rsidR="00A51778">
        <w:t>Mon</w:t>
      </w:r>
      <w:r>
        <w:t xml:space="preserve">day, </w:t>
      </w:r>
      <w:r w:rsidR="00A51778">
        <w:t>August</w:t>
      </w:r>
      <w:r>
        <w:t xml:space="preserve"> 8, 2011</w:t>
      </w:r>
      <w:r w:rsidR="005F5D43">
        <w:t>.</w:t>
      </w:r>
      <w:r>
        <w:t xml:space="preserve">  All active parties participated and presented prehearing memoranda in advance of the Prehearing Conference.</w:t>
      </w:r>
      <w:r w:rsidR="00DB50FE">
        <w:t xml:space="preserve"> </w:t>
      </w:r>
    </w:p>
    <w:p w:rsidR="003F03EA" w:rsidRDefault="003F03EA">
      <w:pPr>
        <w:spacing w:line="360" w:lineRule="auto"/>
        <w:ind w:firstLine="1440"/>
      </w:pPr>
    </w:p>
    <w:p w:rsidR="003F03EA" w:rsidRDefault="00C15A65">
      <w:pPr>
        <w:spacing w:line="360" w:lineRule="auto"/>
        <w:ind w:firstLine="1440"/>
      </w:pPr>
      <w:r>
        <w:t>The following counsel appeared at the Prehearing Conference:</w:t>
      </w:r>
      <w:r w:rsidR="006B1814">
        <w:t xml:space="preserve">  John </w:t>
      </w:r>
      <w:r w:rsidR="00A51778">
        <w:t xml:space="preserve">L. </w:t>
      </w:r>
      <w:proofErr w:type="spellStart"/>
      <w:r w:rsidR="00A51778">
        <w:t>Munsch</w:t>
      </w:r>
      <w:proofErr w:type="spellEnd"/>
      <w:r w:rsidR="006B1814">
        <w:t xml:space="preserve">, Esquire, on behalf of </w:t>
      </w:r>
      <w:r w:rsidR="00A51778">
        <w:t>West Penn</w:t>
      </w:r>
      <w:r w:rsidR="006B1814">
        <w:t>;</w:t>
      </w:r>
      <w:r w:rsidR="00A51778">
        <w:t xml:space="preserve"> and Thomas J. </w:t>
      </w:r>
      <w:proofErr w:type="spellStart"/>
      <w:r w:rsidR="00A51778">
        <w:t>Russial</w:t>
      </w:r>
      <w:proofErr w:type="spellEnd"/>
      <w:r w:rsidR="00A51778">
        <w:t xml:space="preserve">, Esquire, </w:t>
      </w:r>
      <w:r w:rsidR="006B1814">
        <w:t xml:space="preserve">on behalf of </w:t>
      </w:r>
      <w:r w:rsidR="00A51778">
        <w:t>J3</w:t>
      </w:r>
      <w:r w:rsidR="006B1814">
        <w:t>.</w:t>
      </w:r>
    </w:p>
    <w:p w:rsidR="00DB50FE" w:rsidRDefault="00DB50FE">
      <w:pPr>
        <w:spacing w:line="360" w:lineRule="auto"/>
        <w:ind w:firstLine="1440"/>
      </w:pPr>
    </w:p>
    <w:p w:rsidR="00D35F13" w:rsidRPr="00DB50FE" w:rsidRDefault="00D35F13" w:rsidP="00DB50FE">
      <w:pPr>
        <w:spacing w:line="360" w:lineRule="auto"/>
      </w:pPr>
    </w:p>
    <w:p w:rsidR="00317423" w:rsidRDefault="00317423">
      <w:pPr>
        <w:spacing w:line="360" w:lineRule="auto"/>
        <w:ind w:firstLine="1440"/>
      </w:pPr>
      <w:r>
        <w:lastRenderedPageBreak/>
        <w:t>The following matters were addressed</w:t>
      </w:r>
      <w:r w:rsidR="00A04E55">
        <w:t xml:space="preserve"> at the prehearing conference</w:t>
      </w:r>
      <w:r>
        <w:t xml:space="preserve">:  (1) </w:t>
      </w:r>
      <w:r w:rsidR="00A51778">
        <w:t xml:space="preserve">discovery </w:t>
      </w:r>
      <w:r w:rsidR="00C040E9">
        <w:t>matters</w:t>
      </w:r>
      <w:r>
        <w:t xml:space="preserve">; (2) </w:t>
      </w:r>
      <w:r w:rsidR="00231FB0">
        <w:t>procedural deadlines and hearing dates; (</w:t>
      </w:r>
      <w:r w:rsidR="00C040E9">
        <w:t>3</w:t>
      </w:r>
      <w:r w:rsidR="00231FB0">
        <w:t xml:space="preserve">) service of documents; </w:t>
      </w:r>
      <w:r w:rsidR="00C040E9">
        <w:t xml:space="preserve">and </w:t>
      </w:r>
      <w:r w:rsidR="00231FB0">
        <w:t>(</w:t>
      </w:r>
      <w:r w:rsidR="00C040E9">
        <w:t>4</w:t>
      </w:r>
      <w:r w:rsidR="00231FB0">
        <w:t xml:space="preserve">) </w:t>
      </w:r>
      <w:r w:rsidR="00C040E9">
        <w:t xml:space="preserve">a </w:t>
      </w:r>
      <w:r w:rsidR="00231FB0">
        <w:t>settlement conference.  These matters are discussed below.</w:t>
      </w:r>
    </w:p>
    <w:p w:rsidR="002567F5" w:rsidRDefault="002567F5" w:rsidP="00CC214E">
      <w:pPr>
        <w:spacing w:line="360" w:lineRule="auto"/>
        <w:rPr>
          <w:u w:val="single"/>
        </w:rPr>
      </w:pPr>
    </w:p>
    <w:p w:rsidR="00086E61" w:rsidRDefault="00086E61" w:rsidP="00CC214E">
      <w:pPr>
        <w:spacing w:line="360" w:lineRule="auto"/>
      </w:pPr>
      <w:r>
        <w:rPr>
          <w:u w:val="single"/>
        </w:rPr>
        <w:t>Procedural Schedule</w:t>
      </w:r>
    </w:p>
    <w:p w:rsidR="003776BF" w:rsidRDefault="00086E61" w:rsidP="008446DD">
      <w:pPr>
        <w:spacing w:line="360" w:lineRule="auto"/>
      </w:pPr>
      <w:r>
        <w:tab/>
      </w:r>
    </w:p>
    <w:p w:rsidR="008446DD" w:rsidRDefault="003776BF" w:rsidP="008446DD">
      <w:pPr>
        <w:spacing w:line="360" w:lineRule="auto"/>
      </w:pPr>
      <w:r>
        <w:tab/>
      </w:r>
      <w:r w:rsidR="008446DD">
        <w:t>The procedural schedule is as follows:</w:t>
      </w:r>
    </w:p>
    <w:p w:rsidR="007B10A0" w:rsidRDefault="007B10A0" w:rsidP="007B10A0">
      <w:pPr>
        <w:spacing w:line="360" w:lineRule="auto"/>
      </w:pPr>
    </w:p>
    <w:p w:rsidR="007B10A0" w:rsidRDefault="007B10A0" w:rsidP="007B10A0">
      <w:pPr>
        <w:spacing w:line="360" w:lineRule="auto"/>
      </w:pPr>
      <w:r>
        <w:t>Prehearing Conference</w:t>
      </w:r>
      <w:r>
        <w:tab/>
      </w:r>
      <w:r>
        <w:tab/>
      </w:r>
      <w:r>
        <w:tab/>
      </w:r>
      <w:r>
        <w:tab/>
        <w:t>August 8, 2011</w:t>
      </w:r>
    </w:p>
    <w:p w:rsidR="007B10A0" w:rsidRDefault="007B10A0" w:rsidP="007B10A0">
      <w:pPr>
        <w:spacing w:line="360" w:lineRule="auto"/>
      </w:pPr>
      <w:r>
        <w:t>Settlement Conference</w:t>
      </w:r>
      <w:r>
        <w:tab/>
      </w:r>
      <w:r>
        <w:tab/>
      </w:r>
      <w:r>
        <w:tab/>
      </w:r>
      <w:r>
        <w:tab/>
        <w:t>September 15, 2011</w:t>
      </w:r>
    </w:p>
    <w:p w:rsidR="007B10A0" w:rsidRDefault="007B10A0" w:rsidP="007B10A0">
      <w:pPr>
        <w:spacing w:line="360" w:lineRule="auto"/>
      </w:pPr>
      <w:r>
        <w:t>All parties serve written Testimony</w:t>
      </w:r>
      <w:r>
        <w:tab/>
      </w:r>
      <w:r>
        <w:tab/>
      </w:r>
      <w:r>
        <w:tab/>
        <w:t>October 7, 2011</w:t>
      </w:r>
    </w:p>
    <w:p w:rsidR="007B10A0" w:rsidRDefault="007B10A0" w:rsidP="007B10A0">
      <w:pPr>
        <w:spacing w:line="360" w:lineRule="auto"/>
      </w:pPr>
      <w:r>
        <w:t>Evidentiary Hearing in Harrisburg</w:t>
      </w:r>
      <w:r>
        <w:tab/>
      </w:r>
      <w:r>
        <w:tab/>
      </w:r>
      <w:r>
        <w:tab/>
        <w:t>October 17, 2011</w:t>
      </w:r>
    </w:p>
    <w:p w:rsidR="007B10A0" w:rsidRDefault="007B10A0" w:rsidP="007B10A0">
      <w:pPr>
        <w:spacing w:line="360" w:lineRule="auto"/>
      </w:pPr>
      <w:r>
        <w:t>Main Brief deadline</w:t>
      </w:r>
      <w:r>
        <w:tab/>
      </w:r>
      <w:r>
        <w:tab/>
      </w:r>
      <w:r>
        <w:tab/>
      </w:r>
      <w:r>
        <w:tab/>
      </w:r>
      <w:r>
        <w:tab/>
        <w:t>November 17, 2011</w:t>
      </w:r>
    </w:p>
    <w:p w:rsidR="007B10A0" w:rsidRDefault="007B10A0" w:rsidP="007B10A0">
      <w:pPr>
        <w:spacing w:line="360" w:lineRule="auto"/>
      </w:pPr>
      <w:r>
        <w:t>Reply Brief deadline</w:t>
      </w:r>
      <w:r>
        <w:tab/>
      </w:r>
      <w:r>
        <w:tab/>
      </w:r>
      <w:r>
        <w:tab/>
      </w:r>
      <w:r>
        <w:tab/>
      </w:r>
      <w:r>
        <w:tab/>
        <w:t>December 6, 2011</w:t>
      </w:r>
    </w:p>
    <w:p w:rsidR="008446DD" w:rsidRPr="00086E61" w:rsidRDefault="008446DD" w:rsidP="008446DD">
      <w:pPr>
        <w:spacing w:line="360" w:lineRule="auto"/>
      </w:pPr>
    </w:p>
    <w:p w:rsidR="00A672EB" w:rsidRDefault="00062FB3" w:rsidP="00CC214E">
      <w:pPr>
        <w:spacing w:line="360" w:lineRule="auto"/>
      </w:pPr>
      <w:r>
        <w:tab/>
        <w:t xml:space="preserve">The above filing dates are all in-hand dates (by 4:30 p.m.) to the parties and the presiding officer.  All parties are reminded to serve the presiding officer with all filed documents, and to provide </w:t>
      </w:r>
      <w:r w:rsidR="004B6EB9">
        <w:t>the presiding officer</w:t>
      </w:r>
      <w:r>
        <w:t xml:space="preserve"> with an e-version in Word 2003.</w:t>
      </w:r>
    </w:p>
    <w:p w:rsidR="00062FB3" w:rsidRDefault="00062FB3" w:rsidP="00CC214E">
      <w:pPr>
        <w:spacing w:line="360" w:lineRule="auto"/>
      </w:pPr>
    </w:p>
    <w:p w:rsidR="00062FB3" w:rsidRDefault="00062FB3" w:rsidP="00CC214E">
      <w:pPr>
        <w:spacing w:line="360" w:lineRule="auto"/>
      </w:pPr>
      <w:r>
        <w:rPr>
          <w:u w:val="single"/>
        </w:rPr>
        <w:t>Identification of witness order</w:t>
      </w:r>
    </w:p>
    <w:p w:rsidR="00062FB3" w:rsidRDefault="00062FB3" w:rsidP="00CC214E">
      <w:pPr>
        <w:spacing w:line="360" w:lineRule="auto"/>
      </w:pPr>
    </w:p>
    <w:p w:rsidR="00062FB3" w:rsidRDefault="00062FB3" w:rsidP="00CC214E">
      <w:pPr>
        <w:spacing w:line="360" w:lineRule="auto"/>
      </w:pPr>
      <w:r>
        <w:tab/>
      </w:r>
      <w:r w:rsidR="00CF4258">
        <w:t xml:space="preserve">Counsel for </w:t>
      </w:r>
      <w:r w:rsidR="00B85907">
        <w:t>J3</w:t>
      </w:r>
      <w:r>
        <w:t xml:space="preserve"> will coordinate the order of witnesses and estimated time for cross-examination by each party, and will supply a copy of the witness order to me approximately one (1) week prior to the hearing, or as soon thereafter as po</w:t>
      </w:r>
      <w:r w:rsidR="00D1310F">
        <w:t>ssible given that testimony is due approximately one week prior to the hearing.</w:t>
      </w:r>
    </w:p>
    <w:p w:rsidR="00D1310F" w:rsidRDefault="00D1310F" w:rsidP="00CC214E">
      <w:pPr>
        <w:spacing w:line="360" w:lineRule="auto"/>
      </w:pPr>
    </w:p>
    <w:p w:rsidR="00D1310F" w:rsidRPr="00D1310F" w:rsidRDefault="00D1310F" w:rsidP="00CC214E">
      <w:pPr>
        <w:spacing w:line="360" w:lineRule="auto"/>
      </w:pPr>
      <w:r>
        <w:rPr>
          <w:u w:val="single"/>
        </w:rPr>
        <w:t>Service of documents</w:t>
      </w:r>
    </w:p>
    <w:p w:rsidR="00A672EB" w:rsidRDefault="00A672EB" w:rsidP="00CC214E">
      <w:pPr>
        <w:spacing w:line="360" w:lineRule="auto"/>
      </w:pPr>
    </w:p>
    <w:p w:rsidR="00414297" w:rsidRDefault="00D1310F" w:rsidP="00414297">
      <w:pPr>
        <w:spacing w:line="360" w:lineRule="auto"/>
      </w:pPr>
      <w:r>
        <w:tab/>
      </w:r>
      <w:r w:rsidR="00414297">
        <w:t xml:space="preserve">Service of documents by e-mail (by 4:30 p.m.) on the due date will be considered in-hand service, if a hard copy is sent by the following day via first class mail.  The service list is attached to this Scheduling Order.  </w:t>
      </w:r>
    </w:p>
    <w:p w:rsidR="00D1310F" w:rsidRDefault="00D1310F" w:rsidP="00CC214E">
      <w:pPr>
        <w:spacing w:line="360" w:lineRule="auto"/>
      </w:pPr>
    </w:p>
    <w:p w:rsidR="00D1310F" w:rsidRDefault="00EC0EAB" w:rsidP="00CC214E">
      <w:pPr>
        <w:spacing w:line="360" w:lineRule="auto"/>
      </w:pPr>
      <w:r>
        <w:rPr>
          <w:u w:val="single"/>
        </w:rPr>
        <w:t>Timing of motions or objections with respect to prepared written testimony</w:t>
      </w:r>
    </w:p>
    <w:p w:rsidR="00D1310F" w:rsidRDefault="00D1310F" w:rsidP="00CC214E">
      <w:pPr>
        <w:spacing w:line="360" w:lineRule="auto"/>
      </w:pPr>
    </w:p>
    <w:p w:rsidR="00EC0EAB" w:rsidRDefault="00D1310F" w:rsidP="00CC214E">
      <w:pPr>
        <w:spacing w:line="360" w:lineRule="auto"/>
      </w:pPr>
      <w:r>
        <w:tab/>
      </w:r>
      <w:r w:rsidR="00EC0EAB">
        <w:t xml:space="preserve">Motions or objections with respect to written testimony must be presented in writing and provided to the parties and the presiding officer no later than 24 hours prior to the date that the witness is scheduled to testify. </w:t>
      </w:r>
    </w:p>
    <w:p w:rsidR="00EC0EAB" w:rsidRDefault="00EC0EAB" w:rsidP="00CC214E">
      <w:pPr>
        <w:spacing w:line="360" w:lineRule="auto"/>
      </w:pPr>
    </w:p>
    <w:p w:rsidR="000D0D4D" w:rsidRDefault="000D0D4D" w:rsidP="00CC214E">
      <w:pPr>
        <w:spacing w:line="360" w:lineRule="auto"/>
        <w:rPr>
          <w:u w:val="single"/>
        </w:rPr>
      </w:pPr>
      <w:r>
        <w:rPr>
          <w:u w:val="single"/>
        </w:rPr>
        <w:t>Location and start time of hearing</w:t>
      </w:r>
    </w:p>
    <w:p w:rsidR="000D0D4D" w:rsidRDefault="000D0D4D" w:rsidP="00CC214E">
      <w:pPr>
        <w:spacing w:line="360" w:lineRule="auto"/>
      </w:pPr>
      <w:r>
        <w:tab/>
        <w:t xml:space="preserve">The hearing will be held </w:t>
      </w:r>
      <w:r w:rsidR="002567F5">
        <w:t xml:space="preserve">at </w:t>
      </w:r>
      <w:r w:rsidR="00B85907">
        <w:t>10:00 a.m. on October 17</w:t>
      </w:r>
      <w:r w:rsidR="00D314EF">
        <w:t xml:space="preserve">, 2011, at </w:t>
      </w:r>
      <w:r w:rsidR="002567F5">
        <w:t>the Commonwealth Keystone Building, in</w:t>
      </w:r>
      <w:r>
        <w:t xml:space="preserve"> Harrisburg, PA.</w:t>
      </w:r>
    </w:p>
    <w:p w:rsidR="002567F5" w:rsidRDefault="002567F5" w:rsidP="00CC214E">
      <w:pPr>
        <w:spacing w:line="360" w:lineRule="auto"/>
      </w:pPr>
    </w:p>
    <w:p w:rsidR="000D0D4D" w:rsidRDefault="000D0D4D" w:rsidP="00CC214E">
      <w:pPr>
        <w:spacing w:line="360" w:lineRule="auto"/>
        <w:rPr>
          <w:u w:val="single"/>
        </w:rPr>
      </w:pPr>
      <w:r>
        <w:rPr>
          <w:u w:val="single"/>
        </w:rPr>
        <w:t>Transcript turnaround time</w:t>
      </w:r>
    </w:p>
    <w:p w:rsidR="000D0D4D" w:rsidRDefault="000D0D4D" w:rsidP="00CC214E">
      <w:pPr>
        <w:spacing w:line="360" w:lineRule="auto"/>
        <w:rPr>
          <w:u w:val="single"/>
        </w:rPr>
      </w:pPr>
    </w:p>
    <w:p w:rsidR="000D0D4D" w:rsidRDefault="000D0D4D" w:rsidP="00CC214E">
      <w:pPr>
        <w:spacing w:line="360" w:lineRule="auto"/>
      </w:pPr>
      <w:r>
        <w:tab/>
        <w:t>The transcript turnaround time is three (3) days.</w:t>
      </w:r>
    </w:p>
    <w:p w:rsidR="000D0D4D" w:rsidRDefault="000D0D4D" w:rsidP="00CC214E">
      <w:pPr>
        <w:spacing w:line="360" w:lineRule="auto"/>
      </w:pPr>
    </w:p>
    <w:p w:rsidR="00726FDB" w:rsidRDefault="00726FDB" w:rsidP="00726FDB">
      <w:pPr>
        <w:spacing w:line="360" w:lineRule="auto"/>
        <w:rPr>
          <w:u w:val="single"/>
        </w:rPr>
      </w:pPr>
      <w:r>
        <w:rPr>
          <w:u w:val="single"/>
        </w:rPr>
        <w:t>Discovery</w:t>
      </w:r>
      <w:r w:rsidR="004D16E5">
        <w:rPr>
          <w:u w:val="single"/>
        </w:rPr>
        <w:t xml:space="preserve"> m</w:t>
      </w:r>
      <w:r w:rsidR="00E8183A">
        <w:rPr>
          <w:u w:val="single"/>
        </w:rPr>
        <w:t>atters</w:t>
      </w:r>
    </w:p>
    <w:p w:rsidR="00726FDB" w:rsidRDefault="00726FDB" w:rsidP="00726FDB">
      <w:pPr>
        <w:spacing w:line="360" w:lineRule="auto"/>
        <w:rPr>
          <w:u w:val="single"/>
        </w:rPr>
      </w:pPr>
    </w:p>
    <w:p w:rsidR="00CF4258" w:rsidRDefault="004D16E5" w:rsidP="00CF4258">
      <w:pPr>
        <w:spacing w:line="360" w:lineRule="auto"/>
      </w:pPr>
      <w:r>
        <w:tab/>
      </w:r>
      <w:r w:rsidR="00E8183A">
        <w:t>J3 mentioned at the prehearing conference that it wished to obtain a report of the Independent Procurement Manager to the Commission from either the Commission or the Independent Procurement Manager</w:t>
      </w:r>
      <w:r w:rsidR="00B135C9">
        <w:t xml:space="preserve">.  I have been advised by the Commission’s Bureau of Fixed Utility Services that a direct request to them would be denied.  J3 may make a request directly to the Secretary’s Bureau under the Right to Know Law.  </w:t>
      </w:r>
      <w:r w:rsidR="00866C94">
        <w:t>If J3 should seek the report through a subpoena served to either the Bureau of Fixed Utility Services or the Independent Consultant, then the receiving party has 10 days to answer before the subpoena is signed</w:t>
      </w:r>
      <w:r w:rsidR="00DE6CFE">
        <w:t xml:space="preserve"> by the presiding officer</w:t>
      </w:r>
      <w:r w:rsidR="00866C94">
        <w:t xml:space="preserve">.  </w:t>
      </w:r>
    </w:p>
    <w:p w:rsidR="00DE6CFE" w:rsidRDefault="00DE6CFE" w:rsidP="00CF4258">
      <w:pPr>
        <w:spacing w:line="360" w:lineRule="auto"/>
      </w:pPr>
    </w:p>
    <w:p w:rsidR="00242510" w:rsidRDefault="00242510" w:rsidP="00726FDB">
      <w:pPr>
        <w:spacing w:line="360" w:lineRule="auto"/>
      </w:pPr>
      <w:r>
        <w:rPr>
          <w:u w:val="single"/>
        </w:rPr>
        <w:t>Protective Order</w:t>
      </w:r>
    </w:p>
    <w:p w:rsidR="00242510" w:rsidRDefault="00242510" w:rsidP="00726FDB">
      <w:pPr>
        <w:spacing w:line="360" w:lineRule="auto"/>
      </w:pPr>
    </w:p>
    <w:p w:rsidR="00242510" w:rsidRDefault="00242510" w:rsidP="00726FDB">
      <w:pPr>
        <w:spacing w:line="360" w:lineRule="auto"/>
      </w:pPr>
      <w:r>
        <w:tab/>
      </w:r>
      <w:r w:rsidR="00D314EF">
        <w:t>A Protective Order dated July 19, 2011, remains in full force and effect throughout this proceeding.</w:t>
      </w:r>
    </w:p>
    <w:p w:rsidR="00242510" w:rsidRDefault="00242510" w:rsidP="00726FDB">
      <w:pPr>
        <w:spacing w:line="360" w:lineRule="auto"/>
      </w:pPr>
    </w:p>
    <w:p w:rsidR="00866C94" w:rsidRDefault="00866C94" w:rsidP="00726FDB">
      <w:pPr>
        <w:spacing w:line="360" w:lineRule="auto"/>
        <w:rPr>
          <w:u w:val="single"/>
        </w:rPr>
      </w:pPr>
    </w:p>
    <w:p w:rsidR="00242510" w:rsidRDefault="00242510" w:rsidP="00726FDB">
      <w:pPr>
        <w:spacing w:line="360" w:lineRule="auto"/>
      </w:pPr>
      <w:r>
        <w:rPr>
          <w:u w:val="single"/>
        </w:rPr>
        <w:t>Settlement</w:t>
      </w:r>
    </w:p>
    <w:p w:rsidR="00242510" w:rsidRDefault="00242510" w:rsidP="00726FDB">
      <w:pPr>
        <w:spacing w:line="360" w:lineRule="auto"/>
      </w:pPr>
    </w:p>
    <w:p w:rsidR="00F51ECD" w:rsidRDefault="00242510" w:rsidP="00726FDB">
      <w:pPr>
        <w:spacing w:line="360" w:lineRule="auto"/>
      </w:pPr>
      <w:r>
        <w:tab/>
        <w:t xml:space="preserve">The parties were encouraged to commence settlement discussions as soon as possible.  A settlement conference is set for </w:t>
      </w:r>
      <w:r w:rsidR="005E398E">
        <w:t xml:space="preserve">Thursday, September 15, 2011.  </w:t>
      </w:r>
      <w:r w:rsidR="00F51ECD">
        <w:t xml:space="preserve">The parties are reminded that if a settlement is reached, they should </w:t>
      </w:r>
      <w:r w:rsidR="00E02669">
        <w:t xml:space="preserve">file </w:t>
      </w:r>
      <w:r w:rsidR="00F51ECD">
        <w:t>a petition for settlement as well as individual party’s statements in support of the settlement petition.</w:t>
      </w:r>
      <w:r w:rsidR="005E398E">
        <w:t xml:space="preserve">  </w:t>
      </w:r>
      <w:r w:rsidR="00F51ECD">
        <w:t>Additionally, it may be necessary to enter written testimony and other evidence into the record with a settlement petition</w:t>
      </w:r>
      <w:r w:rsidR="006B1814">
        <w:t>, in order to provide the presiding officer with enough evidence to support findings that the proposed settlement is in the public’s interest and that any proposed rate increase is reasonable and just</w:t>
      </w:r>
      <w:r w:rsidR="00F51ECD">
        <w:t>.</w:t>
      </w:r>
      <w:r w:rsidR="005E398E">
        <w:t xml:space="preserve">  Evidence may be moved into the record with a </w:t>
      </w:r>
      <w:r w:rsidR="007B10A0">
        <w:t xml:space="preserve">written </w:t>
      </w:r>
      <w:r w:rsidR="005E398E">
        <w:t xml:space="preserve">verification, or </w:t>
      </w:r>
      <w:r w:rsidR="007B10A0">
        <w:t xml:space="preserve">with the testimony of </w:t>
      </w:r>
      <w:r w:rsidR="005E398E">
        <w:t xml:space="preserve">a live witness </w:t>
      </w:r>
      <w:r w:rsidR="007B10A0">
        <w:t>attesting to the truthfulness of the testimony offered.</w:t>
      </w:r>
      <w:r w:rsidR="00645A4D">
        <w:t xml:space="preserve">  </w:t>
      </w:r>
      <w:r w:rsidR="00F66192">
        <w:t xml:space="preserve">Any settlement petitions are to be filed in hard copy as well as in a CD in searchable PDF format.  In addition, any settlement petitions are to be delivered to me in hard copy as well as electronically in Word format. </w:t>
      </w:r>
    </w:p>
    <w:p w:rsidR="00807903" w:rsidRPr="00726FDB" w:rsidRDefault="00F51ECD" w:rsidP="00726FDB">
      <w:pPr>
        <w:spacing w:line="360" w:lineRule="auto"/>
      </w:pPr>
      <w:r>
        <w:t xml:space="preserve"> </w:t>
      </w:r>
      <w:r w:rsidR="00807903">
        <w:tab/>
      </w: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F51ECD" w:rsidRDefault="00F51ECD" w:rsidP="0013770C">
      <w:pPr>
        <w:spacing w:line="360" w:lineRule="auto"/>
        <w:ind w:firstLine="1440"/>
        <w:rPr>
          <w:bCs/>
        </w:rPr>
      </w:pPr>
    </w:p>
    <w:p w:rsidR="001A7854" w:rsidRDefault="008D02AC" w:rsidP="0013770C">
      <w:pPr>
        <w:spacing w:line="360" w:lineRule="auto"/>
        <w:ind w:firstLine="1440"/>
      </w:pPr>
      <w:r>
        <w:rPr>
          <w:bCs/>
        </w:rPr>
        <w:t>1.</w:t>
      </w:r>
      <w:r>
        <w:rPr>
          <w:bCs/>
        </w:rPr>
        <w:tab/>
      </w:r>
      <w:r w:rsidR="00587F54">
        <w:t xml:space="preserve">That the </w:t>
      </w:r>
      <w:r w:rsidR="002E3D56">
        <w:t xml:space="preserve">procedural schedule </w:t>
      </w:r>
      <w:r w:rsidR="001A7854">
        <w:t>is as follows:</w:t>
      </w:r>
    </w:p>
    <w:p w:rsidR="001A7854" w:rsidRDefault="001A7854" w:rsidP="0013770C">
      <w:pPr>
        <w:spacing w:line="360" w:lineRule="auto"/>
        <w:ind w:firstLine="1440"/>
      </w:pPr>
    </w:p>
    <w:p w:rsidR="007B10A0" w:rsidRDefault="007B10A0" w:rsidP="007B10A0">
      <w:pPr>
        <w:spacing w:line="360" w:lineRule="auto"/>
      </w:pPr>
    </w:p>
    <w:p w:rsidR="007B10A0" w:rsidRDefault="007B10A0" w:rsidP="007B10A0">
      <w:pPr>
        <w:spacing w:line="360" w:lineRule="auto"/>
      </w:pPr>
      <w:r>
        <w:t>Prehearing Conference</w:t>
      </w:r>
      <w:r>
        <w:tab/>
      </w:r>
      <w:r>
        <w:tab/>
      </w:r>
      <w:r>
        <w:tab/>
      </w:r>
      <w:r>
        <w:tab/>
        <w:t>August 8, 2011</w:t>
      </w:r>
    </w:p>
    <w:p w:rsidR="007B10A0" w:rsidRDefault="007B10A0" w:rsidP="007B10A0">
      <w:pPr>
        <w:spacing w:line="360" w:lineRule="auto"/>
      </w:pPr>
      <w:r>
        <w:t>Settlement Conference</w:t>
      </w:r>
      <w:r>
        <w:tab/>
      </w:r>
      <w:r>
        <w:tab/>
      </w:r>
      <w:r>
        <w:tab/>
      </w:r>
      <w:r>
        <w:tab/>
        <w:t>September 15, 2011</w:t>
      </w:r>
    </w:p>
    <w:p w:rsidR="007B10A0" w:rsidRDefault="007B10A0" w:rsidP="007B10A0">
      <w:pPr>
        <w:spacing w:line="360" w:lineRule="auto"/>
      </w:pPr>
      <w:r>
        <w:t>All parties serve written Testimony</w:t>
      </w:r>
      <w:r>
        <w:tab/>
      </w:r>
      <w:r>
        <w:tab/>
      </w:r>
      <w:r>
        <w:tab/>
        <w:t>October 7, 2011</w:t>
      </w:r>
    </w:p>
    <w:p w:rsidR="007B10A0" w:rsidRDefault="007B10A0" w:rsidP="007B10A0">
      <w:pPr>
        <w:spacing w:line="360" w:lineRule="auto"/>
      </w:pPr>
      <w:r>
        <w:t>Evidentiary Hearings in Harrisburg</w:t>
      </w:r>
      <w:r>
        <w:tab/>
      </w:r>
      <w:r>
        <w:tab/>
      </w:r>
      <w:r>
        <w:tab/>
        <w:t>October 17, 2011</w:t>
      </w:r>
    </w:p>
    <w:p w:rsidR="007B10A0" w:rsidRDefault="007B10A0" w:rsidP="007B10A0">
      <w:pPr>
        <w:spacing w:line="360" w:lineRule="auto"/>
      </w:pPr>
      <w:r>
        <w:t>Main Brief deadline</w:t>
      </w:r>
      <w:r>
        <w:tab/>
      </w:r>
      <w:r>
        <w:tab/>
      </w:r>
      <w:r>
        <w:tab/>
      </w:r>
      <w:r>
        <w:tab/>
      </w:r>
      <w:r>
        <w:tab/>
        <w:t>November 17, 2011</w:t>
      </w:r>
    </w:p>
    <w:p w:rsidR="007B10A0" w:rsidRDefault="007B10A0" w:rsidP="007B10A0">
      <w:pPr>
        <w:spacing w:line="360" w:lineRule="auto"/>
      </w:pPr>
      <w:r>
        <w:t>Reply Brief deadline</w:t>
      </w:r>
      <w:r>
        <w:tab/>
      </w:r>
      <w:r>
        <w:tab/>
      </w:r>
      <w:r>
        <w:tab/>
      </w:r>
      <w:r>
        <w:tab/>
      </w:r>
      <w:r>
        <w:tab/>
        <w:t>December 6, 2011</w:t>
      </w:r>
    </w:p>
    <w:p w:rsidR="002E3D56" w:rsidRDefault="002E3D56" w:rsidP="0013770C">
      <w:pPr>
        <w:spacing w:line="360" w:lineRule="auto"/>
        <w:ind w:firstLine="1440"/>
      </w:pPr>
    </w:p>
    <w:p w:rsidR="00CF4258" w:rsidRDefault="00414297" w:rsidP="00CF4258">
      <w:pPr>
        <w:spacing w:line="360" w:lineRule="auto"/>
      </w:pPr>
      <w:r>
        <w:tab/>
      </w:r>
      <w:r>
        <w:tab/>
      </w:r>
      <w:r w:rsidR="00866C94">
        <w:t>2</w:t>
      </w:r>
      <w:r w:rsidR="002E3D56">
        <w:t>.</w:t>
      </w:r>
      <w:r w:rsidR="00CF4258">
        <w:tab/>
        <w:t>All discovery requests and responses will be served in-hand or via electronic mail, with hard copies of the documents sent via First Class Mail.</w:t>
      </w:r>
    </w:p>
    <w:p w:rsidR="00CF4258" w:rsidRDefault="00CF4258" w:rsidP="00CF4258">
      <w:pPr>
        <w:spacing w:line="360" w:lineRule="auto"/>
      </w:pPr>
    </w:p>
    <w:p w:rsidR="00CF4258" w:rsidRDefault="00CF4258" w:rsidP="007B10A0">
      <w:pPr>
        <w:spacing w:line="360" w:lineRule="auto"/>
      </w:pPr>
      <w:r>
        <w:tab/>
      </w:r>
    </w:p>
    <w:p w:rsidR="00414297" w:rsidRDefault="00414297" w:rsidP="00414297">
      <w:pPr>
        <w:spacing w:line="360" w:lineRule="auto"/>
      </w:pPr>
      <w:r>
        <w:tab/>
      </w:r>
      <w:r>
        <w:tab/>
      </w:r>
      <w:r w:rsidR="00866C94">
        <w:t>3</w:t>
      </w:r>
      <w:r>
        <w:t>.</w:t>
      </w:r>
      <w:r>
        <w:tab/>
        <w:t xml:space="preserve">Service of documents by e-mail (by 4:30 p.m.) on the due date will be considered in-hand service, if a hard copy is sent by the following day via first class mail.  The service list is attached to this Scheduling Order.  </w:t>
      </w:r>
    </w:p>
    <w:p w:rsidR="00414297" w:rsidRDefault="00414297" w:rsidP="0013770C">
      <w:pPr>
        <w:spacing w:line="360" w:lineRule="auto"/>
        <w:ind w:firstLine="1440"/>
      </w:pPr>
    </w:p>
    <w:p w:rsidR="00FF4F5F" w:rsidRDefault="00FF4F5F"/>
    <w:p w:rsidR="002E3D56" w:rsidRDefault="001A7854" w:rsidP="00CA4431">
      <w:pPr>
        <w:spacing w:line="360" w:lineRule="auto"/>
      </w:pPr>
      <w:r>
        <w:tab/>
      </w:r>
      <w:r>
        <w:tab/>
      </w:r>
      <w:r w:rsidR="00414297">
        <w:t>4</w:t>
      </w:r>
      <w:r>
        <w:t>.</w:t>
      </w:r>
      <w:r>
        <w:tab/>
        <w:t xml:space="preserve">That </w:t>
      </w:r>
      <w:r w:rsidR="00B81C88">
        <w:t xml:space="preserve">directives regarding </w:t>
      </w:r>
      <w:r>
        <w:t xml:space="preserve">other matters </w:t>
      </w:r>
      <w:r w:rsidR="00B81C88">
        <w:t>including:</w:t>
      </w:r>
      <w:r>
        <w:t xml:space="preserve"> </w:t>
      </w:r>
      <w:r w:rsidR="00CA4431">
        <w:t>identification of witness order, motions, and settlement petitions are adopted as referenced in this Order.</w:t>
      </w:r>
      <w:r w:rsidR="002E3D56">
        <w:tab/>
      </w:r>
      <w:r w:rsidR="002E3D56">
        <w:tab/>
      </w:r>
      <w:r w:rsidR="002E3D56">
        <w:tab/>
      </w:r>
    </w:p>
    <w:p w:rsidR="00D7167B" w:rsidRDefault="00D7167B"/>
    <w:p w:rsidR="00CA4431" w:rsidRDefault="00CA4431"/>
    <w:p w:rsidR="00CA4431" w:rsidRDefault="00CA4431"/>
    <w:p w:rsidR="006D33B5" w:rsidRPr="00774975" w:rsidRDefault="006D33B5">
      <w:pPr>
        <w:rPr>
          <w:u w:val="single"/>
        </w:rPr>
      </w:pPr>
      <w:r w:rsidRPr="00E22703">
        <w:t xml:space="preserve">Date: </w:t>
      </w:r>
      <w:r w:rsidR="00866C94">
        <w:rPr>
          <w:u w:val="single"/>
        </w:rPr>
        <w:t>August 9</w:t>
      </w:r>
      <w:r w:rsidR="00526B7E">
        <w:rPr>
          <w:u w:val="single"/>
        </w:rPr>
        <w:t>, 2011</w:t>
      </w:r>
      <w:r w:rsidR="00774975">
        <w:tab/>
      </w:r>
      <w:r w:rsidR="00002E79">
        <w:tab/>
      </w:r>
      <w:r w:rsidR="00866C94">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A74F2D" w:rsidRDefault="006D33B5">
      <w:pPr>
        <w:sectPr w:rsidR="00A74F2D" w:rsidSect="00DE6CFE">
          <w:pgSz w:w="12240" w:h="15840"/>
          <w:pgMar w:top="1440" w:right="1440" w:bottom="1440" w:left="1440" w:header="720" w:footer="720" w:gutter="0"/>
          <w:cols w:space="720"/>
          <w:titlePg/>
          <w:docGrid w:linePitch="326"/>
        </w:sectPr>
      </w:pPr>
      <w:r w:rsidRPr="00E22703">
        <w:tab/>
      </w:r>
      <w:r w:rsidRPr="00E22703">
        <w:tab/>
      </w:r>
      <w:r w:rsidRPr="00E22703">
        <w:tab/>
      </w:r>
      <w:r w:rsidRPr="00E22703">
        <w:tab/>
      </w:r>
      <w:r w:rsidRPr="00E22703">
        <w:tab/>
        <w:t>Administrative Law Judge</w:t>
      </w:r>
    </w:p>
    <w:p w:rsidR="00A74F2D" w:rsidRDefault="00A74F2D" w:rsidP="00A74F2D">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A74F2D" w:rsidRDefault="00A74F2D" w:rsidP="00A74F2D"/>
    <w:p w:rsidR="006C1CDB" w:rsidRDefault="006C1CDB"/>
    <w:sectPr w:rsidR="006C1CDB" w:rsidSect="004F0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B48" w:rsidRDefault="002C5B48">
      <w:r>
        <w:separator/>
      </w:r>
    </w:p>
  </w:endnote>
  <w:endnote w:type="continuationSeparator" w:id="0">
    <w:p w:rsidR="002C5B48" w:rsidRDefault="002C5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B48" w:rsidRDefault="002C5B48">
      <w:r>
        <w:separator/>
      </w:r>
    </w:p>
  </w:footnote>
  <w:footnote w:type="continuationSeparator" w:id="0">
    <w:p w:rsidR="002C5B48" w:rsidRDefault="002C5B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A543D6"/>
    <w:rsid w:val="00002E79"/>
    <w:rsid w:val="00003135"/>
    <w:rsid w:val="00005247"/>
    <w:rsid w:val="000065C6"/>
    <w:rsid w:val="00011478"/>
    <w:rsid w:val="000253F8"/>
    <w:rsid w:val="00030B5B"/>
    <w:rsid w:val="00031CED"/>
    <w:rsid w:val="00037E8B"/>
    <w:rsid w:val="00040267"/>
    <w:rsid w:val="0004233E"/>
    <w:rsid w:val="000447F9"/>
    <w:rsid w:val="00050489"/>
    <w:rsid w:val="00050AF1"/>
    <w:rsid w:val="00054540"/>
    <w:rsid w:val="00054A10"/>
    <w:rsid w:val="00055FCB"/>
    <w:rsid w:val="00060BB1"/>
    <w:rsid w:val="00062FB3"/>
    <w:rsid w:val="00063F4B"/>
    <w:rsid w:val="00063F87"/>
    <w:rsid w:val="00073240"/>
    <w:rsid w:val="00080E54"/>
    <w:rsid w:val="00081A6A"/>
    <w:rsid w:val="000851FC"/>
    <w:rsid w:val="00086E61"/>
    <w:rsid w:val="00097D61"/>
    <w:rsid w:val="00097FF4"/>
    <w:rsid w:val="000B6D6C"/>
    <w:rsid w:val="000C3A73"/>
    <w:rsid w:val="000C5271"/>
    <w:rsid w:val="000C5888"/>
    <w:rsid w:val="000D0D4D"/>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5BBD"/>
    <w:rsid w:val="0013770C"/>
    <w:rsid w:val="00142EE0"/>
    <w:rsid w:val="001441F9"/>
    <w:rsid w:val="00153529"/>
    <w:rsid w:val="001547B2"/>
    <w:rsid w:val="001714A2"/>
    <w:rsid w:val="00181BAB"/>
    <w:rsid w:val="00182B62"/>
    <w:rsid w:val="00182ECA"/>
    <w:rsid w:val="00187495"/>
    <w:rsid w:val="001900E6"/>
    <w:rsid w:val="00190843"/>
    <w:rsid w:val="0019509B"/>
    <w:rsid w:val="001A1495"/>
    <w:rsid w:val="001A7854"/>
    <w:rsid w:val="001C23B6"/>
    <w:rsid w:val="001C7376"/>
    <w:rsid w:val="001C7DC7"/>
    <w:rsid w:val="001D0606"/>
    <w:rsid w:val="001D36BC"/>
    <w:rsid w:val="001D48D9"/>
    <w:rsid w:val="001E0583"/>
    <w:rsid w:val="001E1EE6"/>
    <w:rsid w:val="001E388B"/>
    <w:rsid w:val="001E41F1"/>
    <w:rsid w:val="001E755C"/>
    <w:rsid w:val="001F3D60"/>
    <w:rsid w:val="001F59C0"/>
    <w:rsid w:val="002026C5"/>
    <w:rsid w:val="002069A1"/>
    <w:rsid w:val="00212459"/>
    <w:rsid w:val="0022121D"/>
    <w:rsid w:val="00224765"/>
    <w:rsid w:val="00231FB0"/>
    <w:rsid w:val="00242510"/>
    <w:rsid w:val="00252F51"/>
    <w:rsid w:val="0025436A"/>
    <w:rsid w:val="002567F5"/>
    <w:rsid w:val="0026329B"/>
    <w:rsid w:val="00266583"/>
    <w:rsid w:val="0027269F"/>
    <w:rsid w:val="00272C13"/>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5B48"/>
    <w:rsid w:val="002C66E9"/>
    <w:rsid w:val="002D3532"/>
    <w:rsid w:val="002E2B8A"/>
    <w:rsid w:val="002E3D56"/>
    <w:rsid w:val="002E4F5F"/>
    <w:rsid w:val="002E76DB"/>
    <w:rsid w:val="002F61D3"/>
    <w:rsid w:val="003038D5"/>
    <w:rsid w:val="00312F22"/>
    <w:rsid w:val="00317423"/>
    <w:rsid w:val="003234C9"/>
    <w:rsid w:val="00326E7E"/>
    <w:rsid w:val="00337DC7"/>
    <w:rsid w:val="0036322E"/>
    <w:rsid w:val="00366708"/>
    <w:rsid w:val="003679CB"/>
    <w:rsid w:val="00367E2E"/>
    <w:rsid w:val="00371B8B"/>
    <w:rsid w:val="00374FE0"/>
    <w:rsid w:val="0037679C"/>
    <w:rsid w:val="003776BF"/>
    <w:rsid w:val="003828F7"/>
    <w:rsid w:val="0039072F"/>
    <w:rsid w:val="0039566B"/>
    <w:rsid w:val="003A5D44"/>
    <w:rsid w:val="003B2B0E"/>
    <w:rsid w:val="003B4C91"/>
    <w:rsid w:val="003B4D8F"/>
    <w:rsid w:val="003C02CC"/>
    <w:rsid w:val="003C424C"/>
    <w:rsid w:val="003D419D"/>
    <w:rsid w:val="003E04E8"/>
    <w:rsid w:val="003E3839"/>
    <w:rsid w:val="003E44F8"/>
    <w:rsid w:val="003E4ADF"/>
    <w:rsid w:val="003F03EA"/>
    <w:rsid w:val="003F49DD"/>
    <w:rsid w:val="003F68D9"/>
    <w:rsid w:val="00401DFD"/>
    <w:rsid w:val="00407622"/>
    <w:rsid w:val="00414297"/>
    <w:rsid w:val="00415EAE"/>
    <w:rsid w:val="00421F03"/>
    <w:rsid w:val="004327EC"/>
    <w:rsid w:val="00432886"/>
    <w:rsid w:val="00433402"/>
    <w:rsid w:val="0044078D"/>
    <w:rsid w:val="00446AEA"/>
    <w:rsid w:val="004509B5"/>
    <w:rsid w:val="0046712E"/>
    <w:rsid w:val="004677A9"/>
    <w:rsid w:val="0046782D"/>
    <w:rsid w:val="00474D39"/>
    <w:rsid w:val="00476814"/>
    <w:rsid w:val="0048022D"/>
    <w:rsid w:val="00484CA9"/>
    <w:rsid w:val="00487C67"/>
    <w:rsid w:val="00491200"/>
    <w:rsid w:val="004A44C7"/>
    <w:rsid w:val="004A6217"/>
    <w:rsid w:val="004B12AD"/>
    <w:rsid w:val="004B3128"/>
    <w:rsid w:val="004B6EB9"/>
    <w:rsid w:val="004C19EA"/>
    <w:rsid w:val="004C5959"/>
    <w:rsid w:val="004C6E9A"/>
    <w:rsid w:val="004D16E5"/>
    <w:rsid w:val="004D5EDA"/>
    <w:rsid w:val="004F0FF9"/>
    <w:rsid w:val="0050525A"/>
    <w:rsid w:val="00506ED2"/>
    <w:rsid w:val="0051332A"/>
    <w:rsid w:val="005173E3"/>
    <w:rsid w:val="0052063B"/>
    <w:rsid w:val="00526B7E"/>
    <w:rsid w:val="00531C6A"/>
    <w:rsid w:val="0053542E"/>
    <w:rsid w:val="00535728"/>
    <w:rsid w:val="00535B47"/>
    <w:rsid w:val="00541FA5"/>
    <w:rsid w:val="00555AB2"/>
    <w:rsid w:val="0056090B"/>
    <w:rsid w:val="00562740"/>
    <w:rsid w:val="0056328E"/>
    <w:rsid w:val="00564A1C"/>
    <w:rsid w:val="00571F77"/>
    <w:rsid w:val="00577041"/>
    <w:rsid w:val="00577E04"/>
    <w:rsid w:val="00582CDA"/>
    <w:rsid w:val="0058333F"/>
    <w:rsid w:val="005877DE"/>
    <w:rsid w:val="00587965"/>
    <w:rsid w:val="00587F54"/>
    <w:rsid w:val="00593CE6"/>
    <w:rsid w:val="005A0C2C"/>
    <w:rsid w:val="005A36C7"/>
    <w:rsid w:val="005A3B57"/>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777D"/>
    <w:rsid w:val="006151E8"/>
    <w:rsid w:val="00617F66"/>
    <w:rsid w:val="00626332"/>
    <w:rsid w:val="00626462"/>
    <w:rsid w:val="00631895"/>
    <w:rsid w:val="00634D85"/>
    <w:rsid w:val="00643063"/>
    <w:rsid w:val="00645A4D"/>
    <w:rsid w:val="0064719F"/>
    <w:rsid w:val="00652FBD"/>
    <w:rsid w:val="00657239"/>
    <w:rsid w:val="00661F7B"/>
    <w:rsid w:val="00666CE7"/>
    <w:rsid w:val="00670EBA"/>
    <w:rsid w:val="006763F3"/>
    <w:rsid w:val="006803CC"/>
    <w:rsid w:val="006816B8"/>
    <w:rsid w:val="00684075"/>
    <w:rsid w:val="00694651"/>
    <w:rsid w:val="0069608E"/>
    <w:rsid w:val="006A7A0E"/>
    <w:rsid w:val="006B1814"/>
    <w:rsid w:val="006C1CDB"/>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138CC"/>
    <w:rsid w:val="00713D64"/>
    <w:rsid w:val="00714476"/>
    <w:rsid w:val="007203E5"/>
    <w:rsid w:val="00724ABE"/>
    <w:rsid w:val="00726FDB"/>
    <w:rsid w:val="00735291"/>
    <w:rsid w:val="0074212A"/>
    <w:rsid w:val="0074454B"/>
    <w:rsid w:val="00746EC7"/>
    <w:rsid w:val="00752614"/>
    <w:rsid w:val="00760936"/>
    <w:rsid w:val="00761AAA"/>
    <w:rsid w:val="00763998"/>
    <w:rsid w:val="00763DA0"/>
    <w:rsid w:val="007669D8"/>
    <w:rsid w:val="00771201"/>
    <w:rsid w:val="00774975"/>
    <w:rsid w:val="00783F05"/>
    <w:rsid w:val="00784AE9"/>
    <w:rsid w:val="007876C7"/>
    <w:rsid w:val="0079165F"/>
    <w:rsid w:val="007945B3"/>
    <w:rsid w:val="007B10A0"/>
    <w:rsid w:val="007B135C"/>
    <w:rsid w:val="007B19DA"/>
    <w:rsid w:val="007B76C4"/>
    <w:rsid w:val="007C6559"/>
    <w:rsid w:val="007E094C"/>
    <w:rsid w:val="007E1D8F"/>
    <w:rsid w:val="007F24B0"/>
    <w:rsid w:val="007F6F2B"/>
    <w:rsid w:val="007F7EA4"/>
    <w:rsid w:val="00801014"/>
    <w:rsid w:val="008027C4"/>
    <w:rsid w:val="00802923"/>
    <w:rsid w:val="008038E2"/>
    <w:rsid w:val="00807903"/>
    <w:rsid w:val="00807944"/>
    <w:rsid w:val="00817C41"/>
    <w:rsid w:val="00820EA8"/>
    <w:rsid w:val="00830CF6"/>
    <w:rsid w:val="008413F8"/>
    <w:rsid w:val="008438CF"/>
    <w:rsid w:val="008446DD"/>
    <w:rsid w:val="0084529C"/>
    <w:rsid w:val="00845A5B"/>
    <w:rsid w:val="00854EC8"/>
    <w:rsid w:val="0085538B"/>
    <w:rsid w:val="00865FE8"/>
    <w:rsid w:val="00866C94"/>
    <w:rsid w:val="008733C7"/>
    <w:rsid w:val="0088262B"/>
    <w:rsid w:val="00883E39"/>
    <w:rsid w:val="00886427"/>
    <w:rsid w:val="008921ED"/>
    <w:rsid w:val="00893E34"/>
    <w:rsid w:val="00894043"/>
    <w:rsid w:val="00894A7C"/>
    <w:rsid w:val="008A048B"/>
    <w:rsid w:val="008A28B8"/>
    <w:rsid w:val="008A7776"/>
    <w:rsid w:val="008C0504"/>
    <w:rsid w:val="008C2266"/>
    <w:rsid w:val="008C34C0"/>
    <w:rsid w:val="008C53F0"/>
    <w:rsid w:val="008C6629"/>
    <w:rsid w:val="008C6C08"/>
    <w:rsid w:val="008C7929"/>
    <w:rsid w:val="008D02AC"/>
    <w:rsid w:val="008D34B8"/>
    <w:rsid w:val="008E6D84"/>
    <w:rsid w:val="008F5283"/>
    <w:rsid w:val="008F755E"/>
    <w:rsid w:val="009065DB"/>
    <w:rsid w:val="00907551"/>
    <w:rsid w:val="00907E93"/>
    <w:rsid w:val="0091132C"/>
    <w:rsid w:val="009201ED"/>
    <w:rsid w:val="00922597"/>
    <w:rsid w:val="009242C7"/>
    <w:rsid w:val="00926832"/>
    <w:rsid w:val="00933A0A"/>
    <w:rsid w:val="00935A17"/>
    <w:rsid w:val="009435E2"/>
    <w:rsid w:val="009479D5"/>
    <w:rsid w:val="00951B5E"/>
    <w:rsid w:val="00951BBB"/>
    <w:rsid w:val="00952807"/>
    <w:rsid w:val="00953E53"/>
    <w:rsid w:val="00957662"/>
    <w:rsid w:val="009651D5"/>
    <w:rsid w:val="009701FB"/>
    <w:rsid w:val="00970AF3"/>
    <w:rsid w:val="009712E6"/>
    <w:rsid w:val="00973E46"/>
    <w:rsid w:val="0098199E"/>
    <w:rsid w:val="00985B9C"/>
    <w:rsid w:val="00994060"/>
    <w:rsid w:val="009971D9"/>
    <w:rsid w:val="009B0651"/>
    <w:rsid w:val="009B252A"/>
    <w:rsid w:val="009C0B55"/>
    <w:rsid w:val="009C228F"/>
    <w:rsid w:val="009C416F"/>
    <w:rsid w:val="009C44F8"/>
    <w:rsid w:val="009C5580"/>
    <w:rsid w:val="009D2069"/>
    <w:rsid w:val="009D37EA"/>
    <w:rsid w:val="009D44E1"/>
    <w:rsid w:val="009D7DAC"/>
    <w:rsid w:val="009E1824"/>
    <w:rsid w:val="009E2517"/>
    <w:rsid w:val="009E69D3"/>
    <w:rsid w:val="009F01F6"/>
    <w:rsid w:val="009F421F"/>
    <w:rsid w:val="009F57DD"/>
    <w:rsid w:val="009F6BF1"/>
    <w:rsid w:val="00A04E55"/>
    <w:rsid w:val="00A050EC"/>
    <w:rsid w:val="00A06973"/>
    <w:rsid w:val="00A07A16"/>
    <w:rsid w:val="00A21C65"/>
    <w:rsid w:val="00A30723"/>
    <w:rsid w:val="00A319FB"/>
    <w:rsid w:val="00A4123B"/>
    <w:rsid w:val="00A43247"/>
    <w:rsid w:val="00A442D1"/>
    <w:rsid w:val="00A452AA"/>
    <w:rsid w:val="00A462A5"/>
    <w:rsid w:val="00A51778"/>
    <w:rsid w:val="00A543D6"/>
    <w:rsid w:val="00A62BBE"/>
    <w:rsid w:val="00A672EB"/>
    <w:rsid w:val="00A74AF3"/>
    <w:rsid w:val="00A74F2D"/>
    <w:rsid w:val="00A76336"/>
    <w:rsid w:val="00A76480"/>
    <w:rsid w:val="00A8749E"/>
    <w:rsid w:val="00A92373"/>
    <w:rsid w:val="00A93FB7"/>
    <w:rsid w:val="00A97EAA"/>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5C9"/>
    <w:rsid w:val="00B13E2F"/>
    <w:rsid w:val="00B16B10"/>
    <w:rsid w:val="00B17D78"/>
    <w:rsid w:val="00B17E29"/>
    <w:rsid w:val="00B22385"/>
    <w:rsid w:val="00B34D51"/>
    <w:rsid w:val="00B42052"/>
    <w:rsid w:val="00B42143"/>
    <w:rsid w:val="00B4231E"/>
    <w:rsid w:val="00B428B5"/>
    <w:rsid w:val="00B44A3A"/>
    <w:rsid w:val="00B44A3E"/>
    <w:rsid w:val="00B606E5"/>
    <w:rsid w:val="00B6233D"/>
    <w:rsid w:val="00B715DC"/>
    <w:rsid w:val="00B71B7C"/>
    <w:rsid w:val="00B7459D"/>
    <w:rsid w:val="00B759BF"/>
    <w:rsid w:val="00B81C88"/>
    <w:rsid w:val="00B83324"/>
    <w:rsid w:val="00B85907"/>
    <w:rsid w:val="00B85A59"/>
    <w:rsid w:val="00B87D27"/>
    <w:rsid w:val="00B87F4C"/>
    <w:rsid w:val="00B905A3"/>
    <w:rsid w:val="00B92574"/>
    <w:rsid w:val="00B93070"/>
    <w:rsid w:val="00B97AB5"/>
    <w:rsid w:val="00BA0600"/>
    <w:rsid w:val="00BA19C5"/>
    <w:rsid w:val="00BA3C49"/>
    <w:rsid w:val="00BA5156"/>
    <w:rsid w:val="00BB0A31"/>
    <w:rsid w:val="00BB0B94"/>
    <w:rsid w:val="00BB229F"/>
    <w:rsid w:val="00BB5DF1"/>
    <w:rsid w:val="00BC689D"/>
    <w:rsid w:val="00BD2783"/>
    <w:rsid w:val="00BE0854"/>
    <w:rsid w:val="00BE1ED2"/>
    <w:rsid w:val="00BF341D"/>
    <w:rsid w:val="00BF3473"/>
    <w:rsid w:val="00BF718F"/>
    <w:rsid w:val="00C0065E"/>
    <w:rsid w:val="00C00F86"/>
    <w:rsid w:val="00C040E9"/>
    <w:rsid w:val="00C15A65"/>
    <w:rsid w:val="00C16397"/>
    <w:rsid w:val="00C201CA"/>
    <w:rsid w:val="00C241A1"/>
    <w:rsid w:val="00C27500"/>
    <w:rsid w:val="00C27ADF"/>
    <w:rsid w:val="00C306E8"/>
    <w:rsid w:val="00C35956"/>
    <w:rsid w:val="00C407D6"/>
    <w:rsid w:val="00C60A73"/>
    <w:rsid w:val="00C6203D"/>
    <w:rsid w:val="00C642F2"/>
    <w:rsid w:val="00C6430D"/>
    <w:rsid w:val="00C65612"/>
    <w:rsid w:val="00C67551"/>
    <w:rsid w:val="00C72120"/>
    <w:rsid w:val="00C77DA0"/>
    <w:rsid w:val="00C8562E"/>
    <w:rsid w:val="00C90325"/>
    <w:rsid w:val="00CA3396"/>
    <w:rsid w:val="00CA4431"/>
    <w:rsid w:val="00CA73E2"/>
    <w:rsid w:val="00CB18E0"/>
    <w:rsid w:val="00CB4DB1"/>
    <w:rsid w:val="00CC214E"/>
    <w:rsid w:val="00CC3542"/>
    <w:rsid w:val="00CD68CE"/>
    <w:rsid w:val="00CE1D02"/>
    <w:rsid w:val="00CE20E9"/>
    <w:rsid w:val="00CE3773"/>
    <w:rsid w:val="00CE6FC5"/>
    <w:rsid w:val="00CE701C"/>
    <w:rsid w:val="00CF0E33"/>
    <w:rsid w:val="00CF4258"/>
    <w:rsid w:val="00CF4490"/>
    <w:rsid w:val="00CF5A8F"/>
    <w:rsid w:val="00D00379"/>
    <w:rsid w:val="00D10467"/>
    <w:rsid w:val="00D10652"/>
    <w:rsid w:val="00D1310F"/>
    <w:rsid w:val="00D13DB2"/>
    <w:rsid w:val="00D209B6"/>
    <w:rsid w:val="00D2255F"/>
    <w:rsid w:val="00D24620"/>
    <w:rsid w:val="00D3123C"/>
    <w:rsid w:val="00D314EF"/>
    <w:rsid w:val="00D35F13"/>
    <w:rsid w:val="00D44B05"/>
    <w:rsid w:val="00D45534"/>
    <w:rsid w:val="00D51B5E"/>
    <w:rsid w:val="00D55026"/>
    <w:rsid w:val="00D557D5"/>
    <w:rsid w:val="00D64F50"/>
    <w:rsid w:val="00D70B5C"/>
    <w:rsid w:val="00D7167B"/>
    <w:rsid w:val="00D73519"/>
    <w:rsid w:val="00D73E83"/>
    <w:rsid w:val="00D80A3E"/>
    <w:rsid w:val="00D84B3D"/>
    <w:rsid w:val="00D92151"/>
    <w:rsid w:val="00D9793B"/>
    <w:rsid w:val="00DA0323"/>
    <w:rsid w:val="00DA3FF9"/>
    <w:rsid w:val="00DB13BD"/>
    <w:rsid w:val="00DB1971"/>
    <w:rsid w:val="00DB50FE"/>
    <w:rsid w:val="00DC451E"/>
    <w:rsid w:val="00DC5FA1"/>
    <w:rsid w:val="00DD05B3"/>
    <w:rsid w:val="00DD0CE4"/>
    <w:rsid w:val="00DE3721"/>
    <w:rsid w:val="00DE6CFE"/>
    <w:rsid w:val="00DF448C"/>
    <w:rsid w:val="00E016F3"/>
    <w:rsid w:val="00E02669"/>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3A"/>
    <w:rsid w:val="00E818B6"/>
    <w:rsid w:val="00E9187B"/>
    <w:rsid w:val="00E91EAA"/>
    <w:rsid w:val="00E92FD0"/>
    <w:rsid w:val="00EB045D"/>
    <w:rsid w:val="00EB41C4"/>
    <w:rsid w:val="00EC0EAB"/>
    <w:rsid w:val="00EC1909"/>
    <w:rsid w:val="00EC2835"/>
    <w:rsid w:val="00EC4455"/>
    <w:rsid w:val="00ED4EEA"/>
    <w:rsid w:val="00EF43B8"/>
    <w:rsid w:val="00F00911"/>
    <w:rsid w:val="00F00D62"/>
    <w:rsid w:val="00F0305C"/>
    <w:rsid w:val="00F23018"/>
    <w:rsid w:val="00F33096"/>
    <w:rsid w:val="00F40D25"/>
    <w:rsid w:val="00F51ECD"/>
    <w:rsid w:val="00F5660C"/>
    <w:rsid w:val="00F63836"/>
    <w:rsid w:val="00F66192"/>
    <w:rsid w:val="00F76819"/>
    <w:rsid w:val="00F876DE"/>
    <w:rsid w:val="00F9081A"/>
    <w:rsid w:val="00F90A9D"/>
    <w:rsid w:val="00FA0E84"/>
    <w:rsid w:val="00FA22CA"/>
    <w:rsid w:val="00FA5B52"/>
    <w:rsid w:val="00FA73C3"/>
    <w:rsid w:val="00FA7A69"/>
    <w:rsid w:val="00FB016F"/>
    <w:rsid w:val="00FD25D2"/>
    <w:rsid w:val="00FD342D"/>
    <w:rsid w:val="00FD4C02"/>
    <w:rsid w:val="00FD795C"/>
    <w:rsid w:val="00FE1C67"/>
    <w:rsid w:val="00FE1CDD"/>
    <w:rsid w:val="00FE3B42"/>
    <w:rsid w:val="00FF4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AA8F-1E87-4922-92C9-5AAE2CB9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subject/>
  <dc:creator>DSA</dc:creator>
  <cp:keywords/>
  <dc:description/>
  <cp:lastModifiedBy>astout</cp:lastModifiedBy>
  <cp:revision>3</cp:revision>
  <cp:lastPrinted>2011-08-09T13:57:00Z</cp:lastPrinted>
  <dcterms:created xsi:type="dcterms:W3CDTF">2011-08-11T15:15:00Z</dcterms:created>
  <dcterms:modified xsi:type="dcterms:W3CDTF">2011-08-11T15:23:00Z</dcterms:modified>
</cp:coreProperties>
</file>