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EF1E3D" w:rsidP="00EF1E3D">
      <w:pPr>
        <w:jc w:val="center"/>
        <w:rPr>
          <w:b/>
        </w:rPr>
      </w:pPr>
      <w:r>
        <w:rPr>
          <w:b/>
        </w:rPr>
        <w:t>BEFORE THE</w:t>
      </w:r>
    </w:p>
    <w:p w:rsidR="00EF1E3D" w:rsidRDefault="00EF1E3D" w:rsidP="00EF1E3D">
      <w:pPr>
        <w:jc w:val="center"/>
      </w:pPr>
      <w:r>
        <w:rPr>
          <w:b/>
        </w:rPr>
        <w:t>PENNSYLVANIA PUBLIC UTILITY COMMISSION</w:t>
      </w:r>
    </w:p>
    <w:p w:rsidR="00EF1E3D" w:rsidRDefault="00EF1E3D" w:rsidP="00EF1E3D"/>
    <w:p w:rsidR="006C2975" w:rsidRDefault="006C2975" w:rsidP="00EF1E3D"/>
    <w:p w:rsidR="00EF1E3D" w:rsidRDefault="00EF1E3D" w:rsidP="00EF1E3D"/>
    <w:p w:rsidR="00EF1E3D" w:rsidRDefault="00EF1E3D" w:rsidP="00EF1E3D">
      <w:r>
        <w:t>William F. Pizoli</w:t>
      </w:r>
      <w:r>
        <w:tab/>
      </w:r>
      <w:r>
        <w:tab/>
      </w:r>
      <w:r>
        <w:tab/>
      </w:r>
      <w:r>
        <w:tab/>
      </w:r>
      <w:r>
        <w:tab/>
        <w:t>:</w:t>
      </w:r>
    </w:p>
    <w:p w:rsidR="00EF1E3D" w:rsidRDefault="00EF1E3D" w:rsidP="00EF1E3D">
      <w:r>
        <w:tab/>
      </w:r>
      <w:r>
        <w:tab/>
      </w:r>
      <w:r>
        <w:tab/>
      </w:r>
      <w:r>
        <w:tab/>
      </w:r>
      <w:r>
        <w:tab/>
      </w:r>
      <w:r>
        <w:tab/>
      </w:r>
      <w:r>
        <w:tab/>
        <w:t>:</w:t>
      </w:r>
    </w:p>
    <w:p w:rsidR="00EF1E3D" w:rsidRDefault="00EF1E3D" w:rsidP="00EF1E3D">
      <w:r>
        <w:tab/>
        <w:t>v.</w:t>
      </w:r>
      <w:r>
        <w:tab/>
      </w:r>
      <w:r>
        <w:tab/>
      </w:r>
      <w:r>
        <w:tab/>
      </w:r>
      <w:r>
        <w:tab/>
      </w:r>
      <w:r>
        <w:tab/>
      </w:r>
      <w:r>
        <w:tab/>
        <w:t>:</w:t>
      </w:r>
      <w:r>
        <w:tab/>
      </w:r>
      <w:r>
        <w:tab/>
      </w:r>
      <w:r w:rsidR="00564106">
        <w:t>C-2011-2231202</w:t>
      </w:r>
    </w:p>
    <w:p w:rsidR="00564106" w:rsidRDefault="00564106" w:rsidP="00EF1E3D">
      <w:r>
        <w:tab/>
      </w:r>
      <w:r>
        <w:tab/>
      </w:r>
      <w:r>
        <w:tab/>
      </w:r>
      <w:r>
        <w:tab/>
      </w:r>
      <w:r>
        <w:tab/>
      </w:r>
      <w:r>
        <w:tab/>
      </w:r>
      <w:r>
        <w:tab/>
        <w:t>:</w:t>
      </w:r>
    </w:p>
    <w:p w:rsidR="00564106" w:rsidRDefault="00564106" w:rsidP="00EF1E3D">
      <w:r>
        <w:t>Duquesne Light Company</w:t>
      </w:r>
      <w:r>
        <w:tab/>
      </w:r>
      <w:r>
        <w:tab/>
      </w:r>
      <w:r>
        <w:tab/>
      </w:r>
      <w:r>
        <w:tab/>
        <w:t>:</w:t>
      </w:r>
    </w:p>
    <w:p w:rsidR="00564106" w:rsidRDefault="00564106" w:rsidP="00EF1E3D"/>
    <w:p w:rsidR="006C2975" w:rsidRDefault="006C2975" w:rsidP="00EF1E3D"/>
    <w:p w:rsidR="00564106" w:rsidRDefault="00564106" w:rsidP="00EF1E3D"/>
    <w:p w:rsidR="00564106" w:rsidRDefault="00564106" w:rsidP="00564106">
      <w:pPr>
        <w:jc w:val="center"/>
      </w:pPr>
      <w:r>
        <w:rPr>
          <w:b/>
          <w:u w:val="single"/>
        </w:rPr>
        <w:t>INITIAL DECISION</w:t>
      </w:r>
    </w:p>
    <w:p w:rsidR="00564106" w:rsidRDefault="00564106" w:rsidP="00564106">
      <w:pPr>
        <w:jc w:val="center"/>
      </w:pPr>
    </w:p>
    <w:p w:rsidR="00564106" w:rsidRDefault="00564106" w:rsidP="00564106">
      <w:pPr>
        <w:jc w:val="center"/>
      </w:pPr>
    </w:p>
    <w:p w:rsidR="00564106" w:rsidRDefault="00564106" w:rsidP="00564106">
      <w:pPr>
        <w:jc w:val="center"/>
      </w:pPr>
      <w:r>
        <w:t>Before</w:t>
      </w:r>
    </w:p>
    <w:p w:rsidR="00564106" w:rsidRDefault="00564106" w:rsidP="00564106">
      <w:pPr>
        <w:jc w:val="center"/>
      </w:pPr>
      <w:r>
        <w:t>John H. Corbett, Jr.</w:t>
      </w:r>
    </w:p>
    <w:p w:rsidR="00564106" w:rsidRDefault="00564106" w:rsidP="00564106">
      <w:pPr>
        <w:jc w:val="center"/>
      </w:pPr>
      <w:r>
        <w:t>Administrative Law Judge</w:t>
      </w:r>
    </w:p>
    <w:p w:rsidR="00564106" w:rsidRDefault="00564106" w:rsidP="00564106">
      <w:pPr>
        <w:jc w:val="center"/>
      </w:pPr>
    </w:p>
    <w:p w:rsidR="00564106" w:rsidRDefault="00564106" w:rsidP="00564106">
      <w:pPr>
        <w:jc w:val="center"/>
      </w:pPr>
    </w:p>
    <w:p w:rsidR="00564106" w:rsidRDefault="00564106" w:rsidP="00564106">
      <w:pPr>
        <w:jc w:val="center"/>
      </w:pPr>
      <w:r>
        <w:rPr>
          <w:u w:val="single"/>
        </w:rPr>
        <w:t>HISTORY OF THE PROCEEDING</w:t>
      </w:r>
    </w:p>
    <w:p w:rsidR="00564106" w:rsidRDefault="00564106" w:rsidP="00564106"/>
    <w:p w:rsidR="00564106" w:rsidRDefault="00564106" w:rsidP="00564106"/>
    <w:p w:rsidR="00564106" w:rsidRDefault="00634F92" w:rsidP="00564106">
      <w:pPr>
        <w:spacing w:line="360" w:lineRule="auto"/>
      </w:pPr>
      <w:r>
        <w:tab/>
      </w:r>
      <w:r>
        <w:tab/>
      </w:r>
      <w:r w:rsidR="00C346B1">
        <w:t xml:space="preserve">On March 14, 2011, William F. Pizoli (“Complainant”) filed a complaint with the Pennsylvania Public Utility Commission (“Commission”) </w:t>
      </w:r>
      <w:r w:rsidR="00EB479F">
        <w:t xml:space="preserve">alleging Duquesne Light Company (“Respondent” or “Duquesne Light”) </w:t>
      </w:r>
      <w:r w:rsidR="0093399D">
        <w:t>trespassed on his property, damaged a tree, and replaced a utility pole in the wrong location</w:t>
      </w:r>
      <w:r w:rsidR="00EC088F">
        <w:t xml:space="preserve"> in November 2010.  For relief, he asks the Commission to order </w:t>
      </w:r>
      <w:r w:rsidR="00B61A04">
        <w:t xml:space="preserve">this utility </w:t>
      </w:r>
      <w:r w:rsidR="002C28E4">
        <w:t>to re</w:t>
      </w:r>
      <w:r w:rsidR="00897994">
        <w:t xml:space="preserve">position </w:t>
      </w:r>
      <w:r w:rsidR="002C28E4">
        <w:t>the pole to an agreed-upon lo</w:t>
      </w:r>
      <w:r w:rsidR="00897994">
        <w:t>c</w:t>
      </w:r>
      <w:r w:rsidR="002C28E4">
        <w:t>ation</w:t>
      </w:r>
      <w:r w:rsidR="00897994">
        <w:t xml:space="preserve"> and for damages.  </w:t>
      </w:r>
      <w:r w:rsidR="0057350A">
        <w:t>On April 5, 2011,</w:t>
      </w:r>
      <w:r w:rsidR="002C1FAC" w:rsidRPr="002C1FAC">
        <w:t xml:space="preserve"> </w:t>
      </w:r>
      <w:r w:rsidR="002C1FAC">
        <w:t>Duquesne Light answered the complaint denying any wrongdoing.</w:t>
      </w:r>
    </w:p>
    <w:p w:rsidR="002C1FAC" w:rsidRDefault="002C1FAC" w:rsidP="00564106">
      <w:pPr>
        <w:spacing w:line="360" w:lineRule="auto"/>
      </w:pPr>
    </w:p>
    <w:p w:rsidR="002C1FAC" w:rsidRDefault="00A02CD4" w:rsidP="00564106">
      <w:pPr>
        <w:spacing w:line="360" w:lineRule="auto"/>
      </w:pPr>
      <w:r>
        <w:tab/>
      </w:r>
      <w:r>
        <w:tab/>
        <w:t xml:space="preserve">I received this case assignment on May 18, 2011.  </w:t>
      </w:r>
      <w:r w:rsidR="00FB538E">
        <w:t>A standard Prehearing Order was issued on May 19, 2011.</w:t>
      </w:r>
    </w:p>
    <w:p w:rsidR="00FB538E" w:rsidRDefault="00FB538E" w:rsidP="00564106">
      <w:pPr>
        <w:spacing w:line="360" w:lineRule="auto"/>
      </w:pPr>
    </w:p>
    <w:p w:rsidR="00FB538E" w:rsidRDefault="00FB538E" w:rsidP="00564106">
      <w:pPr>
        <w:spacing w:line="360" w:lineRule="auto"/>
      </w:pPr>
      <w:r>
        <w:tab/>
      </w:r>
      <w:r>
        <w:tab/>
        <w:t>A telephonic hearing was held on June 24, 2011</w:t>
      </w:r>
      <w:r w:rsidR="004D282C">
        <w:t xml:space="preserve">.  Complainant appeared </w:t>
      </w:r>
      <w:r w:rsidR="004D282C">
        <w:rPr>
          <w:i/>
        </w:rPr>
        <w:t>pro se</w:t>
      </w:r>
      <w:r w:rsidR="004D282C">
        <w:t xml:space="preserve">.  </w:t>
      </w:r>
      <w:r w:rsidR="00966D6E">
        <w:t xml:space="preserve">Krysia Kubiak, Esq., represented Respondent.  Complainant offered </w:t>
      </w:r>
      <w:r w:rsidR="00411516">
        <w:t>three exhibits and Respondent sponsored 14 exhibits (Respondent’s Exhs. 2, 4-15, and 17)</w:t>
      </w:r>
      <w:r w:rsidR="00C92128">
        <w:t>,</w:t>
      </w:r>
      <w:r w:rsidR="00411516">
        <w:t xml:space="preserve"> </w:t>
      </w:r>
      <w:r w:rsidR="00C92128">
        <w:t xml:space="preserve">all of which were admitted </w:t>
      </w:r>
      <w:r w:rsidR="00411516">
        <w:t>into the record</w:t>
      </w:r>
      <w:r w:rsidR="00C92128">
        <w:t>.  Neither party filed a brief.  The record closed on July 24, 2011.</w:t>
      </w:r>
    </w:p>
    <w:p w:rsidR="006C2975" w:rsidRDefault="006C2975" w:rsidP="00564106">
      <w:pPr>
        <w:spacing w:line="360" w:lineRule="auto"/>
      </w:pPr>
    </w:p>
    <w:p w:rsidR="006C2975" w:rsidRDefault="006C2975" w:rsidP="006C2975">
      <w:pPr>
        <w:spacing w:line="360" w:lineRule="auto"/>
        <w:jc w:val="center"/>
      </w:pPr>
      <w:r>
        <w:rPr>
          <w:u w:val="single"/>
        </w:rPr>
        <w:lastRenderedPageBreak/>
        <w:t>FINDINGS OF FACT</w:t>
      </w:r>
    </w:p>
    <w:p w:rsidR="006C2975" w:rsidRDefault="006C2975" w:rsidP="006C2975">
      <w:pPr>
        <w:spacing w:line="360" w:lineRule="auto"/>
      </w:pPr>
    </w:p>
    <w:p w:rsidR="006C2975" w:rsidRDefault="007146B7" w:rsidP="006C2975">
      <w:pPr>
        <w:pStyle w:val="ListParagraph"/>
        <w:numPr>
          <w:ilvl w:val="0"/>
          <w:numId w:val="1"/>
        </w:numPr>
        <w:spacing w:line="360" w:lineRule="auto"/>
        <w:ind w:left="0" w:firstLine="1440"/>
      </w:pPr>
      <w:r>
        <w:t>Complainant, William F. Pizoli, resides with his wife at 1 Guyasuta Road, Pittsburgh, Pennsylvania 15215</w:t>
      </w:r>
      <w:r w:rsidR="003E52B4">
        <w:t>, where they have lived since 1966</w:t>
      </w:r>
      <w:r w:rsidR="006739D3">
        <w:t>.  This property occupies approximately 3.05 acres of land in Fox Chapel Borough</w:t>
      </w:r>
      <w:r>
        <w:t xml:space="preserve"> (N.T. </w:t>
      </w:r>
      <w:r w:rsidR="003E52B4">
        <w:t>7-8</w:t>
      </w:r>
      <w:r w:rsidR="006739D3">
        <w:t>, 25</w:t>
      </w:r>
      <w:r>
        <w:t>).</w:t>
      </w:r>
    </w:p>
    <w:p w:rsidR="006739D3" w:rsidRDefault="006739D3" w:rsidP="006739D3">
      <w:pPr>
        <w:pStyle w:val="ListParagraph"/>
        <w:spacing w:line="360" w:lineRule="auto"/>
        <w:ind w:left="1440"/>
      </w:pPr>
    </w:p>
    <w:p w:rsidR="006739D3" w:rsidRDefault="00123612" w:rsidP="006C2975">
      <w:pPr>
        <w:pStyle w:val="ListParagraph"/>
        <w:numPr>
          <w:ilvl w:val="0"/>
          <w:numId w:val="1"/>
        </w:numPr>
        <w:spacing w:line="360" w:lineRule="auto"/>
        <w:ind w:left="0" w:firstLine="1440"/>
      </w:pPr>
      <w:r>
        <w:t>Respondent, Duquesne Light Company, owns a utility pole that is situated on Complainant’s property at the intersec</w:t>
      </w:r>
      <w:r w:rsidR="00BF57D7">
        <w:t>tion of Guyasuta Road and Squaw Run Road</w:t>
      </w:r>
      <w:r w:rsidR="00344A78">
        <w:t xml:space="preserve"> (N.T. 8</w:t>
      </w:r>
      <w:r w:rsidR="00E600F1">
        <w:t>, 14</w:t>
      </w:r>
      <w:r w:rsidR="00F0492B">
        <w:t>, 27</w:t>
      </w:r>
      <w:r w:rsidR="00447D2E">
        <w:t>, 29-30</w:t>
      </w:r>
      <w:r w:rsidR="00344A78">
        <w:t>; Complainant’s Exhs. 1 &amp; 2).</w:t>
      </w:r>
    </w:p>
    <w:p w:rsidR="00344A78" w:rsidRDefault="00344A78" w:rsidP="00344A78">
      <w:pPr>
        <w:pStyle w:val="ListParagraph"/>
      </w:pPr>
    </w:p>
    <w:p w:rsidR="00344A78" w:rsidRDefault="00803505" w:rsidP="006C2975">
      <w:pPr>
        <w:pStyle w:val="ListParagraph"/>
        <w:numPr>
          <w:ilvl w:val="0"/>
          <w:numId w:val="1"/>
        </w:numPr>
        <w:spacing w:line="360" w:lineRule="auto"/>
        <w:ind w:left="0" w:firstLine="1440"/>
      </w:pPr>
      <w:r>
        <w:t>On November 11,</w:t>
      </w:r>
      <w:r w:rsidR="003B483C">
        <w:t xml:space="preserve"> 2010, a Duquesne Light crew arrived on Complainant’s property to replace this utility pole that had been damaged weeks earlier due to an automobile acci</w:t>
      </w:r>
      <w:r w:rsidR="00717514">
        <w:t>d</w:t>
      </w:r>
      <w:r w:rsidR="003B483C">
        <w:t>ent</w:t>
      </w:r>
      <w:r w:rsidR="00717514">
        <w:t xml:space="preserve"> (N.T. 8-9</w:t>
      </w:r>
      <w:r w:rsidR="00447D2E">
        <w:t>, 30</w:t>
      </w:r>
      <w:r w:rsidR="00717514">
        <w:t>).</w:t>
      </w:r>
    </w:p>
    <w:p w:rsidR="00717514" w:rsidRDefault="00717514" w:rsidP="00717514">
      <w:pPr>
        <w:pStyle w:val="ListParagraph"/>
      </w:pPr>
    </w:p>
    <w:p w:rsidR="00717514" w:rsidRDefault="00890EBB" w:rsidP="006C2975">
      <w:pPr>
        <w:pStyle w:val="ListParagraph"/>
        <w:numPr>
          <w:ilvl w:val="0"/>
          <w:numId w:val="1"/>
        </w:numPr>
        <w:spacing w:line="360" w:lineRule="auto"/>
        <w:ind w:left="0" w:firstLine="1440"/>
      </w:pPr>
      <w:r>
        <w:t xml:space="preserve">Believing the property to be a continuation of a public park across the road, the </w:t>
      </w:r>
      <w:r w:rsidR="005143F3">
        <w:t>Duquesne Light crew removed several rails of Complainant’s split-rail fence and drove one of its trucks onto his property</w:t>
      </w:r>
      <w:r w:rsidR="00283FAD">
        <w:t xml:space="preserve"> to position the truck next to the pole (N.T. </w:t>
      </w:r>
      <w:r w:rsidR="008D6803">
        <w:t>9-10</w:t>
      </w:r>
      <w:r w:rsidR="00083A7D">
        <w:t>, 15-16</w:t>
      </w:r>
      <w:r w:rsidR="00254F3D">
        <w:t>, 20</w:t>
      </w:r>
      <w:r w:rsidR="00465F7D">
        <w:t>, 38</w:t>
      </w:r>
      <w:r w:rsidR="00465F7D">
        <w:noBreakHyphen/>
        <w:t>41</w:t>
      </w:r>
      <w:r w:rsidR="0027361F">
        <w:t>, 46-47</w:t>
      </w:r>
      <w:r w:rsidR="002C6C09">
        <w:t>, 49</w:t>
      </w:r>
      <w:r w:rsidR="00202711">
        <w:t>, 52-</w:t>
      </w:r>
      <w:r w:rsidR="00670741">
        <w:t>5</w:t>
      </w:r>
      <w:r w:rsidR="006B6CAC">
        <w:t>5</w:t>
      </w:r>
      <w:r w:rsidR="00465F7D">
        <w:t>; Respondent’s Exhs. 14 &amp; 15</w:t>
      </w:r>
      <w:r w:rsidR="00283FAD">
        <w:t>).</w:t>
      </w:r>
    </w:p>
    <w:p w:rsidR="00EE266F" w:rsidRDefault="00EE266F" w:rsidP="00EE266F">
      <w:pPr>
        <w:pStyle w:val="ListParagraph"/>
      </w:pPr>
    </w:p>
    <w:p w:rsidR="00EE266F" w:rsidRDefault="00EE266F" w:rsidP="006C2975">
      <w:pPr>
        <w:pStyle w:val="ListParagraph"/>
        <w:numPr>
          <w:ilvl w:val="0"/>
          <w:numId w:val="1"/>
        </w:numPr>
        <w:spacing w:line="360" w:lineRule="auto"/>
        <w:ind w:left="0" w:firstLine="1440"/>
      </w:pPr>
      <w:r>
        <w:t>Complainant’s house is located in a copse of trees about 500-600 feet from this utility pole (N.T. </w:t>
      </w:r>
      <w:r w:rsidR="00465F7D">
        <w:t>40</w:t>
      </w:r>
      <w:r>
        <w:t>).</w:t>
      </w:r>
    </w:p>
    <w:p w:rsidR="00283FAD" w:rsidRDefault="00283FAD" w:rsidP="00283FAD">
      <w:pPr>
        <w:pStyle w:val="ListParagraph"/>
      </w:pPr>
    </w:p>
    <w:p w:rsidR="00283FAD" w:rsidRDefault="00E00CF4" w:rsidP="006C2975">
      <w:pPr>
        <w:pStyle w:val="ListParagraph"/>
        <w:numPr>
          <w:ilvl w:val="0"/>
          <w:numId w:val="1"/>
        </w:numPr>
        <w:spacing w:line="360" w:lineRule="auto"/>
        <w:ind w:left="0" w:firstLine="1440"/>
      </w:pPr>
      <w:r>
        <w:t xml:space="preserve">After noticing the </w:t>
      </w:r>
      <w:r w:rsidR="00B11050">
        <w:t>truck on his property and activity near the utility pole, Complainant confronted the Duquesne Light crew, who informed him that they were replacing the damaged pole</w:t>
      </w:r>
      <w:r w:rsidR="00E112F2">
        <w:t xml:space="preserve"> (N.T. 9-10</w:t>
      </w:r>
      <w:r w:rsidR="004C1322">
        <w:t>, 41</w:t>
      </w:r>
      <w:r w:rsidR="00E112F2">
        <w:t>).</w:t>
      </w:r>
    </w:p>
    <w:p w:rsidR="00E112F2" w:rsidRDefault="00E112F2" w:rsidP="00E112F2">
      <w:pPr>
        <w:pStyle w:val="ListParagraph"/>
      </w:pPr>
    </w:p>
    <w:p w:rsidR="00E112F2" w:rsidRDefault="006B7350" w:rsidP="006C2975">
      <w:pPr>
        <w:pStyle w:val="ListParagraph"/>
        <w:numPr>
          <w:ilvl w:val="0"/>
          <w:numId w:val="1"/>
        </w:numPr>
        <w:spacing w:line="360" w:lineRule="auto"/>
        <w:ind w:left="0" w:firstLine="1440"/>
      </w:pPr>
      <w:r>
        <w:t>By the time Complainant met with</w:t>
      </w:r>
      <w:r w:rsidR="00967808">
        <w:t xml:space="preserve"> them</w:t>
      </w:r>
      <w:r>
        <w:t xml:space="preserve">, </w:t>
      </w:r>
      <w:r w:rsidR="00967808">
        <w:t>the Duquesne Light crew had already set in position the replacement pole (N.T. 10; Complainant’s Exh. 2).</w:t>
      </w:r>
    </w:p>
    <w:p w:rsidR="00967808" w:rsidRDefault="00967808" w:rsidP="00967808">
      <w:pPr>
        <w:pStyle w:val="ListParagraph"/>
      </w:pPr>
    </w:p>
    <w:p w:rsidR="00967808" w:rsidRDefault="00967808" w:rsidP="006C2975">
      <w:pPr>
        <w:pStyle w:val="ListParagraph"/>
        <w:numPr>
          <w:ilvl w:val="0"/>
          <w:numId w:val="1"/>
        </w:numPr>
        <w:spacing w:line="360" w:lineRule="auto"/>
        <w:ind w:left="0" w:firstLine="1440"/>
      </w:pPr>
      <w:r>
        <w:t>Complainant was upset</w:t>
      </w:r>
      <w:r w:rsidR="00532D07">
        <w:t xml:space="preserve"> that placement of the new utility pole did not conform to his understanding of an agreement he had reached with another </w:t>
      </w:r>
      <w:r w:rsidR="00B853A1">
        <w:t>Duquesne Light employee in September 2010 shortly after the automobile accident.  He belie</w:t>
      </w:r>
      <w:r w:rsidR="00B75D1C">
        <w:t>v</w:t>
      </w:r>
      <w:r w:rsidR="00B853A1">
        <w:t>ed</w:t>
      </w:r>
      <w:r w:rsidR="00B75D1C">
        <w:t xml:space="preserve"> Duquesne Light would place the new utility pole</w:t>
      </w:r>
      <w:r w:rsidR="000876E2">
        <w:t xml:space="preserve"> adjacent to the damaged pole in a gap in his split-rail fence and </w:t>
      </w:r>
      <w:r w:rsidR="000876E2">
        <w:lastRenderedPageBreak/>
        <w:t xml:space="preserve">in line with that fence.  Instead, the new utility pole was placed </w:t>
      </w:r>
      <w:r w:rsidR="00FC6029">
        <w:t xml:space="preserve">on the other side of the damaged pole </w:t>
      </w:r>
      <w:r w:rsidR="00D86287">
        <w:t xml:space="preserve">opposite </w:t>
      </w:r>
      <w:r w:rsidR="00EA700C">
        <w:t xml:space="preserve">the road </w:t>
      </w:r>
      <w:r w:rsidR="00FC6029">
        <w:t>and inside the fence</w:t>
      </w:r>
      <w:r w:rsidR="008A60E8">
        <w:t xml:space="preserve"> by two or three feet</w:t>
      </w:r>
      <w:r w:rsidR="00FC6029">
        <w:t xml:space="preserve">, thus leaving a wider gap in his fence </w:t>
      </w:r>
      <w:r w:rsidR="00EA700C">
        <w:t xml:space="preserve">and necessitating hand-trimming rather than </w:t>
      </w:r>
      <w:r w:rsidR="00EE5EDA">
        <w:t xml:space="preserve">allowing </w:t>
      </w:r>
      <w:r w:rsidR="00EA700C">
        <w:t>mechanical mowing of his lawn</w:t>
      </w:r>
      <w:r w:rsidR="00EE5EDA">
        <w:t xml:space="preserve"> (N.T. </w:t>
      </w:r>
      <w:r w:rsidR="009F3AA4">
        <w:t>8</w:t>
      </w:r>
      <w:r w:rsidR="00EE5EDA">
        <w:t>-10</w:t>
      </w:r>
      <w:r w:rsidR="00D92463">
        <w:t>, 12</w:t>
      </w:r>
      <w:r w:rsidR="00E600F1">
        <w:t>-1</w:t>
      </w:r>
      <w:r w:rsidR="00083A7D">
        <w:t>7</w:t>
      </w:r>
      <w:r w:rsidR="00EF3779">
        <w:t>, 21</w:t>
      </w:r>
      <w:r w:rsidR="008A60E8">
        <w:t>, 24-25</w:t>
      </w:r>
      <w:r w:rsidR="00EE5EDA">
        <w:t>; Complainant’s Exh. 2).</w:t>
      </w:r>
    </w:p>
    <w:p w:rsidR="00535961" w:rsidRDefault="00535961" w:rsidP="00535961">
      <w:pPr>
        <w:pStyle w:val="ListParagraph"/>
      </w:pPr>
    </w:p>
    <w:p w:rsidR="00535961" w:rsidRDefault="00535961" w:rsidP="006C2975">
      <w:pPr>
        <w:pStyle w:val="ListParagraph"/>
        <w:numPr>
          <w:ilvl w:val="0"/>
          <w:numId w:val="1"/>
        </w:numPr>
        <w:spacing w:line="360" w:lineRule="auto"/>
        <w:ind w:left="0" w:firstLine="1440"/>
      </w:pPr>
      <w:r>
        <w:t>Complainant insists the Duquesne Light crew trespassed on his property without asking for permission</w:t>
      </w:r>
      <w:r w:rsidR="00660B7F">
        <w:t xml:space="preserve"> (N.T. </w:t>
      </w:r>
      <w:r w:rsidR="00C47893">
        <w:t xml:space="preserve">10-12, </w:t>
      </w:r>
      <w:r w:rsidR="00254F3D">
        <w:t xml:space="preserve">16, </w:t>
      </w:r>
      <w:r w:rsidR="00660B7F">
        <w:t>19</w:t>
      </w:r>
      <w:r w:rsidR="00AE50A3">
        <w:t>, 25</w:t>
      </w:r>
      <w:r w:rsidR="00660B7F">
        <w:t>).</w:t>
      </w:r>
    </w:p>
    <w:p w:rsidR="00EE5EDA" w:rsidRDefault="00EE5EDA" w:rsidP="00EE5EDA">
      <w:pPr>
        <w:pStyle w:val="ListParagraph"/>
      </w:pPr>
    </w:p>
    <w:p w:rsidR="00EE5EDA" w:rsidRDefault="00BE3E98" w:rsidP="006C2975">
      <w:pPr>
        <w:pStyle w:val="ListParagraph"/>
        <w:numPr>
          <w:ilvl w:val="0"/>
          <w:numId w:val="1"/>
        </w:numPr>
        <w:spacing w:line="360" w:lineRule="auto"/>
        <w:ind w:left="0" w:firstLine="1440"/>
      </w:pPr>
      <w:r>
        <w:t>When the crew would not heed his entreaty to reposition the new utility pole, Complainant parked three of his vehicles around the Duquesne Light truck to box it in so it could not leave (N.T. 11</w:t>
      </w:r>
      <w:r w:rsidR="00EE4A53">
        <w:t>, 21-2</w:t>
      </w:r>
      <w:r w:rsidR="007019D8">
        <w:t>3</w:t>
      </w:r>
      <w:r w:rsidR="00BD25B2">
        <w:t>, 42</w:t>
      </w:r>
      <w:r w:rsidR="00F96F60">
        <w:t>-43</w:t>
      </w:r>
      <w:r w:rsidR="00670741">
        <w:t>, 53</w:t>
      </w:r>
      <w:r>
        <w:t>).</w:t>
      </w:r>
    </w:p>
    <w:p w:rsidR="00025B6C" w:rsidRDefault="00025B6C" w:rsidP="00025B6C">
      <w:pPr>
        <w:pStyle w:val="ListParagraph"/>
      </w:pPr>
    </w:p>
    <w:p w:rsidR="00025B6C" w:rsidRDefault="005C4E6B" w:rsidP="006C2975">
      <w:pPr>
        <w:pStyle w:val="ListParagraph"/>
        <w:numPr>
          <w:ilvl w:val="0"/>
          <w:numId w:val="1"/>
        </w:numPr>
        <w:spacing w:line="360" w:lineRule="auto"/>
        <w:ind w:left="0" w:firstLine="1440"/>
      </w:pPr>
      <w:r>
        <w:t>Complainant did not want</w:t>
      </w:r>
      <w:r w:rsidR="00BD25B2">
        <w:t xml:space="preserve"> the truck to move until the Duquesne Light crew had repositioned the new utility pole to where he thought it should be located (N.T. 42</w:t>
      </w:r>
      <w:r w:rsidR="00F96F60">
        <w:t>-43</w:t>
      </w:r>
      <w:r w:rsidR="00BD25B2">
        <w:t>).</w:t>
      </w:r>
    </w:p>
    <w:p w:rsidR="0098517C" w:rsidRDefault="0098517C" w:rsidP="0098517C">
      <w:pPr>
        <w:pStyle w:val="ListParagraph"/>
      </w:pPr>
    </w:p>
    <w:p w:rsidR="0098517C" w:rsidRDefault="00537BC7" w:rsidP="006C2975">
      <w:pPr>
        <w:pStyle w:val="ListParagraph"/>
        <w:numPr>
          <w:ilvl w:val="0"/>
          <w:numId w:val="1"/>
        </w:numPr>
        <w:spacing w:line="360" w:lineRule="auto"/>
        <w:ind w:left="0" w:firstLine="1440"/>
      </w:pPr>
      <w:r>
        <w:t>The confrontation began at lunch time.  When it still had not been resolved by 3:30 p.m.</w:t>
      </w:r>
      <w:r w:rsidR="007F7594">
        <w:t xml:space="preserve"> and with their work </w:t>
      </w:r>
      <w:r w:rsidR="0029136C">
        <w:t xml:space="preserve">shift </w:t>
      </w:r>
      <w:r w:rsidR="007F7594">
        <w:t xml:space="preserve">having been </w:t>
      </w:r>
      <w:r w:rsidR="0029136C">
        <w:t xml:space="preserve">nearly </w:t>
      </w:r>
      <w:r w:rsidR="007F7594">
        <w:t>completed,</w:t>
      </w:r>
      <w:r w:rsidR="005224E2">
        <w:t xml:space="preserve"> the Duquesne Light crew again removed rails from the fence, removed a stop sign, backed their truck over a young sapling, and left (N.T. </w:t>
      </w:r>
      <w:r w:rsidR="00D92463">
        <w:t>11</w:t>
      </w:r>
      <w:r w:rsidR="004C1322">
        <w:t>, 41</w:t>
      </w:r>
      <w:r w:rsidR="00F96F60">
        <w:t>-4</w:t>
      </w:r>
      <w:r w:rsidR="0029136C">
        <w:t>4</w:t>
      </w:r>
      <w:r w:rsidR="00670741">
        <w:t>, 53</w:t>
      </w:r>
      <w:r w:rsidR="004522F2">
        <w:t>-5</w:t>
      </w:r>
      <w:r w:rsidR="006B6CAC">
        <w:t>5</w:t>
      </w:r>
      <w:r w:rsidR="00F46A63">
        <w:t>, 58</w:t>
      </w:r>
      <w:r w:rsidR="004522F2">
        <w:t>; Respondent’s Exhs. 12 &amp; 13</w:t>
      </w:r>
      <w:r w:rsidR="005224E2">
        <w:t>).</w:t>
      </w:r>
    </w:p>
    <w:p w:rsidR="00D92463" w:rsidRDefault="00D92463" w:rsidP="00D92463">
      <w:pPr>
        <w:pStyle w:val="ListParagraph"/>
      </w:pPr>
    </w:p>
    <w:p w:rsidR="00D92463" w:rsidRDefault="00E93699" w:rsidP="006C2975">
      <w:pPr>
        <w:pStyle w:val="ListParagraph"/>
        <w:numPr>
          <w:ilvl w:val="0"/>
          <w:numId w:val="1"/>
        </w:numPr>
        <w:spacing w:line="360" w:lineRule="auto"/>
        <w:ind w:left="0" w:firstLine="1440"/>
      </w:pPr>
      <w:r>
        <w:t xml:space="preserve">The Duquesne Light crew left the damaged pole in place, because telephone and cable </w:t>
      </w:r>
      <w:r w:rsidR="005F22EA">
        <w:t xml:space="preserve">television </w:t>
      </w:r>
      <w:r>
        <w:t xml:space="preserve">utilities still had </w:t>
      </w:r>
      <w:r w:rsidR="007A7F9E">
        <w:t>their facilities attached to it (N.T. 16</w:t>
      </w:r>
      <w:r w:rsidR="005F22EA">
        <w:t>, 37</w:t>
      </w:r>
      <w:r w:rsidR="00E86E28">
        <w:t>-38</w:t>
      </w:r>
      <w:r w:rsidR="007A7F9E">
        <w:t>; Complainant’s Exh. 2).</w:t>
      </w:r>
    </w:p>
    <w:p w:rsidR="007A7F9E" w:rsidRDefault="007A7F9E" w:rsidP="007A7F9E">
      <w:pPr>
        <w:pStyle w:val="ListParagraph"/>
      </w:pPr>
    </w:p>
    <w:p w:rsidR="007A7F9E" w:rsidRDefault="007019D8" w:rsidP="006C2975">
      <w:pPr>
        <w:pStyle w:val="ListParagraph"/>
        <w:numPr>
          <w:ilvl w:val="0"/>
          <w:numId w:val="1"/>
        </w:numPr>
        <w:spacing w:line="360" w:lineRule="auto"/>
        <w:ind w:left="0" w:firstLine="1440"/>
      </w:pPr>
      <w:r>
        <w:t>The Duquesne Light crew offered to pay for the damage to the sapling (N.T. 23</w:t>
      </w:r>
      <w:r w:rsidR="00FD0B12">
        <w:t>-24</w:t>
      </w:r>
      <w:r w:rsidR="00F46A63">
        <w:t>, 58</w:t>
      </w:r>
      <w:r>
        <w:t>).</w:t>
      </w:r>
    </w:p>
    <w:p w:rsidR="007019D8" w:rsidRDefault="007019D8" w:rsidP="007019D8">
      <w:pPr>
        <w:pStyle w:val="ListParagraph"/>
      </w:pPr>
    </w:p>
    <w:p w:rsidR="007019D8" w:rsidRDefault="006C463A" w:rsidP="006C2975">
      <w:pPr>
        <w:pStyle w:val="ListParagraph"/>
        <w:numPr>
          <w:ilvl w:val="0"/>
          <w:numId w:val="1"/>
        </w:numPr>
        <w:spacing w:line="360" w:lineRule="auto"/>
        <w:ind w:left="0" w:firstLine="1440"/>
      </w:pPr>
      <w:r>
        <w:t xml:space="preserve">Complainant insists he does not want any compensation for damage to his property.  He wants the pole moved so grass-cutting equipment can mow </w:t>
      </w:r>
      <w:r w:rsidR="00AE50A3">
        <w:t>his lawn continuously along his fence line (N.T. 24-25).</w:t>
      </w:r>
    </w:p>
    <w:p w:rsidR="000B74BB" w:rsidRDefault="000B74BB" w:rsidP="000B74BB">
      <w:pPr>
        <w:pStyle w:val="ListParagraph"/>
      </w:pPr>
    </w:p>
    <w:p w:rsidR="000B74BB" w:rsidRDefault="003864CA" w:rsidP="006C2975">
      <w:pPr>
        <w:pStyle w:val="ListParagraph"/>
        <w:numPr>
          <w:ilvl w:val="0"/>
          <w:numId w:val="1"/>
        </w:numPr>
        <w:spacing w:line="360" w:lineRule="auto"/>
        <w:ind w:left="0" w:firstLine="1440"/>
      </w:pPr>
      <w:r>
        <w:t xml:space="preserve">A Duquesne Light crew was dispatched on September 27, 2010 to repair the </w:t>
      </w:r>
      <w:r w:rsidR="00BB766A">
        <w:t xml:space="preserve">utility </w:t>
      </w:r>
      <w:r>
        <w:t>pole damaged at this location due to an earlier automobile accident (N.T. 30-31</w:t>
      </w:r>
      <w:r w:rsidR="002C6C09">
        <w:t>, 48</w:t>
      </w:r>
      <w:r w:rsidR="00D261C3">
        <w:t>; Respondent’s Exh. 4</w:t>
      </w:r>
      <w:r>
        <w:t>).</w:t>
      </w:r>
    </w:p>
    <w:p w:rsidR="00D261C3" w:rsidRDefault="00D261C3" w:rsidP="00D261C3">
      <w:pPr>
        <w:pStyle w:val="ListParagraph"/>
      </w:pPr>
    </w:p>
    <w:p w:rsidR="00D261C3" w:rsidRDefault="00D261C3" w:rsidP="006C2975">
      <w:pPr>
        <w:pStyle w:val="ListParagraph"/>
        <w:numPr>
          <w:ilvl w:val="0"/>
          <w:numId w:val="1"/>
        </w:numPr>
        <w:spacing w:line="360" w:lineRule="auto"/>
        <w:ind w:left="0" w:firstLine="1440"/>
      </w:pPr>
      <w:r>
        <w:t>On October 13, 2010, a Duquesne Light crew</w:t>
      </w:r>
      <w:r w:rsidR="00BB766A">
        <w:t xml:space="preserve"> received a work order to replace the same damaged utility pole (N.T. 32; Respondent’s Exh. 6).</w:t>
      </w:r>
    </w:p>
    <w:p w:rsidR="00E06ACB" w:rsidRDefault="00E06ACB" w:rsidP="00E06ACB">
      <w:pPr>
        <w:pStyle w:val="ListParagraph"/>
      </w:pPr>
    </w:p>
    <w:p w:rsidR="00E06ACB" w:rsidRDefault="00E06ACB" w:rsidP="006C2975">
      <w:pPr>
        <w:pStyle w:val="ListParagraph"/>
        <w:numPr>
          <w:ilvl w:val="0"/>
          <w:numId w:val="1"/>
        </w:numPr>
        <w:spacing w:line="360" w:lineRule="auto"/>
        <w:ind w:left="0" w:firstLine="1440"/>
      </w:pPr>
      <w:r>
        <w:t>Duquesne Light obtained a county permit</w:t>
      </w:r>
      <w:r w:rsidR="00986CF0">
        <w:t xml:space="preserve"> for the work (N.T. 58-59; Respondent’s Exh. 5).</w:t>
      </w:r>
    </w:p>
    <w:p w:rsidR="00BB766A" w:rsidRDefault="00BB766A" w:rsidP="00BB766A">
      <w:pPr>
        <w:pStyle w:val="ListParagraph"/>
      </w:pPr>
    </w:p>
    <w:p w:rsidR="002A03F6" w:rsidRDefault="00041F73" w:rsidP="004C5DDB">
      <w:pPr>
        <w:pStyle w:val="ListParagraph"/>
        <w:numPr>
          <w:ilvl w:val="0"/>
          <w:numId w:val="1"/>
        </w:numPr>
        <w:spacing w:line="360" w:lineRule="auto"/>
        <w:ind w:left="0" w:firstLine="1440"/>
      </w:pPr>
      <w:r>
        <w:t>Duquesne Light then contacted the Pennsylvania One Call System to have the underground utilities in the area of the damaged utility pole</w:t>
      </w:r>
      <w:r w:rsidR="004A33A2">
        <w:t xml:space="preserve"> marked for identification.  A verification number was then obtained and </w:t>
      </w:r>
      <w:r w:rsidR="00F846B3">
        <w:t xml:space="preserve">possible </w:t>
      </w:r>
      <w:r w:rsidR="004A33A2">
        <w:t>excavation date</w:t>
      </w:r>
      <w:r w:rsidR="00F846B3">
        <w:t>s</w:t>
      </w:r>
      <w:r w:rsidR="004A33A2">
        <w:t xml:space="preserve"> given (N.T. 32-</w:t>
      </w:r>
      <w:r w:rsidR="00733808">
        <w:t>34</w:t>
      </w:r>
      <w:r w:rsidR="006C3315">
        <w:t>, 47</w:t>
      </w:r>
      <w:r w:rsidR="00202711">
        <w:t>, 50</w:t>
      </w:r>
      <w:r w:rsidR="00E06ACB">
        <w:t>, 58</w:t>
      </w:r>
      <w:r w:rsidR="00733808">
        <w:t>; Respondent’s Exhs. 7 &amp; 9</w:t>
      </w:r>
      <w:r w:rsidR="004A33A2">
        <w:t>).</w:t>
      </w:r>
    </w:p>
    <w:p w:rsidR="00733808" w:rsidRDefault="00733808" w:rsidP="00733808">
      <w:pPr>
        <w:pStyle w:val="ListParagraph"/>
      </w:pPr>
    </w:p>
    <w:p w:rsidR="00733808" w:rsidRDefault="00A84E58" w:rsidP="006C2975">
      <w:pPr>
        <w:pStyle w:val="ListParagraph"/>
        <w:numPr>
          <w:ilvl w:val="0"/>
          <w:numId w:val="1"/>
        </w:numPr>
        <w:spacing w:line="360" w:lineRule="auto"/>
        <w:ind w:left="0" w:firstLine="1440"/>
      </w:pPr>
      <w:r>
        <w:t>The Duquesne Light crew that went out to the worksite to replace the damaged utility pole consisted of four linemen</w:t>
      </w:r>
      <w:r w:rsidR="00EF12EE">
        <w:t xml:space="preserve"> and two apprentices.  They had a winch truck, two bucket trucks and a pickup truck (N.T. 34).</w:t>
      </w:r>
    </w:p>
    <w:p w:rsidR="00EF12EE" w:rsidRDefault="00EF12EE" w:rsidP="00EF12EE">
      <w:pPr>
        <w:pStyle w:val="ListParagraph"/>
      </w:pPr>
    </w:p>
    <w:p w:rsidR="00EF12EE" w:rsidRDefault="00783A65" w:rsidP="006C2975">
      <w:pPr>
        <w:pStyle w:val="ListParagraph"/>
        <w:numPr>
          <w:ilvl w:val="0"/>
          <w:numId w:val="1"/>
        </w:numPr>
        <w:spacing w:line="360" w:lineRule="auto"/>
        <w:ind w:left="0" w:firstLine="1440"/>
      </w:pPr>
      <w:r>
        <w:t xml:space="preserve">The damaged utility pole was a “dead-end” pole </w:t>
      </w:r>
      <w:r w:rsidR="00ED3B2F">
        <w:t xml:space="preserve">carrying </w:t>
      </w:r>
      <w:r>
        <w:t>three-phase</w:t>
      </w:r>
      <w:r w:rsidR="00826CED">
        <w:t xml:space="preserve"> wires with three-phase wires bucking off with jumpers and multiple arms</w:t>
      </w:r>
      <w:r w:rsidR="00BF76B6">
        <w:t xml:space="preserve">.  It had a lot of equipment on it.  It </w:t>
      </w:r>
      <w:r w:rsidR="00444D9A">
        <w:t xml:space="preserve">held </w:t>
      </w:r>
      <w:r w:rsidR="00BF76B6">
        <w:t>a feeder circuit, which is the main part of the circuit (N.T. 35; Respondent’s Exh. 10).</w:t>
      </w:r>
    </w:p>
    <w:p w:rsidR="00BF76B6" w:rsidRDefault="00BF76B6" w:rsidP="00BF76B6">
      <w:pPr>
        <w:pStyle w:val="ListParagraph"/>
      </w:pPr>
    </w:p>
    <w:p w:rsidR="00BF76B6" w:rsidRDefault="00BB529A" w:rsidP="006C2975">
      <w:pPr>
        <w:pStyle w:val="ListParagraph"/>
        <w:numPr>
          <w:ilvl w:val="0"/>
          <w:numId w:val="1"/>
        </w:numPr>
        <w:spacing w:line="360" w:lineRule="auto"/>
        <w:ind w:left="0" w:firstLine="1440"/>
      </w:pPr>
      <w:r>
        <w:t>Duquesne Light opines it would have been unsafe to pull the old utility pole out and replace it with the new utility pole in the same</w:t>
      </w:r>
      <w:r w:rsidR="00E92A19">
        <w:t xml:space="preserve"> hole.  The old utility pole was broken about half way </w:t>
      </w:r>
      <w:r w:rsidR="00654481">
        <w:t xml:space="preserve">up </w:t>
      </w:r>
      <w:r w:rsidR="00E92A19">
        <w:t>and splinted to make it safe, but</w:t>
      </w:r>
      <w:r w:rsidR="00654481">
        <w:t xml:space="preserve"> it was unstable for moving with all of the equipment and wires on it.  The utility pole also carried telephone and cable television lines (N.T. 36</w:t>
      </w:r>
      <w:r w:rsidR="00322986">
        <w:t>, 61</w:t>
      </w:r>
      <w:r w:rsidR="00654481">
        <w:t>).</w:t>
      </w:r>
    </w:p>
    <w:p w:rsidR="00654481" w:rsidRDefault="00654481" w:rsidP="00654481">
      <w:pPr>
        <w:pStyle w:val="ListParagraph"/>
      </w:pPr>
    </w:p>
    <w:p w:rsidR="00654481" w:rsidRDefault="00482EF8" w:rsidP="006C2975">
      <w:pPr>
        <w:pStyle w:val="ListParagraph"/>
        <w:numPr>
          <w:ilvl w:val="0"/>
          <w:numId w:val="1"/>
        </w:numPr>
        <w:spacing w:line="360" w:lineRule="auto"/>
        <w:ind w:left="0" w:firstLine="1440"/>
      </w:pPr>
      <w:r>
        <w:t>Duquesne Light opines the new utility pole was placed in exactly the right location for a safe installation (N.T. 36-37</w:t>
      </w:r>
      <w:r w:rsidR="00E70E0C">
        <w:t>, 45</w:t>
      </w:r>
      <w:r w:rsidR="00986CF0">
        <w:t>, 60</w:t>
      </w:r>
      <w:r w:rsidR="00322986">
        <w:t>-61</w:t>
      </w:r>
      <w:r>
        <w:t>).</w:t>
      </w:r>
    </w:p>
    <w:p w:rsidR="00F260A8" w:rsidRDefault="00F260A8" w:rsidP="00F260A8">
      <w:pPr>
        <w:pStyle w:val="ListParagraph"/>
        <w:spacing w:line="360" w:lineRule="auto"/>
        <w:ind w:left="1440"/>
      </w:pPr>
    </w:p>
    <w:p w:rsidR="00482EF8" w:rsidRDefault="004C5DDB" w:rsidP="006C2975">
      <w:pPr>
        <w:pStyle w:val="ListParagraph"/>
        <w:numPr>
          <w:ilvl w:val="0"/>
          <w:numId w:val="1"/>
        </w:numPr>
        <w:spacing w:line="360" w:lineRule="auto"/>
        <w:ind w:left="0" w:firstLine="1440"/>
      </w:pPr>
      <w:r>
        <w:t>While excavating, a utility is required to stay at least 30 inches away from any markings of the Pennsylvania One Call System (N.T. 44-45; Respondent’s Exh. 17).</w:t>
      </w:r>
    </w:p>
    <w:p w:rsidR="004C5DDB" w:rsidRDefault="004C5DDB" w:rsidP="004C5DDB">
      <w:pPr>
        <w:pStyle w:val="ListParagraph"/>
      </w:pPr>
    </w:p>
    <w:p w:rsidR="004C5DDB" w:rsidRDefault="00DB61EA" w:rsidP="006C2975">
      <w:pPr>
        <w:pStyle w:val="ListParagraph"/>
        <w:numPr>
          <w:ilvl w:val="0"/>
          <w:numId w:val="1"/>
        </w:numPr>
        <w:spacing w:line="360" w:lineRule="auto"/>
        <w:ind w:left="0" w:firstLine="1440"/>
      </w:pPr>
      <w:r>
        <w:lastRenderedPageBreak/>
        <w:t>Duquesne Light opines a further limitation on the possible location of the replacement utility pole was the markings of the Pennsylvania One Call System, which made it impossible for the new utility pole to be placed</w:t>
      </w:r>
      <w:r w:rsidR="00E70E0C">
        <w:t xml:space="preserve"> where the Complainant wanted it (N.T. 45</w:t>
      </w:r>
      <w:r w:rsidR="00322986">
        <w:t>, 61</w:t>
      </w:r>
      <w:r w:rsidR="00E70E0C">
        <w:t>).</w:t>
      </w:r>
    </w:p>
    <w:p w:rsidR="00D95A0A" w:rsidRDefault="00D95A0A" w:rsidP="00D95A0A">
      <w:pPr>
        <w:pStyle w:val="ListParagraph"/>
      </w:pPr>
    </w:p>
    <w:p w:rsidR="00D95A0A" w:rsidRDefault="00D95A0A" w:rsidP="006C2975">
      <w:pPr>
        <w:pStyle w:val="ListParagraph"/>
        <w:numPr>
          <w:ilvl w:val="0"/>
          <w:numId w:val="1"/>
        </w:numPr>
        <w:spacing w:line="360" w:lineRule="auto"/>
        <w:ind w:left="0" w:firstLine="1440"/>
      </w:pPr>
      <w:r>
        <w:t>Due to a municipal ordinance, the new utility pole had to be placed a minimu</w:t>
      </w:r>
      <w:r w:rsidR="0027361F">
        <w:t>m distance of three feet from the curb (N.T. 45-46; Respondent’s Exh. 9).</w:t>
      </w:r>
    </w:p>
    <w:p w:rsidR="0027361F" w:rsidRDefault="0027361F" w:rsidP="0027361F">
      <w:pPr>
        <w:pStyle w:val="ListParagraph"/>
      </w:pPr>
    </w:p>
    <w:p w:rsidR="00F260A8" w:rsidRDefault="00F260A8" w:rsidP="0027361F">
      <w:pPr>
        <w:pStyle w:val="ListParagraph"/>
      </w:pPr>
    </w:p>
    <w:p w:rsidR="0027361F" w:rsidRDefault="00D94284" w:rsidP="00D94284">
      <w:pPr>
        <w:spacing w:line="360" w:lineRule="auto"/>
        <w:jc w:val="center"/>
      </w:pPr>
      <w:r>
        <w:rPr>
          <w:u w:val="single"/>
        </w:rPr>
        <w:t>DISCUSSION</w:t>
      </w:r>
    </w:p>
    <w:p w:rsidR="00D94284" w:rsidRDefault="00D94284" w:rsidP="00D94284">
      <w:pPr>
        <w:spacing w:line="360" w:lineRule="auto"/>
      </w:pPr>
    </w:p>
    <w:p w:rsidR="00F26BB6" w:rsidRDefault="0041375F" w:rsidP="00D94284">
      <w:pPr>
        <w:spacing w:line="360" w:lineRule="auto"/>
      </w:pPr>
      <w:r>
        <w:tab/>
      </w:r>
      <w:r>
        <w:tab/>
        <w:t xml:space="preserve">Complainant challenges </w:t>
      </w:r>
      <w:r w:rsidR="00F27CC0">
        <w:t xml:space="preserve">Respondent’s choice of locating </w:t>
      </w:r>
      <w:r w:rsidR="00EA0263">
        <w:t xml:space="preserve">a replacement utility pole on his property.  </w:t>
      </w:r>
      <w:r w:rsidR="002816A7">
        <w:t xml:space="preserve">He also charges </w:t>
      </w:r>
      <w:r w:rsidR="001773D6">
        <w:t xml:space="preserve">Duquesne Light </w:t>
      </w:r>
      <w:r w:rsidR="002816A7">
        <w:t xml:space="preserve">employees with trespass and damaging his property </w:t>
      </w:r>
      <w:r w:rsidR="00347342">
        <w:t xml:space="preserve">when they </w:t>
      </w:r>
      <w:r w:rsidR="002816A7">
        <w:t>replac</w:t>
      </w:r>
      <w:r w:rsidR="00347342">
        <w:t>ed</w:t>
      </w:r>
      <w:r w:rsidR="002816A7">
        <w:t xml:space="preserve"> </w:t>
      </w:r>
      <w:r w:rsidR="00AA01C5">
        <w:t>the utility pole.  Each of these issues will be addressed as follows.</w:t>
      </w:r>
      <w:r w:rsidR="00F26BB6">
        <w:t xml:space="preserve">  We turn first to the issues of trespass and damages.</w:t>
      </w:r>
    </w:p>
    <w:p w:rsidR="00F26BB6" w:rsidRDefault="00F26BB6" w:rsidP="00D94284">
      <w:pPr>
        <w:spacing w:line="360" w:lineRule="auto"/>
      </w:pPr>
    </w:p>
    <w:p w:rsidR="00F26BB6" w:rsidRDefault="00F26BB6" w:rsidP="00D94284">
      <w:pPr>
        <w:spacing w:line="360" w:lineRule="auto"/>
      </w:pPr>
      <w:r>
        <w:t>A.</w:t>
      </w:r>
      <w:r>
        <w:tab/>
      </w:r>
      <w:r>
        <w:rPr>
          <w:u w:val="single"/>
        </w:rPr>
        <w:t>Jurisdiction</w:t>
      </w:r>
    </w:p>
    <w:p w:rsidR="00F26BB6" w:rsidRDefault="00F26BB6" w:rsidP="00D94284">
      <w:pPr>
        <w:spacing w:line="360" w:lineRule="auto"/>
      </w:pPr>
    </w:p>
    <w:p w:rsidR="0052078A" w:rsidRDefault="00F26BB6" w:rsidP="0052078A">
      <w:pPr>
        <w:spacing w:line="360" w:lineRule="auto"/>
      </w:pPr>
      <w:r>
        <w:tab/>
      </w:r>
      <w:r>
        <w:tab/>
      </w:r>
      <w:r w:rsidR="0052078A" w:rsidRPr="00A937DA">
        <w:t xml:space="preserve">As a creature of legislation, the Commission possesses only the authority the State Legislature has specifically granted to it in the Public Utility Code (the “Code”), 66 Pa. C.S. §§101, </w:t>
      </w:r>
      <w:r w:rsidR="0052078A" w:rsidRPr="00A937DA">
        <w:rPr>
          <w:i/>
        </w:rPr>
        <w:t>et seq</w:t>
      </w:r>
      <w:r w:rsidR="0052078A" w:rsidRPr="00A937DA">
        <w:t xml:space="preserve">.  Its jurisdiction must arise from the express language of the pertinent enabling legislation or by strong and necessary implication therefrom.  </w:t>
      </w:r>
      <w:r w:rsidR="0052078A" w:rsidRPr="00A937DA">
        <w:rPr>
          <w:u w:val="single"/>
        </w:rPr>
        <w:t xml:space="preserve">Feingold v. </w:t>
      </w:r>
      <w:smartTag w:uri="urn:schemas-microsoft-com:office:smarttags" w:element="City">
        <w:smartTag w:uri="urn:schemas-microsoft-com:office:smarttags" w:element="place">
          <w:r w:rsidR="0052078A" w:rsidRPr="00A937DA">
            <w:rPr>
              <w:u w:val="single"/>
            </w:rPr>
            <w:t>Bell</w:t>
          </w:r>
        </w:smartTag>
      </w:smartTag>
      <w:r w:rsidR="0052078A" w:rsidRPr="00A937DA">
        <w:rPr>
          <w:u w:val="single"/>
        </w:rPr>
        <w:t xml:space="preserve"> of </w:t>
      </w:r>
      <w:smartTag w:uri="urn:schemas-microsoft-com:office:smarttags" w:element="State">
        <w:smartTag w:uri="urn:schemas-microsoft-com:office:smarttags" w:element="place">
          <w:r w:rsidR="0052078A" w:rsidRPr="00A937DA">
            <w:rPr>
              <w:u w:val="single"/>
            </w:rPr>
            <w:t>Pa.</w:t>
          </w:r>
        </w:smartTag>
      </w:smartTag>
      <w:r w:rsidR="0052078A" w:rsidRPr="00A937DA">
        <w:t xml:space="preserve">, 477 </w:t>
      </w:r>
      <w:smartTag w:uri="urn:schemas-microsoft-com:office:smarttags" w:element="State">
        <w:smartTag w:uri="urn:schemas-microsoft-com:office:smarttags" w:element="place">
          <w:r w:rsidR="0052078A" w:rsidRPr="00A937DA">
            <w:t>Pa.</w:t>
          </w:r>
        </w:smartTag>
      </w:smartTag>
      <w:r w:rsidR="0052078A" w:rsidRPr="00A937DA">
        <w:t xml:space="preserve"> 1, 383 A.2d </w:t>
      </w:r>
      <w:r w:rsidR="0052078A">
        <w:t>7</w:t>
      </w:r>
      <w:r w:rsidR="0052078A" w:rsidRPr="00A937DA">
        <w:t xml:space="preserve">91 (1977); </w:t>
      </w:r>
      <w:r w:rsidR="0052078A" w:rsidRPr="00A937DA">
        <w:rPr>
          <w:u w:val="single"/>
        </w:rPr>
        <w:t xml:space="preserve">Allegheny County Port Authority v. </w:t>
      </w:r>
      <w:smartTag w:uri="urn:schemas-microsoft-com:office:smarttags" w:element="State">
        <w:smartTag w:uri="urn:schemas-microsoft-com:office:smarttags" w:element="place">
          <w:r w:rsidR="0052078A" w:rsidRPr="00A937DA">
            <w:rPr>
              <w:u w:val="single"/>
            </w:rPr>
            <w:t>Pa.</w:t>
          </w:r>
        </w:smartTag>
      </w:smartTag>
      <w:r w:rsidR="0052078A" w:rsidRPr="00A937DA">
        <w:rPr>
          <w:u w:val="single"/>
        </w:rPr>
        <w:t xml:space="preserve"> P.U.C.</w:t>
      </w:r>
      <w:r w:rsidR="0052078A" w:rsidRPr="00A937DA">
        <w:t xml:space="preserve">, 427 </w:t>
      </w:r>
      <w:smartTag w:uri="urn:schemas-microsoft-com:office:smarttags" w:element="State">
        <w:smartTag w:uri="urn:schemas-microsoft-com:office:smarttags" w:element="place">
          <w:r w:rsidR="0052078A" w:rsidRPr="00A937DA">
            <w:t>Pa.</w:t>
          </w:r>
        </w:smartTag>
      </w:smartTag>
      <w:r w:rsidR="0052078A" w:rsidRPr="00A937DA">
        <w:t xml:space="preserve"> 562, 237 A.2d 602 (1967); </w:t>
      </w:r>
      <w:r w:rsidR="0052078A" w:rsidRPr="00A937DA">
        <w:rPr>
          <w:u w:val="single"/>
        </w:rPr>
        <w:t>Behrend v. Bell of P</w:t>
      </w:r>
      <w:r w:rsidR="0052078A">
        <w:rPr>
          <w:u w:val="single"/>
        </w:rPr>
        <w:t>a.</w:t>
      </w:r>
      <w:r w:rsidR="0052078A" w:rsidRPr="00A937DA">
        <w:t>, 257 Pa. Superior Ct. 35, 390 A.2d 233 (1978);</w:t>
      </w:r>
      <w:r w:rsidR="0052078A">
        <w:t xml:space="preserve"> </w:t>
      </w:r>
      <w:r w:rsidR="0052078A">
        <w:rPr>
          <w:u w:val="single"/>
        </w:rPr>
        <w:t>Harrisburg Taxicab &amp; Baggage Co. v. Pa. P.U.C.</w:t>
      </w:r>
      <w:r w:rsidR="0052078A">
        <w:t>, 786 A.2d 288 (Pa. Cmwlth. 2001); and</w:t>
      </w:r>
      <w:r w:rsidR="0052078A" w:rsidRPr="00A937DA">
        <w:t xml:space="preserve"> </w:t>
      </w:r>
      <w:r w:rsidR="0052078A" w:rsidRPr="00A937DA">
        <w:rPr>
          <w:u w:val="single"/>
        </w:rPr>
        <w:t>City of Erie v. Pa. Electric Co.</w:t>
      </w:r>
      <w:r w:rsidR="0052078A" w:rsidRPr="00A937DA">
        <w:t>, 383 A.2d 575 (</w:t>
      </w:r>
      <w:smartTag w:uri="urn:schemas-microsoft-com:office:smarttags" w:element="State">
        <w:smartTag w:uri="urn:schemas-microsoft-com:office:smarttags" w:element="place">
          <w:r w:rsidR="0052078A" w:rsidRPr="00A937DA">
            <w:t>Pa.</w:t>
          </w:r>
        </w:smartTag>
      </w:smartTag>
      <w:r w:rsidR="0052078A">
        <w:t xml:space="preserve"> Cmwlth. 1978).  Parties to an action may not confer jurisdiction upon a tribunal where none exists.  </w:t>
      </w:r>
      <w:r w:rsidR="0052078A">
        <w:rPr>
          <w:u w:val="single"/>
        </w:rPr>
        <w:t>Roberts v. Martorano</w:t>
      </w:r>
      <w:r w:rsidR="0052078A">
        <w:t xml:space="preserve">, 427 Pa. 581, 235 A.2d 602 (1967).  Similarly, a challenge to subject matter jurisdiction is never waived; this jurisdictional question may be raised at any stage of the judicial process.  </w:t>
      </w:r>
      <w:r w:rsidR="0052078A">
        <w:rPr>
          <w:u w:val="single"/>
        </w:rPr>
        <w:t>Commonwealth v. Atlantic &amp; Gulf Coast Stevedores, Inc.</w:t>
      </w:r>
      <w:r w:rsidR="0052078A">
        <w:t xml:space="preserve">, 422 Pa. 442, 221 A.2d 128 (1966).  Furthermore, the mere fact that a party to an action qualifies as a regulated utility does not automatically confer subject matter jurisdiction upon the Commission.  </w:t>
      </w:r>
      <w:r w:rsidR="0052078A">
        <w:rPr>
          <w:u w:val="single"/>
        </w:rPr>
        <w:t>DeFrancesco v. Western Pennsylvania Water Co.</w:t>
      </w:r>
      <w:r w:rsidR="0052078A">
        <w:t>, 499 Pa. 374, 453 A.2d 595 (1982).</w:t>
      </w:r>
    </w:p>
    <w:p w:rsidR="0052078A" w:rsidRDefault="0052078A" w:rsidP="0052078A">
      <w:pPr>
        <w:spacing w:line="360" w:lineRule="auto"/>
      </w:pPr>
    </w:p>
    <w:p w:rsidR="00367DD6" w:rsidRDefault="0052078A" w:rsidP="0052078A">
      <w:pPr>
        <w:spacing w:line="360" w:lineRule="auto"/>
      </w:pPr>
      <w:r>
        <w:tab/>
      </w:r>
      <w:r>
        <w:tab/>
        <w:t xml:space="preserve">As directed by </w:t>
      </w:r>
      <w:r w:rsidRPr="00415BC5">
        <w:t xml:space="preserve">Section 501 of the Code, 66 </w:t>
      </w:r>
      <w:smartTag w:uri="urn:schemas-microsoft-com:office:smarttags" w:element="place">
        <w:smartTag w:uri="urn:schemas-microsoft-com:office:smarttags" w:element="State">
          <w:r w:rsidRPr="00415BC5">
            <w:t>Pa.</w:t>
          </w:r>
        </w:smartTag>
      </w:smartTag>
      <w:r w:rsidRPr="00415BC5">
        <w:t xml:space="preserve">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CB1665">
        <w:rPr>
          <w:i/>
        </w:rPr>
        <w:t>See also</w:t>
      </w:r>
      <w:r w:rsidRPr="00415BC5">
        <w:t xml:space="preserve">, 52 </w:t>
      </w:r>
      <w:smartTag w:uri="urn:schemas-microsoft-com:office:smarttags" w:element="place">
        <w:smartTag w:uri="urn:schemas-microsoft-com:office:smarttags" w:element="State">
          <w:r w:rsidRPr="00415BC5">
            <w:t>Pa.</w:t>
          </w:r>
        </w:smartTag>
      </w:smartTag>
      <w:r w:rsidRPr="00415BC5">
        <w:t xml:space="preserve"> Code §5.21(a).</w:t>
      </w:r>
    </w:p>
    <w:p w:rsidR="00367DD6" w:rsidRDefault="00367DD6" w:rsidP="0052078A">
      <w:pPr>
        <w:spacing w:line="360" w:lineRule="auto"/>
      </w:pPr>
    </w:p>
    <w:p w:rsidR="00367DD6" w:rsidRDefault="00367DD6" w:rsidP="00367DD6">
      <w:pPr>
        <w:spacing w:line="360" w:lineRule="auto"/>
      </w:pPr>
      <w:r>
        <w:tab/>
      </w:r>
      <w:r>
        <w:tab/>
      </w:r>
      <w:r w:rsidRPr="00A66E41">
        <w:t>Section 1501 of the Code, 66 Pa. C.S.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w:t>
      </w:r>
      <w:r>
        <w:t>ity must furnish or employ.  66 </w:t>
      </w:r>
      <w:r w:rsidRPr="00A66E41">
        <w:t>Pa. C.S. §1505.</w:t>
      </w:r>
    </w:p>
    <w:p w:rsidR="00367DD6" w:rsidRDefault="00367DD6" w:rsidP="00367DD6">
      <w:pPr>
        <w:spacing w:line="360" w:lineRule="auto"/>
      </w:pPr>
    </w:p>
    <w:p w:rsidR="00F260A8" w:rsidRDefault="00367DD6" w:rsidP="0052078A">
      <w:pPr>
        <w:spacing w:line="360" w:lineRule="auto"/>
      </w:pPr>
      <w:r>
        <w:tab/>
      </w:r>
      <w:r>
        <w:tab/>
        <w:t xml:space="preserve">Stated differently, the Commission is responsible “for prescribing rules and regulations governing reasonableness, adequacy and sufficiency of service, and the courts have interpreted those sections as vesting in the [Commission] exclusive jurisdiction over those matters.”  </w:t>
      </w:r>
      <w:r>
        <w:rPr>
          <w:u w:val="single"/>
        </w:rPr>
        <w:t>T.W. Phillips Gas &amp; Oil Co. v. Peoples Natural Gas Co.</w:t>
      </w:r>
      <w:r>
        <w:t xml:space="preserve">, 492 A.2d 776, 779 (Pa. Cmwlth. 1985).  In order to sustain a complaint, the Commission must find that the utility violated its duty under the Code, the Commission’s regulations or a Commission order.  </w:t>
      </w:r>
      <w:r>
        <w:rPr>
          <w:u w:val="single"/>
        </w:rPr>
        <w:t>West Penn Power Co. v. Pa. P.U.C.</w:t>
      </w:r>
      <w:r>
        <w:t xml:space="preserve">, 478 A.2d 947 (Pa. Cmwlth. 1984).  </w:t>
      </w:r>
      <w:r w:rsidR="0052078A" w:rsidRPr="009E25A1">
        <w:t>Nothing in the Code</w:t>
      </w:r>
      <w:r w:rsidR="0052078A">
        <w:t>, however,</w:t>
      </w:r>
      <w:r w:rsidR="0052078A" w:rsidRPr="009E25A1">
        <w:t xml:space="preserve"> confers jurisdiction upon the Commission to award monetary damages.  Accordingly, the Commission possesses no jurisdiction to consider Complainant’s request for reimbursement </w:t>
      </w:r>
    </w:p>
    <w:p w:rsidR="00F260A8" w:rsidRDefault="00F260A8">
      <w:r>
        <w:br w:type="page"/>
      </w:r>
    </w:p>
    <w:p w:rsidR="0052078A" w:rsidRDefault="0052078A" w:rsidP="0052078A">
      <w:pPr>
        <w:spacing w:line="360" w:lineRule="auto"/>
      </w:pPr>
      <w:proofErr w:type="gramStart"/>
      <w:r w:rsidRPr="009E25A1">
        <w:lastRenderedPageBreak/>
        <w:t>for</w:t>
      </w:r>
      <w:proofErr w:type="gramEnd"/>
      <w:r>
        <w:t xml:space="preserve"> property damage</w:t>
      </w:r>
      <w:r w:rsidRPr="009E25A1">
        <w:t>.</w:t>
      </w:r>
      <w:r w:rsidR="006F1854">
        <w:rPr>
          <w:rStyle w:val="FootnoteReference"/>
        </w:rPr>
        <w:footnoteReference w:id="1"/>
      </w:r>
      <w:r w:rsidRPr="009E25A1">
        <w:t xml:space="preserve">  </w:t>
      </w:r>
      <w:r w:rsidRPr="009E25A1">
        <w:rPr>
          <w:i/>
        </w:rPr>
        <w:t>See</w:t>
      </w:r>
      <w:r w:rsidRPr="009E25A1">
        <w:t xml:space="preserve">, </w:t>
      </w:r>
      <w:r w:rsidRPr="009E25A1">
        <w:rPr>
          <w:u w:val="single"/>
        </w:rPr>
        <w:t>DeFrancesco v. Western Pennsylvania Water Company</w:t>
      </w:r>
      <w:r w:rsidRPr="009E25A1">
        <w:t>,</w:t>
      </w:r>
      <w:r>
        <w:t xml:space="preserve"> </w:t>
      </w:r>
      <w:r>
        <w:rPr>
          <w:i/>
        </w:rPr>
        <w:t>supra</w:t>
      </w:r>
      <w:r w:rsidRPr="009E25A1">
        <w:t xml:space="preserve">; </w:t>
      </w:r>
      <w:r w:rsidRPr="009E25A1">
        <w:rPr>
          <w:u w:val="single"/>
        </w:rPr>
        <w:t>Elkin</w:t>
      </w:r>
      <w:r w:rsidR="00522552">
        <w:rPr>
          <w:u w:val="single"/>
        </w:rPr>
        <w:t> </w:t>
      </w:r>
      <w:r w:rsidRPr="009E25A1">
        <w:rPr>
          <w:u w:val="single"/>
        </w:rPr>
        <w:t>v. Bell of Pa.</w:t>
      </w:r>
      <w:r w:rsidRPr="009E25A1">
        <w:t xml:space="preserve">, 491 Pa. 123, 420 A.2d 371 (1980); </w:t>
      </w:r>
      <w:r w:rsidRPr="009E25A1">
        <w:rPr>
          <w:u w:val="single"/>
        </w:rPr>
        <w:t>Feingold v. Bell of Pa.</w:t>
      </w:r>
      <w:r w:rsidRPr="009E25A1">
        <w:t>,</w:t>
      </w:r>
      <w:r>
        <w:t xml:space="preserve"> </w:t>
      </w:r>
      <w:r>
        <w:rPr>
          <w:i/>
        </w:rPr>
        <w:t>supra</w:t>
      </w:r>
      <w:r w:rsidRPr="009E25A1">
        <w:t>.</w:t>
      </w:r>
    </w:p>
    <w:p w:rsidR="00F26BB6" w:rsidRDefault="00F26BB6" w:rsidP="00D94284">
      <w:pPr>
        <w:spacing w:line="360" w:lineRule="auto"/>
      </w:pPr>
    </w:p>
    <w:p w:rsidR="00367DD6" w:rsidRDefault="009F435A" w:rsidP="00367DD6">
      <w:pPr>
        <w:spacing w:line="360" w:lineRule="auto"/>
      </w:pPr>
      <w:r>
        <w:tab/>
      </w:r>
      <w:r>
        <w:tab/>
        <w:t xml:space="preserve">Likewise, the Commission has no jurisdiction </w:t>
      </w:r>
      <w:r w:rsidR="003514F8">
        <w:t>to review a claim of trespass.</w:t>
      </w:r>
      <w:r w:rsidR="00367DD6">
        <w:t xml:space="preserve">  Because the Commission possesses only those powers expressly conferred upon it by the legislature, the Commission does not “have jurisdiction over private contractual disputes between citizens and utilities.”  </w:t>
      </w:r>
      <w:r w:rsidR="00367DD6">
        <w:rPr>
          <w:u w:val="single"/>
        </w:rPr>
        <w:t>T.W. Phillips</w:t>
      </w:r>
      <w:r w:rsidR="00367DD6">
        <w:t xml:space="preserve">, 492 A.2d at 779.  Hence, the Commission “does not have jurisdiction to determine the scope and validity of an easement.”  </w:t>
      </w:r>
      <w:r w:rsidR="00367DD6">
        <w:rPr>
          <w:u w:val="single"/>
        </w:rPr>
        <w:t xml:space="preserve">Fairview Water Co. v. </w:t>
      </w:r>
      <w:smartTag w:uri="urn:schemas-microsoft-com:office:smarttags" w:element="State">
        <w:smartTag w:uri="urn:schemas-microsoft-com:office:smarttags" w:element="place">
          <w:r w:rsidR="00367DD6">
            <w:rPr>
              <w:u w:val="single"/>
            </w:rPr>
            <w:t>Pa.</w:t>
          </w:r>
        </w:smartTag>
      </w:smartTag>
      <w:r w:rsidR="00367DD6">
        <w:rPr>
          <w:u w:val="single"/>
        </w:rPr>
        <w:t xml:space="preserve"> P.U.C.</w:t>
      </w:r>
      <w:r w:rsidR="00367DD6">
        <w:t>, 509 </w:t>
      </w:r>
      <w:smartTag w:uri="urn:schemas-microsoft-com:office:smarttags" w:element="State">
        <w:smartTag w:uri="urn:schemas-microsoft-com:office:smarttags" w:element="place">
          <w:r w:rsidR="00367DD6">
            <w:t>Pa.</w:t>
          </w:r>
        </w:smartTag>
      </w:smartTag>
      <w:r w:rsidR="00367DD6">
        <w:t xml:space="preserve"> 384, 393, 502 A.2d 162, 167 (1985); </w:t>
      </w:r>
      <w:r w:rsidR="00367DD6">
        <w:rPr>
          <w:u w:val="single"/>
        </w:rPr>
        <w:t>Rogoff v. Buncher Co.</w:t>
      </w:r>
      <w:r w:rsidR="00367DD6">
        <w:t>, 395 </w:t>
      </w:r>
      <w:smartTag w:uri="urn:schemas-microsoft-com:office:smarttags" w:element="State">
        <w:smartTag w:uri="urn:schemas-microsoft-com:office:smarttags" w:element="place">
          <w:r w:rsidR="00367DD6">
            <w:t>Pa.</w:t>
          </w:r>
        </w:smartTag>
      </w:smartTag>
      <w:r w:rsidR="00367DD6">
        <w:t xml:space="preserve"> 477, 151 A.2d 83 (1959); </w:t>
      </w:r>
      <w:r w:rsidR="00367DD6">
        <w:rPr>
          <w:u w:val="single"/>
        </w:rPr>
        <w:t>Hoch v. Philadelphia Electric Co.</w:t>
      </w:r>
      <w:r w:rsidR="00367DD6">
        <w:t xml:space="preserve">, </w:t>
      </w:r>
      <w:smartTag w:uri="urn:schemas-microsoft-com:office:smarttags" w:element="Street">
        <w:smartTag w:uri="urn:schemas-microsoft-com:office:smarttags" w:element="address">
          <w:r w:rsidR="00367DD6">
            <w:t>341 Pa. Superior Ct.</w:t>
          </w:r>
        </w:smartTag>
      </w:smartTag>
      <w:r w:rsidR="00367DD6">
        <w:t xml:space="preserve"> 598, 492 A.2d 27 (1985); </w:t>
      </w:r>
      <w:smartTag w:uri="urn:schemas-microsoft-com:office:smarttags" w:element="City">
        <w:smartTag w:uri="urn:schemas-microsoft-com:office:smarttags" w:element="place">
          <w:r w:rsidR="00367DD6" w:rsidRPr="00BB3A01">
            <w:rPr>
              <w:u w:val="single"/>
            </w:rPr>
            <w:t>Messina</w:t>
          </w:r>
        </w:smartTag>
      </w:smartTag>
      <w:r w:rsidR="00367DD6" w:rsidRPr="00BB3A01">
        <w:rPr>
          <w:u w:val="single"/>
        </w:rPr>
        <w:t xml:space="preserve"> v</w:t>
      </w:r>
      <w:r w:rsidR="00367DD6">
        <w:rPr>
          <w:u w:val="single"/>
        </w:rPr>
        <w:t>.</w:t>
      </w:r>
      <w:r w:rsidR="00367DD6" w:rsidRPr="00BB3A01">
        <w:rPr>
          <w:u w:val="single"/>
        </w:rPr>
        <w:t xml:space="preserve"> Bell Atlantic-Pennsylvania, Inc.</w:t>
      </w:r>
      <w:r w:rsidR="00367DD6">
        <w:t>, Docket No. </w:t>
      </w:r>
      <w:r w:rsidR="00367DD6" w:rsidRPr="00BB3A01">
        <w:t>C-00968225</w:t>
      </w:r>
      <w:r w:rsidR="00367DD6">
        <w:t xml:space="preserve">, </w:t>
      </w:r>
      <w:r w:rsidR="00367DD6" w:rsidRPr="00BB3A01">
        <w:t>1998 Pa. PUC LEXIS 190</w:t>
      </w:r>
      <w:r w:rsidR="00367DD6">
        <w:t xml:space="preserve"> (Order entered </w:t>
      </w:r>
      <w:r w:rsidR="00367DD6" w:rsidRPr="00BB3A01">
        <w:t>September 23, 1998</w:t>
      </w:r>
      <w:r w:rsidR="00367DD6">
        <w:t xml:space="preserve">); and </w:t>
      </w:r>
      <w:r w:rsidR="00367DD6" w:rsidRPr="009A5535">
        <w:rPr>
          <w:u w:val="single"/>
        </w:rPr>
        <w:t>Shafer</w:t>
      </w:r>
      <w:r w:rsidR="00367DD6">
        <w:rPr>
          <w:u w:val="single"/>
        </w:rPr>
        <w:t>, et al.</w:t>
      </w:r>
      <w:r w:rsidR="00367DD6" w:rsidRPr="009A5535">
        <w:rPr>
          <w:u w:val="single"/>
        </w:rPr>
        <w:t xml:space="preserve"> v. National Utilities, Inc.</w:t>
      </w:r>
      <w:r w:rsidR="00367DD6">
        <w:t>, Docket No. </w:t>
      </w:r>
      <w:r w:rsidR="00367DD6" w:rsidRPr="009A5535">
        <w:t>C-00956802</w:t>
      </w:r>
      <w:r w:rsidR="00367DD6">
        <w:t xml:space="preserve">, </w:t>
      </w:r>
      <w:r w:rsidR="00367DD6" w:rsidRPr="009A5535">
        <w:t>1996 Pa. PUC LEXIS 57</w:t>
      </w:r>
      <w:r w:rsidR="00367DD6">
        <w:t xml:space="preserve"> (Order entered </w:t>
      </w:r>
      <w:r w:rsidR="00367DD6" w:rsidRPr="009A5535">
        <w:t>June 12, 1996</w:t>
      </w:r>
      <w:r w:rsidR="00367DD6">
        <w:t>).</w:t>
      </w:r>
      <w:r w:rsidR="00B72B12">
        <w:t xml:space="preserve">  Accordingly, the Commission </w:t>
      </w:r>
      <w:r w:rsidR="005B5211">
        <w:t xml:space="preserve">has no jurisdiction to determine whether </w:t>
      </w:r>
      <w:r w:rsidR="00BB7694">
        <w:t xml:space="preserve">Duquesne Light operated within the scope of its easement when it replaced this utility pole or whether it committed a trespass upon Complainant’s property.  </w:t>
      </w:r>
      <w:r w:rsidR="007B52FD">
        <w:t xml:space="preserve">These questions remain for a Court of Common Pleas to decide </w:t>
      </w:r>
      <w:r w:rsidR="00DA229D">
        <w:t xml:space="preserve">and not for this Commission.  We turn now to the final </w:t>
      </w:r>
      <w:r w:rsidR="00E53CC4">
        <w:t xml:space="preserve">issue, </w:t>
      </w:r>
      <w:r w:rsidR="00E53CC4">
        <w:rPr>
          <w:i/>
        </w:rPr>
        <w:t>i.e.</w:t>
      </w:r>
      <w:r w:rsidR="00E53CC4">
        <w:t>, whether placement of the utility pole was reasonable.</w:t>
      </w:r>
    </w:p>
    <w:p w:rsidR="00E53CC4" w:rsidRDefault="00E53CC4" w:rsidP="00367DD6">
      <w:pPr>
        <w:spacing w:line="360" w:lineRule="auto"/>
      </w:pPr>
    </w:p>
    <w:p w:rsidR="00E53CC4" w:rsidRDefault="00E53CC4" w:rsidP="00367DD6">
      <w:pPr>
        <w:spacing w:line="360" w:lineRule="auto"/>
      </w:pPr>
      <w:r>
        <w:t>B.</w:t>
      </w:r>
      <w:r>
        <w:tab/>
      </w:r>
      <w:r w:rsidR="003C7699">
        <w:rPr>
          <w:u w:val="single"/>
        </w:rPr>
        <w:t xml:space="preserve">The </w:t>
      </w:r>
      <w:r>
        <w:rPr>
          <w:u w:val="single"/>
        </w:rPr>
        <w:t>Burden of Proof</w:t>
      </w:r>
    </w:p>
    <w:p w:rsidR="00FF51A8" w:rsidRDefault="00FF51A8" w:rsidP="00367DD6">
      <w:pPr>
        <w:spacing w:line="360" w:lineRule="auto"/>
      </w:pPr>
    </w:p>
    <w:p w:rsidR="00FF51A8" w:rsidRDefault="00FF51A8" w:rsidP="00367DD6">
      <w:pPr>
        <w:spacing w:line="360" w:lineRule="auto"/>
      </w:pPr>
      <w:r>
        <w:tab/>
      </w:r>
      <w:r>
        <w:tab/>
      </w:r>
      <w:r w:rsidR="00132A5B">
        <w:t xml:space="preserve">Complainant requests an Order from this Commission directing Duquesne Light to reposition its replacement utility pole </w:t>
      </w:r>
      <w:r w:rsidR="0033107D">
        <w:t>so it sits beside the damaged utility pole in the gap in his split-rail fence and in line with that fence.</w:t>
      </w:r>
      <w:r w:rsidR="00193A0E">
        <w:t xml:space="preserve">  </w:t>
      </w:r>
      <w:r w:rsidR="0010411A" w:rsidRPr="0010411A">
        <w:t>As the party seeking</w:t>
      </w:r>
      <w:r w:rsidR="0010411A">
        <w:t xml:space="preserve"> affirmative relief from the Commission</w:t>
      </w:r>
      <w:r w:rsidR="0010411A" w:rsidRPr="0010411A">
        <w:t>, Complainant bears the burden of proof.  66 Pa. C.S. §332(a).</w:t>
      </w:r>
    </w:p>
    <w:p w:rsidR="0010411A" w:rsidRDefault="0010411A" w:rsidP="00367DD6">
      <w:pPr>
        <w:spacing w:line="360" w:lineRule="auto"/>
      </w:pPr>
    </w:p>
    <w:p w:rsidR="00F260A8" w:rsidRDefault="0010411A" w:rsidP="00962FE9">
      <w:pPr>
        <w:spacing w:line="360" w:lineRule="auto"/>
        <w:rPr>
          <w:u w:val="single"/>
        </w:rPr>
      </w:pPr>
      <w:r>
        <w:tab/>
      </w:r>
      <w:r>
        <w:tab/>
      </w:r>
      <w:r w:rsidR="00962FE9" w:rsidRPr="00405A98">
        <w:t xml:space="preserve">The term “burden of proof” means a duty to establish a fact by a preponderance of the evidence.  </w:t>
      </w:r>
      <w:proofErr w:type="gramStart"/>
      <w:r w:rsidR="00962FE9" w:rsidRPr="00405A98">
        <w:rPr>
          <w:u w:val="single"/>
        </w:rPr>
        <w:t>Se-Ling Hosiery v. Margulies</w:t>
      </w:r>
      <w:r w:rsidR="00962FE9" w:rsidRPr="00405A98">
        <w:t>, 364 Pa. 45, 70 A.2d 854 (195</w:t>
      </w:r>
      <w:r w:rsidR="00F260A8">
        <w:t>0</w:t>
      </w:r>
      <w:r w:rsidR="00962FE9" w:rsidRPr="00405A98">
        <w:t xml:space="preserve">); </w:t>
      </w:r>
      <w:r w:rsidR="00962FE9" w:rsidRPr="00405A98">
        <w:rPr>
          <w:u w:val="single"/>
        </w:rPr>
        <w:t>Feinstein v.</w:t>
      </w:r>
      <w:proofErr w:type="gramEnd"/>
      <w:r w:rsidR="00962FE9" w:rsidRPr="00405A98">
        <w:rPr>
          <w:u w:val="single"/>
        </w:rPr>
        <w:t xml:space="preserve"> </w:t>
      </w:r>
    </w:p>
    <w:p w:rsidR="00F260A8" w:rsidRDefault="00F260A8">
      <w:pPr>
        <w:rPr>
          <w:u w:val="single"/>
        </w:rPr>
      </w:pPr>
      <w:r>
        <w:rPr>
          <w:u w:val="single"/>
        </w:rPr>
        <w:br w:type="page"/>
      </w:r>
    </w:p>
    <w:p w:rsidR="00962FE9" w:rsidRDefault="00962FE9" w:rsidP="00962FE9">
      <w:pPr>
        <w:spacing w:line="360" w:lineRule="auto"/>
      </w:pPr>
      <w:proofErr w:type="gramStart"/>
      <w:r w:rsidRPr="00405A98">
        <w:rPr>
          <w:u w:val="single"/>
        </w:rPr>
        <w:lastRenderedPageBreak/>
        <w:t>Philadelphia Suburban Water Company</w:t>
      </w:r>
      <w:r w:rsidRPr="00405A98">
        <w:t>, 50 Pa. P.U.C. 300 (1976).</w:t>
      </w:r>
      <w:proofErr w:type="gramEnd"/>
      <w:r w:rsidRPr="00405A98">
        <w:t xml:space="preserve">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Pr="00E343CB">
            <w:rPr>
              <w:i/>
            </w:rPr>
            <w:t>Id</w:t>
          </w:r>
          <w:r w:rsidRPr="00405A98">
            <w:t>.</w:t>
          </w:r>
        </w:smartTag>
      </w:smartTag>
      <w:r w:rsidRPr="00405A98">
        <w:t xml:space="preserve">  Accordingly, one must review the record in this case to determine whether Complainant has satisfied </w:t>
      </w:r>
      <w:r>
        <w:t xml:space="preserve">his </w:t>
      </w:r>
      <w:r w:rsidRPr="00405A98">
        <w:t xml:space="preserve">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405A98">
        <w:rPr>
          <w:u w:val="single"/>
        </w:rPr>
        <w:t>Morissey v. Pa. Dept. of Highways</w:t>
      </w:r>
      <w:r w:rsidRPr="00405A98">
        <w:t xml:space="preserve">, 424 </w:t>
      </w:r>
      <w:smartTag w:uri="urn:schemas-microsoft-com:office:smarttags" w:element="State">
        <w:smartTag w:uri="urn:schemas-microsoft-com:office:smarttags" w:element="place">
          <w:r w:rsidRPr="00405A98">
            <w:t>Pa.</w:t>
          </w:r>
        </w:smartTag>
      </w:smartTag>
      <w:r w:rsidRPr="00405A98">
        <w:t xml:space="preserve"> 87, 225 A.2d 895 (1967); and </w:t>
      </w:r>
      <w:r w:rsidRPr="00405A98">
        <w:rPr>
          <w:u w:val="single"/>
        </w:rPr>
        <w:t>Burleson v. Pa. P.U.C.</w:t>
      </w:r>
      <w:r w:rsidRPr="00405A98">
        <w:t>, 443 A.2d 1373 (Pa. Cmwlth. 1982), affirmed, 501 Pa. 443, 461 A.2d 1234 (1983).</w:t>
      </w:r>
    </w:p>
    <w:p w:rsidR="00962FE9" w:rsidRDefault="00962FE9" w:rsidP="00962FE9">
      <w:pPr>
        <w:spacing w:line="360" w:lineRule="auto"/>
      </w:pPr>
    </w:p>
    <w:p w:rsidR="00962FE9" w:rsidRDefault="00962FE9" w:rsidP="00962FE9">
      <w:pPr>
        <w:spacing w:line="360" w:lineRule="auto"/>
      </w:pPr>
      <w:r>
        <w:tab/>
      </w:r>
      <w:r>
        <w:tab/>
      </w:r>
      <w:r w:rsidRPr="00405A98">
        <w:t xml:space="preserve">Furthermore, substantial evidence must support the Commission’s decision.  </w:t>
      </w:r>
      <w:r w:rsidRPr="00405A98">
        <w:rPr>
          <w:i/>
        </w:rPr>
        <w:t>See</w:t>
      </w:r>
      <w:r w:rsidRPr="00405A98">
        <w:t xml:space="preserve">, </w:t>
      </w:r>
      <w:r w:rsidRPr="00405A98">
        <w:rPr>
          <w:i/>
        </w:rPr>
        <w:t>e.g.</w:t>
      </w:r>
      <w:r w:rsidRPr="00405A98">
        <w:t xml:space="preserve">, Section 704 of the Administrative Agency Law, 2 Pa. C.S. §704; </w:t>
      </w:r>
      <w:r w:rsidRPr="00405A98">
        <w:rPr>
          <w:u w:val="single"/>
        </w:rPr>
        <w:t>Yellow Cab Company v. Pa. P.U.C.</w:t>
      </w:r>
      <w:r w:rsidRPr="00405A98">
        <w:t xml:space="preserve">, 524 A.2d 1069 (Pa. Cmwlth. 1987).  The </w:t>
      </w:r>
      <w:smartTag w:uri="urn:schemas-microsoft-com:office:smarttags" w:element="State">
        <w:smartTag w:uri="urn:schemas-microsoft-com:office:smarttags" w:element="place">
          <w:r w:rsidRPr="00405A98">
            <w:t>Pennsylvania</w:t>
          </w:r>
        </w:smartTag>
      </w:smartTag>
      <w:r w:rsidRPr="00405A98">
        <w:t xml:space="preserve">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r w:rsidRPr="00405A98">
        <w:rPr>
          <w:u w:val="single"/>
        </w:rPr>
        <w:t>Norfolk &amp; Western Ry. Co. v. Pa. P.U.C.</w:t>
      </w:r>
      <w:r w:rsidRPr="00405A98">
        <w:t xml:space="preserve">, 489 Pa. 109, 413 A.2d 1037 (1980); </w:t>
      </w:r>
      <w:r w:rsidRPr="00405A98">
        <w:rPr>
          <w:u w:val="single"/>
        </w:rPr>
        <w:t>Erie Resistor Corp. v. Unemployment Comp. Bd. of Review</w:t>
      </w:r>
      <w:r w:rsidRPr="00405A98">
        <w:t xml:space="preserve">, 194 Pa. Superior Ct. 278, 166 A.2d 96 (1961); and </w:t>
      </w:r>
      <w:r w:rsidRPr="00405A98">
        <w:rPr>
          <w:u w:val="single"/>
        </w:rPr>
        <w:t>Murphy v. Pa. Dept. of Public Welfare, White Haven Center</w:t>
      </w:r>
      <w:r w:rsidRPr="00405A98">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Pr="00405A98">
        <w:rPr>
          <w:u w:val="single"/>
        </w:rPr>
        <w:t>Feinstein</w:t>
      </w:r>
      <w:r w:rsidRPr="00405A98">
        <w:t xml:space="preserve">, </w:t>
      </w:r>
      <w:r w:rsidRPr="009D5BEB">
        <w:rPr>
          <w:i/>
          <w:u w:val="single"/>
        </w:rPr>
        <w:t>supra</w:t>
      </w:r>
      <w:r w:rsidRPr="00405A98">
        <w:t>.</w:t>
      </w:r>
    </w:p>
    <w:p w:rsidR="0010411A" w:rsidRPr="00FF51A8" w:rsidRDefault="0010411A" w:rsidP="00367DD6">
      <w:pPr>
        <w:spacing w:line="360" w:lineRule="auto"/>
      </w:pPr>
    </w:p>
    <w:p w:rsidR="009F435A" w:rsidRDefault="00EB3EFF" w:rsidP="00D94284">
      <w:pPr>
        <w:spacing w:line="360" w:lineRule="auto"/>
      </w:pPr>
      <w:r>
        <w:t>C.</w:t>
      </w:r>
      <w:r>
        <w:tab/>
      </w:r>
      <w:r>
        <w:rPr>
          <w:u w:val="single"/>
        </w:rPr>
        <w:t>The Present Case</w:t>
      </w:r>
    </w:p>
    <w:p w:rsidR="00EB3EFF" w:rsidRDefault="00EB3EFF" w:rsidP="00D94284">
      <w:pPr>
        <w:spacing w:line="360" w:lineRule="auto"/>
      </w:pPr>
    </w:p>
    <w:p w:rsidR="00EB3EFF" w:rsidRDefault="00EB3EFF" w:rsidP="00D94284">
      <w:pPr>
        <w:spacing w:line="360" w:lineRule="auto"/>
      </w:pPr>
      <w:r>
        <w:tab/>
      </w:r>
      <w:r>
        <w:tab/>
      </w:r>
      <w:r w:rsidR="00910E33">
        <w:t xml:space="preserve">While Complainant wishes that the replacement utility pole be positioned </w:t>
      </w:r>
      <w:r w:rsidR="004C045D">
        <w:t xml:space="preserve">in the gap in his split-rail fence beside the existing damaged utility pole, Duquesne Light presented sound reasons for </w:t>
      </w:r>
      <w:r w:rsidR="00383B36">
        <w:t xml:space="preserve">choosing the location that it did.  </w:t>
      </w:r>
      <w:r w:rsidR="0041324B">
        <w:t xml:space="preserve">By placing the new utility pole </w:t>
      </w:r>
      <w:r w:rsidR="00716333">
        <w:t xml:space="preserve">on the other side of the existing utility pole </w:t>
      </w:r>
      <w:r w:rsidR="00AF25B4">
        <w:t xml:space="preserve">opposite the roadway and </w:t>
      </w:r>
      <w:r w:rsidR="00716333">
        <w:t xml:space="preserve">slightly inside the fence line, Duquesne Light was able to meet </w:t>
      </w:r>
      <w:r w:rsidR="00853EEA">
        <w:t xml:space="preserve">the municipal </w:t>
      </w:r>
      <w:r w:rsidR="0061770B">
        <w:t xml:space="preserve">requirement of a three-foot set-back from the curb and stay </w:t>
      </w:r>
      <w:r w:rsidR="0061770B">
        <w:lastRenderedPageBreak/>
        <w:t xml:space="preserve">30 inches away from the markings of the Pennsylvania One Call </w:t>
      </w:r>
      <w:r w:rsidR="00367086">
        <w:t>S</w:t>
      </w:r>
      <w:r w:rsidR="0061770B">
        <w:t xml:space="preserve">ystem </w:t>
      </w:r>
      <w:r w:rsidR="00AF25B4">
        <w:t>for underground utilities.</w:t>
      </w:r>
      <w:r w:rsidR="00A51524">
        <w:t xml:space="preserve">  More importantly, </w:t>
      </w:r>
      <w:r w:rsidR="00413D01">
        <w:t>the chosen site allowed the Duquesne Light crew to transfer the wires and equipment from the existing utility pole to the new one</w:t>
      </w:r>
      <w:r w:rsidR="00EB0F37">
        <w:t xml:space="preserve"> without endangering the health and safety of the workers or the </w:t>
      </w:r>
      <w:r w:rsidR="00C60004">
        <w:t xml:space="preserve">public traversing the area.  These </w:t>
      </w:r>
      <w:r w:rsidR="002029A4">
        <w:t xml:space="preserve">concerns </w:t>
      </w:r>
      <w:r w:rsidR="00C60004">
        <w:t xml:space="preserve">outweigh any </w:t>
      </w:r>
      <w:r w:rsidR="002029A4">
        <w:t xml:space="preserve">interest Complainant may have in minimizing the gap in his split-rail fence or </w:t>
      </w:r>
      <w:r w:rsidR="00281FE6">
        <w:t>easing his lawn mowing operation.</w:t>
      </w:r>
      <w:r w:rsidR="00114084">
        <w:t xml:space="preserve">  Therefore, Complainant has not met his burden of proving the site Duquesne Light chose for the replacement utility </w:t>
      </w:r>
      <w:r w:rsidR="001F01E6">
        <w:t>pole was unreasonable.</w:t>
      </w:r>
    </w:p>
    <w:p w:rsidR="001F01E6" w:rsidRDefault="001F01E6" w:rsidP="00D94284">
      <w:pPr>
        <w:spacing w:line="360" w:lineRule="auto"/>
      </w:pPr>
    </w:p>
    <w:p w:rsidR="001F01E6" w:rsidRDefault="001F01E6" w:rsidP="00D94284">
      <w:pPr>
        <w:spacing w:line="360" w:lineRule="auto"/>
      </w:pPr>
      <w:r>
        <w:tab/>
      </w:r>
      <w:r>
        <w:tab/>
        <w:t>For all of these reasons, the complaint must be denied.</w:t>
      </w:r>
    </w:p>
    <w:p w:rsidR="001F01E6" w:rsidRDefault="001F01E6" w:rsidP="00D94284">
      <w:pPr>
        <w:spacing w:line="360" w:lineRule="auto"/>
      </w:pPr>
    </w:p>
    <w:p w:rsidR="001F01E6" w:rsidRDefault="001F01E6" w:rsidP="001F01E6">
      <w:pPr>
        <w:spacing w:line="360" w:lineRule="auto"/>
        <w:jc w:val="center"/>
      </w:pPr>
      <w:r>
        <w:rPr>
          <w:u w:val="single"/>
        </w:rPr>
        <w:t>CONCLUSIONS OF LAW</w:t>
      </w:r>
    </w:p>
    <w:p w:rsidR="0047657E" w:rsidRDefault="0047657E" w:rsidP="0047657E">
      <w:pPr>
        <w:spacing w:line="360" w:lineRule="auto"/>
      </w:pPr>
    </w:p>
    <w:p w:rsidR="0047657E" w:rsidRDefault="001026CE" w:rsidP="0047657E">
      <w:pPr>
        <w:pStyle w:val="ListParagraph"/>
        <w:numPr>
          <w:ilvl w:val="0"/>
          <w:numId w:val="2"/>
        </w:numPr>
        <w:spacing w:line="360" w:lineRule="auto"/>
        <w:ind w:left="0" w:firstLine="1440"/>
      </w:pPr>
      <w:r>
        <w:t>The Commission has jurisdiction over the subject matter and the parties to this proceeding to the extent discussed in the foregoing section of this decision.  66 Pa. C.S.</w:t>
      </w:r>
      <w:r w:rsidR="00D43037">
        <w:t xml:space="preserve"> §701.</w:t>
      </w:r>
    </w:p>
    <w:p w:rsidR="00D43037" w:rsidRDefault="00D43037" w:rsidP="00D43037">
      <w:pPr>
        <w:pStyle w:val="ListParagraph"/>
        <w:spacing w:line="360" w:lineRule="auto"/>
        <w:ind w:left="1440"/>
      </w:pPr>
    </w:p>
    <w:p w:rsidR="00D43037" w:rsidRDefault="00D43037" w:rsidP="0047657E">
      <w:pPr>
        <w:pStyle w:val="ListParagraph"/>
        <w:numPr>
          <w:ilvl w:val="0"/>
          <w:numId w:val="2"/>
        </w:numPr>
        <w:spacing w:line="360" w:lineRule="auto"/>
        <w:ind w:left="0" w:firstLine="1440"/>
      </w:pPr>
      <w:r>
        <w:t xml:space="preserve">The Commission has no jurisdiction to award property damages.  </w:t>
      </w:r>
      <w:r w:rsidR="003C7699">
        <w:rPr>
          <w:u w:val="single"/>
        </w:rPr>
        <w:t>DeFrancesco v. Western Pennsylvania Water Co.</w:t>
      </w:r>
      <w:r w:rsidR="003C7699">
        <w:t>, 499 Pa. 374, 453 A.2d 595 (1982).</w:t>
      </w:r>
    </w:p>
    <w:p w:rsidR="003C7699" w:rsidRDefault="003C7699" w:rsidP="003C7699">
      <w:pPr>
        <w:pStyle w:val="ListParagraph"/>
      </w:pPr>
    </w:p>
    <w:p w:rsidR="003C7699" w:rsidRDefault="00D21CB1" w:rsidP="0047657E">
      <w:pPr>
        <w:pStyle w:val="ListParagraph"/>
        <w:numPr>
          <w:ilvl w:val="0"/>
          <w:numId w:val="2"/>
        </w:numPr>
        <w:spacing w:line="360" w:lineRule="auto"/>
        <w:ind w:left="0" w:firstLine="1440"/>
      </w:pPr>
      <w:r>
        <w:t>The Commission has no jurisdiction to</w:t>
      </w:r>
      <w:r w:rsidRPr="00D21CB1">
        <w:t xml:space="preserve"> </w:t>
      </w:r>
      <w:r>
        <w:t xml:space="preserve">determine the scope and validity of an easement.  </w:t>
      </w:r>
      <w:r>
        <w:rPr>
          <w:u w:val="single"/>
        </w:rPr>
        <w:t xml:space="preserve">Fairview Water Co. v. </w:t>
      </w:r>
      <w:smartTag w:uri="urn:schemas-microsoft-com:office:smarttags" w:element="State">
        <w:smartTag w:uri="urn:schemas-microsoft-com:office:smarttags" w:element="place">
          <w:r>
            <w:rPr>
              <w:u w:val="single"/>
            </w:rPr>
            <w:t>Pa.</w:t>
          </w:r>
        </w:smartTag>
      </w:smartTag>
      <w:r>
        <w:rPr>
          <w:u w:val="single"/>
        </w:rPr>
        <w:t xml:space="preserve"> P.U.C.</w:t>
      </w:r>
      <w:r>
        <w:t>, 509 </w:t>
      </w:r>
      <w:smartTag w:uri="urn:schemas-microsoft-com:office:smarttags" w:element="State">
        <w:smartTag w:uri="urn:schemas-microsoft-com:office:smarttags" w:element="place">
          <w:r>
            <w:t>Pa.</w:t>
          </w:r>
        </w:smartTag>
      </w:smartTag>
      <w:r>
        <w:t> 384, 393, 502 A.2d 162, 167 (1985).</w:t>
      </w:r>
    </w:p>
    <w:p w:rsidR="00D21CB1" w:rsidRDefault="00D21CB1" w:rsidP="00D21CB1">
      <w:pPr>
        <w:pStyle w:val="ListParagraph"/>
      </w:pPr>
    </w:p>
    <w:p w:rsidR="00D21CB1" w:rsidRDefault="00D21CB1" w:rsidP="0047657E">
      <w:pPr>
        <w:pStyle w:val="ListParagraph"/>
        <w:numPr>
          <w:ilvl w:val="0"/>
          <w:numId w:val="2"/>
        </w:numPr>
        <w:spacing w:line="360" w:lineRule="auto"/>
        <w:ind w:left="0" w:firstLine="1440"/>
      </w:pPr>
      <w:r w:rsidRPr="0010411A">
        <w:t>As the party seeking</w:t>
      </w:r>
      <w:r>
        <w:t xml:space="preserve"> </w:t>
      </w:r>
      <w:r w:rsidR="00C50EAF">
        <w:t xml:space="preserve">to obtain </w:t>
      </w:r>
      <w:r>
        <w:t>affirmative relief from the Commission</w:t>
      </w:r>
      <w:r w:rsidRPr="0010411A">
        <w:t>, Complainant bears the burden of proof.  66 Pa. C.S. §332(a).</w:t>
      </w:r>
    </w:p>
    <w:p w:rsidR="00C50EAF" w:rsidRDefault="00C50EAF" w:rsidP="00C50EAF">
      <w:pPr>
        <w:pStyle w:val="ListParagraph"/>
      </w:pPr>
    </w:p>
    <w:p w:rsidR="00C50EAF" w:rsidRDefault="00C50EAF" w:rsidP="0047657E">
      <w:pPr>
        <w:pStyle w:val="ListParagraph"/>
        <w:numPr>
          <w:ilvl w:val="0"/>
          <w:numId w:val="2"/>
        </w:numPr>
        <w:spacing w:line="360" w:lineRule="auto"/>
        <w:ind w:left="0" w:firstLine="1440"/>
      </w:pPr>
      <w:r>
        <w:t xml:space="preserve">Complainant has not met his burden of proving that he is entitled to relief from the Commission.  </w:t>
      </w:r>
      <w:r w:rsidRPr="0010411A">
        <w:t>66 Pa. C.S. §332(a).</w:t>
      </w:r>
    </w:p>
    <w:p w:rsidR="00C50EAF" w:rsidRDefault="00C50EAF" w:rsidP="00C50EAF">
      <w:pPr>
        <w:pStyle w:val="ListParagraph"/>
      </w:pPr>
    </w:p>
    <w:p w:rsidR="00C50EAF" w:rsidRDefault="00C50EAF">
      <w:r>
        <w:br w:type="page"/>
      </w:r>
    </w:p>
    <w:p w:rsidR="00C50EAF" w:rsidRDefault="00C50EAF" w:rsidP="00C50EAF">
      <w:pPr>
        <w:spacing w:line="360" w:lineRule="auto"/>
        <w:jc w:val="center"/>
      </w:pPr>
      <w:r>
        <w:rPr>
          <w:u w:val="single"/>
        </w:rPr>
        <w:lastRenderedPageBreak/>
        <w:t>ORDER</w:t>
      </w:r>
    </w:p>
    <w:p w:rsidR="00C50EAF" w:rsidRDefault="00C50EAF" w:rsidP="00C50EAF">
      <w:pPr>
        <w:spacing w:line="360" w:lineRule="auto"/>
      </w:pPr>
    </w:p>
    <w:p w:rsidR="00C50EAF" w:rsidRDefault="00C50EAF" w:rsidP="00C50EAF">
      <w:pPr>
        <w:spacing w:line="360" w:lineRule="auto"/>
      </w:pPr>
      <w:r>
        <w:tab/>
      </w:r>
      <w:r>
        <w:tab/>
        <w:t>THEREFORE,</w:t>
      </w:r>
    </w:p>
    <w:p w:rsidR="00C50EAF" w:rsidRDefault="00C50EAF" w:rsidP="00C50EAF">
      <w:pPr>
        <w:spacing w:line="360" w:lineRule="auto"/>
      </w:pPr>
    </w:p>
    <w:p w:rsidR="00C50EAF" w:rsidRDefault="00C50EAF" w:rsidP="00C50EAF">
      <w:pPr>
        <w:spacing w:line="360" w:lineRule="auto"/>
      </w:pPr>
      <w:r>
        <w:tab/>
      </w:r>
      <w:r>
        <w:tab/>
        <w:t>IT IS ORDERED</w:t>
      </w:r>
      <w:r w:rsidR="00F46355">
        <w:t>:</w:t>
      </w:r>
    </w:p>
    <w:p w:rsidR="00F46355" w:rsidRDefault="00F46355" w:rsidP="00C50EAF">
      <w:pPr>
        <w:spacing w:line="360" w:lineRule="auto"/>
      </w:pPr>
    </w:p>
    <w:p w:rsidR="00F46355" w:rsidRDefault="00F46355" w:rsidP="00C50EAF">
      <w:pPr>
        <w:spacing w:line="360" w:lineRule="auto"/>
      </w:pPr>
      <w:r>
        <w:tab/>
      </w:r>
      <w:r>
        <w:tab/>
        <w:t>That the complaint of William F. Pizoli against Duquesne Light Company at Docket No. C-2011-2231202 is hereby denied.</w:t>
      </w:r>
    </w:p>
    <w:p w:rsidR="00F46355" w:rsidRDefault="00F46355" w:rsidP="00C50EAF">
      <w:pPr>
        <w:spacing w:line="360" w:lineRule="auto"/>
      </w:pPr>
    </w:p>
    <w:p w:rsidR="00F46355" w:rsidRDefault="00F46355" w:rsidP="00C50EAF">
      <w:pPr>
        <w:spacing w:line="360" w:lineRule="auto"/>
      </w:pPr>
    </w:p>
    <w:p w:rsidR="00F46355" w:rsidRDefault="00F46355" w:rsidP="00F46355">
      <w:r>
        <w:t xml:space="preserve">Date: </w:t>
      </w:r>
      <w:r>
        <w:rPr>
          <w:u w:val="single"/>
        </w:rPr>
        <w:t>August 1</w:t>
      </w:r>
      <w:r w:rsidR="0098383C">
        <w:rPr>
          <w:u w:val="single"/>
        </w:rPr>
        <w:t>5</w:t>
      </w:r>
      <w:r>
        <w:rPr>
          <w:u w:val="single"/>
        </w:rPr>
        <w:t>, 2011</w:t>
      </w:r>
      <w:r>
        <w:tab/>
      </w:r>
      <w:r>
        <w:tab/>
      </w:r>
      <w:r>
        <w:tab/>
      </w:r>
      <w:r>
        <w:tab/>
      </w:r>
      <w:r>
        <w:rPr>
          <w:u w:val="single"/>
        </w:rPr>
        <w:tab/>
      </w:r>
      <w:r>
        <w:rPr>
          <w:u w:val="single"/>
        </w:rPr>
        <w:tab/>
      </w:r>
      <w:r>
        <w:rPr>
          <w:u w:val="single"/>
        </w:rPr>
        <w:tab/>
      </w:r>
      <w:r>
        <w:rPr>
          <w:u w:val="single"/>
        </w:rPr>
        <w:tab/>
      </w:r>
      <w:r>
        <w:rPr>
          <w:u w:val="single"/>
        </w:rPr>
        <w:tab/>
      </w:r>
      <w:r>
        <w:rPr>
          <w:u w:val="single"/>
        </w:rPr>
        <w:tab/>
      </w:r>
    </w:p>
    <w:p w:rsidR="00F46355" w:rsidRDefault="00F46355" w:rsidP="00F46355">
      <w:r>
        <w:tab/>
      </w:r>
      <w:r>
        <w:tab/>
      </w:r>
      <w:r>
        <w:tab/>
      </w:r>
      <w:r>
        <w:tab/>
      </w:r>
      <w:r>
        <w:tab/>
      </w:r>
      <w:r w:rsidR="00B0240C">
        <w:tab/>
      </w:r>
      <w:r w:rsidR="00B0240C">
        <w:tab/>
        <w:t>John H. Corbett, Jr.</w:t>
      </w:r>
    </w:p>
    <w:p w:rsidR="00B0240C" w:rsidRDefault="00B0240C" w:rsidP="00F46355">
      <w:r>
        <w:tab/>
      </w:r>
      <w:r>
        <w:tab/>
      </w:r>
      <w:r>
        <w:tab/>
      </w:r>
      <w:r>
        <w:tab/>
      </w:r>
      <w:r>
        <w:tab/>
      </w:r>
      <w:r>
        <w:tab/>
      </w:r>
      <w:r>
        <w:tab/>
        <w:t>Administrative Law Judge</w:t>
      </w:r>
    </w:p>
    <w:p w:rsidR="00B0240C" w:rsidRPr="00F46355" w:rsidRDefault="00B0240C" w:rsidP="00F46355"/>
    <w:sectPr w:rsidR="00B0240C" w:rsidRPr="00F46355" w:rsidSect="00F260A8">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806" w:rsidRDefault="00EC7806" w:rsidP="00B86EB8">
      <w:r>
        <w:separator/>
      </w:r>
    </w:p>
  </w:endnote>
  <w:endnote w:type="continuationSeparator" w:id="0">
    <w:p w:rsidR="00EC7806" w:rsidRDefault="00EC7806" w:rsidP="00B86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78344"/>
      <w:docPartObj>
        <w:docPartGallery w:val="Page Numbers (Bottom of Page)"/>
        <w:docPartUnique/>
      </w:docPartObj>
    </w:sdtPr>
    <w:sdtContent>
      <w:p w:rsidR="004C045D" w:rsidRDefault="00365079">
        <w:pPr>
          <w:pStyle w:val="Footer"/>
          <w:jc w:val="center"/>
        </w:pPr>
        <w:r w:rsidRPr="00F260A8">
          <w:rPr>
            <w:sz w:val="20"/>
            <w:szCs w:val="20"/>
          </w:rPr>
          <w:fldChar w:fldCharType="begin"/>
        </w:r>
        <w:r w:rsidRPr="00F260A8">
          <w:rPr>
            <w:sz w:val="20"/>
            <w:szCs w:val="20"/>
          </w:rPr>
          <w:instrText xml:space="preserve"> PAGE   \* MERGEFORMAT </w:instrText>
        </w:r>
        <w:r w:rsidRPr="00F260A8">
          <w:rPr>
            <w:sz w:val="20"/>
            <w:szCs w:val="20"/>
          </w:rPr>
          <w:fldChar w:fldCharType="separate"/>
        </w:r>
        <w:r w:rsidR="00F260A8">
          <w:rPr>
            <w:noProof/>
            <w:sz w:val="20"/>
            <w:szCs w:val="20"/>
          </w:rPr>
          <w:t>10</w:t>
        </w:r>
        <w:r w:rsidRPr="00F260A8">
          <w:rPr>
            <w:sz w:val="20"/>
            <w:szCs w:val="20"/>
          </w:rPr>
          <w:fldChar w:fldCharType="end"/>
        </w:r>
      </w:p>
    </w:sdtContent>
  </w:sdt>
  <w:p w:rsidR="004C045D" w:rsidRDefault="004C0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806" w:rsidRDefault="00EC7806" w:rsidP="00B86EB8">
      <w:r>
        <w:separator/>
      </w:r>
    </w:p>
  </w:footnote>
  <w:footnote w:type="continuationSeparator" w:id="0">
    <w:p w:rsidR="00EC7806" w:rsidRDefault="00EC7806" w:rsidP="00B86EB8">
      <w:r>
        <w:continuationSeparator/>
      </w:r>
    </w:p>
  </w:footnote>
  <w:footnote w:id="1">
    <w:p w:rsidR="004C045D" w:rsidRDefault="004C045D" w:rsidP="006F1854">
      <w:pPr>
        <w:pStyle w:val="FootnoteText"/>
        <w:ind w:firstLine="720"/>
      </w:pPr>
      <w:r>
        <w:rPr>
          <w:rStyle w:val="FootnoteReference"/>
        </w:rPr>
        <w:footnoteRef/>
      </w:r>
      <w:r>
        <w:t xml:space="preserve"> </w:t>
      </w:r>
      <w:r>
        <w:tab/>
        <w:t>While raising this issue in his complaint, Complainant, however, discounted any interest at the hearing in pursuing a claim for damages (N.T. 24-25).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D112A"/>
    <w:multiLevelType w:val="hybridMultilevel"/>
    <w:tmpl w:val="74FE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84575"/>
    <w:multiLevelType w:val="hybridMultilevel"/>
    <w:tmpl w:val="DB2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6E9B27DE-B8D8-45B8-BAB9-2F91B9922372}"/>
    <w:docVar w:name="dgnword-eventsink" w:val="79141704"/>
  </w:docVars>
  <w:rsids>
    <w:rsidRoot w:val="00EF1E3D"/>
    <w:rsid w:val="00002E71"/>
    <w:rsid w:val="0000610B"/>
    <w:rsid w:val="0001444C"/>
    <w:rsid w:val="000158F5"/>
    <w:rsid w:val="00015C87"/>
    <w:rsid w:val="000200B5"/>
    <w:rsid w:val="00022031"/>
    <w:rsid w:val="00022376"/>
    <w:rsid w:val="00022664"/>
    <w:rsid w:val="00024AA5"/>
    <w:rsid w:val="00025B6C"/>
    <w:rsid w:val="00027171"/>
    <w:rsid w:val="00027E4C"/>
    <w:rsid w:val="0003505B"/>
    <w:rsid w:val="00035D88"/>
    <w:rsid w:val="000404B5"/>
    <w:rsid w:val="000411B8"/>
    <w:rsid w:val="00041450"/>
    <w:rsid w:val="00041943"/>
    <w:rsid w:val="00041F7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3A7D"/>
    <w:rsid w:val="00085610"/>
    <w:rsid w:val="000876E2"/>
    <w:rsid w:val="00087CC5"/>
    <w:rsid w:val="00087D86"/>
    <w:rsid w:val="0009005C"/>
    <w:rsid w:val="000921BC"/>
    <w:rsid w:val="00095B50"/>
    <w:rsid w:val="00096F74"/>
    <w:rsid w:val="000A0A7F"/>
    <w:rsid w:val="000A510C"/>
    <w:rsid w:val="000A7EFE"/>
    <w:rsid w:val="000B3598"/>
    <w:rsid w:val="000B53F0"/>
    <w:rsid w:val="000B629F"/>
    <w:rsid w:val="000B6D95"/>
    <w:rsid w:val="000B74BB"/>
    <w:rsid w:val="000C1A6B"/>
    <w:rsid w:val="000C269C"/>
    <w:rsid w:val="000C5510"/>
    <w:rsid w:val="000C71B2"/>
    <w:rsid w:val="000C76C7"/>
    <w:rsid w:val="000D0A51"/>
    <w:rsid w:val="000D1336"/>
    <w:rsid w:val="000D715A"/>
    <w:rsid w:val="000D7906"/>
    <w:rsid w:val="000E0C64"/>
    <w:rsid w:val="000E1700"/>
    <w:rsid w:val="000E3FC1"/>
    <w:rsid w:val="000E4E82"/>
    <w:rsid w:val="000E6C36"/>
    <w:rsid w:val="000F0CB0"/>
    <w:rsid w:val="000F1E2C"/>
    <w:rsid w:val="000F22AD"/>
    <w:rsid w:val="000F331D"/>
    <w:rsid w:val="000F6BCB"/>
    <w:rsid w:val="0010180F"/>
    <w:rsid w:val="001026CE"/>
    <w:rsid w:val="0010411A"/>
    <w:rsid w:val="00105690"/>
    <w:rsid w:val="001059C3"/>
    <w:rsid w:val="001079C3"/>
    <w:rsid w:val="0011082D"/>
    <w:rsid w:val="00114084"/>
    <w:rsid w:val="00114A5C"/>
    <w:rsid w:val="00114D69"/>
    <w:rsid w:val="001163B8"/>
    <w:rsid w:val="00117158"/>
    <w:rsid w:val="0012337D"/>
    <w:rsid w:val="00123612"/>
    <w:rsid w:val="00126555"/>
    <w:rsid w:val="00132A5B"/>
    <w:rsid w:val="0013358A"/>
    <w:rsid w:val="001336B2"/>
    <w:rsid w:val="0013746C"/>
    <w:rsid w:val="00140ED5"/>
    <w:rsid w:val="001422C9"/>
    <w:rsid w:val="0014695E"/>
    <w:rsid w:val="00147A1C"/>
    <w:rsid w:val="00150F38"/>
    <w:rsid w:val="00151828"/>
    <w:rsid w:val="00152DD8"/>
    <w:rsid w:val="001534FA"/>
    <w:rsid w:val="00153BB2"/>
    <w:rsid w:val="001551FE"/>
    <w:rsid w:val="00157F7C"/>
    <w:rsid w:val="00163667"/>
    <w:rsid w:val="00171BA7"/>
    <w:rsid w:val="001773D6"/>
    <w:rsid w:val="00177B41"/>
    <w:rsid w:val="00177C22"/>
    <w:rsid w:val="0018502A"/>
    <w:rsid w:val="00186713"/>
    <w:rsid w:val="00190B52"/>
    <w:rsid w:val="00192F81"/>
    <w:rsid w:val="00193A0E"/>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01E6"/>
    <w:rsid w:val="001F1F9D"/>
    <w:rsid w:val="001F1FC5"/>
    <w:rsid w:val="001F5E84"/>
    <w:rsid w:val="001F73E8"/>
    <w:rsid w:val="002002ED"/>
    <w:rsid w:val="00202271"/>
    <w:rsid w:val="00202711"/>
    <w:rsid w:val="002029A4"/>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4F3D"/>
    <w:rsid w:val="0025505D"/>
    <w:rsid w:val="0025568C"/>
    <w:rsid w:val="0025624A"/>
    <w:rsid w:val="00256602"/>
    <w:rsid w:val="002569D2"/>
    <w:rsid w:val="00256F15"/>
    <w:rsid w:val="00264827"/>
    <w:rsid w:val="002659C1"/>
    <w:rsid w:val="00265F08"/>
    <w:rsid w:val="00266EEA"/>
    <w:rsid w:val="002705F3"/>
    <w:rsid w:val="002715D6"/>
    <w:rsid w:val="00273113"/>
    <w:rsid w:val="0027361F"/>
    <w:rsid w:val="00273CD5"/>
    <w:rsid w:val="00274AEB"/>
    <w:rsid w:val="002816A7"/>
    <w:rsid w:val="0028196A"/>
    <w:rsid w:val="00281FE6"/>
    <w:rsid w:val="00282E72"/>
    <w:rsid w:val="00283FAD"/>
    <w:rsid w:val="00286013"/>
    <w:rsid w:val="00286E18"/>
    <w:rsid w:val="0029136C"/>
    <w:rsid w:val="00292413"/>
    <w:rsid w:val="00292C52"/>
    <w:rsid w:val="0029312D"/>
    <w:rsid w:val="00297007"/>
    <w:rsid w:val="002A03F6"/>
    <w:rsid w:val="002A08AE"/>
    <w:rsid w:val="002A0C6D"/>
    <w:rsid w:val="002A5634"/>
    <w:rsid w:val="002B080D"/>
    <w:rsid w:val="002B43C8"/>
    <w:rsid w:val="002B693E"/>
    <w:rsid w:val="002C0A83"/>
    <w:rsid w:val="002C1FAC"/>
    <w:rsid w:val="002C28E4"/>
    <w:rsid w:val="002C5195"/>
    <w:rsid w:val="002C6736"/>
    <w:rsid w:val="002C6C09"/>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116F"/>
    <w:rsid w:val="00313224"/>
    <w:rsid w:val="00314634"/>
    <w:rsid w:val="0031504C"/>
    <w:rsid w:val="00320C3C"/>
    <w:rsid w:val="0032184B"/>
    <w:rsid w:val="00322986"/>
    <w:rsid w:val="00322AAB"/>
    <w:rsid w:val="00323CE9"/>
    <w:rsid w:val="0032536B"/>
    <w:rsid w:val="0032582D"/>
    <w:rsid w:val="0033107D"/>
    <w:rsid w:val="003367D1"/>
    <w:rsid w:val="003413E4"/>
    <w:rsid w:val="00343DF7"/>
    <w:rsid w:val="00344A78"/>
    <w:rsid w:val="00344BBD"/>
    <w:rsid w:val="00347342"/>
    <w:rsid w:val="00347D4D"/>
    <w:rsid w:val="003514F8"/>
    <w:rsid w:val="00354367"/>
    <w:rsid w:val="003560A1"/>
    <w:rsid w:val="003567DC"/>
    <w:rsid w:val="0036055F"/>
    <w:rsid w:val="00363FC4"/>
    <w:rsid w:val="00364892"/>
    <w:rsid w:val="00365079"/>
    <w:rsid w:val="00367086"/>
    <w:rsid w:val="00367DD6"/>
    <w:rsid w:val="00372BCE"/>
    <w:rsid w:val="00375FC7"/>
    <w:rsid w:val="00376FD2"/>
    <w:rsid w:val="00377219"/>
    <w:rsid w:val="00383B36"/>
    <w:rsid w:val="00383E9E"/>
    <w:rsid w:val="003864CA"/>
    <w:rsid w:val="00386EC2"/>
    <w:rsid w:val="003914A1"/>
    <w:rsid w:val="003915CD"/>
    <w:rsid w:val="003928FD"/>
    <w:rsid w:val="00393A51"/>
    <w:rsid w:val="003A51FD"/>
    <w:rsid w:val="003A5775"/>
    <w:rsid w:val="003A645A"/>
    <w:rsid w:val="003A7731"/>
    <w:rsid w:val="003B0F7E"/>
    <w:rsid w:val="003B2DE5"/>
    <w:rsid w:val="003B483C"/>
    <w:rsid w:val="003B5554"/>
    <w:rsid w:val="003C0F08"/>
    <w:rsid w:val="003C49C9"/>
    <w:rsid w:val="003C4FBC"/>
    <w:rsid w:val="003C7699"/>
    <w:rsid w:val="003D00C1"/>
    <w:rsid w:val="003D15D0"/>
    <w:rsid w:val="003D38F7"/>
    <w:rsid w:val="003D42D0"/>
    <w:rsid w:val="003D5AB0"/>
    <w:rsid w:val="003D6669"/>
    <w:rsid w:val="003D6830"/>
    <w:rsid w:val="003E52B4"/>
    <w:rsid w:val="003E5628"/>
    <w:rsid w:val="003E5D1E"/>
    <w:rsid w:val="003F100E"/>
    <w:rsid w:val="003F347A"/>
    <w:rsid w:val="003F5B81"/>
    <w:rsid w:val="003F69AF"/>
    <w:rsid w:val="003F69C5"/>
    <w:rsid w:val="00404087"/>
    <w:rsid w:val="0040464B"/>
    <w:rsid w:val="00404EA2"/>
    <w:rsid w:val="00405757"/>
    <w:rsid w:val="00407E2D"/>
    <w:rsid w:val="00411516"/>
    <w:rsid w:val="0041324B"/>
    <w:rsid w:val="0041375F"/>
    <w:rsid w:val="00413D01"/>
    <w:rsid w:val="00415484"/>
    <w:rsid w:val="0041758B"/>
    <w:rsid w:val="00417A48"/>
    <w:rsid w:val="00417FB9"/>
    <w:rsid w:val="004255AD"/>
    <w:rsid w:val="00425F5E"/>
    <w:rsid w:val="00427446"/>
    <w:rsid w:val="00427731"/>
    <w:rsid w:val="00431ED9"/>
    <w:rsid w:val="0043213F"/>
    <w:rsid w:val="004345F2"/>
    <w:rsid w:val="00441E8C"/>
    <w:rsid w:val="00443FC3"/>
    <w:rsid w:val="00444D9A"/>
    <w:rsid w:val="00444F84"/>
    <w:rsid w:val="00447594"/>
    <w:rsid w:val="00447D2E"/>
    <w:rsid w:val="00447DAD"/>
    <w:rsid w:val="00451BB3"/>
    <w:rsid w:val="004522F2"/>
    <w:rsid w:val="00456B68"/>
    <w:rsid w:val="004606F8"/>
    <w:rsid w:val="004610DD"/>
    <w:rsid w:val="00465CA9"/>
    <w:rsid w:val="00465F7D"/>
    <w:rsid w:val="00466EEB"/>
    <w:rsid w:val="00474468"/>
    <w:rsid w:val="004747FC"/>
    <w:rsid w:val="004763CF"/>
    <w:rsid w:val="00476406"/>
    <w:rsid w:val="0047657E"/>
    <w:rsid w:val="004801CF"/>
    <w:rsid w:val="00482EF8"/>
    <w:rsid w:val="00492902"/>
    <w:rsid w:val="00493B06"/>
    <w:rsid w:val="004A0D2F"/>
    <w:rsid w:val="004A33A2"/>
    <w:rsid w:val="004A3A17"/>
    <w:rsid w:val="004A4379"/>
    <w:rsid w:val="004A4472"/>
    <w:rsid w:val="004A5F2D"/>
    <w:rsid w:val="004A5F6F"/>
    <w:rsid w:val="004B07B7"/>
    <w:rsid w:val="004B1125"/>
    <w:rsid w:val="004B1E4E"/>
    <w:rsid w:val="004B35C3"/>
    <w:rsid w:val="004B4793"/>
    <w:rsid w:val="004B58A0"/>
    <w:rsid w:val="004C045D"/>
    <w:rsid w:val="004C0903"/>
    <w:rsid w:val="004C1322"/>
    <w:rsid w:val="004C1ADF"/>
    <w:rsid w:val="004C231D"/>
    <w:rsid w:val="004C3351"/>
    <w:rsid w:val="004C5DDB"/>
    <w:rsid w:val="004C6ACC"/>
    <w:rsid w:val="004D0F86"/>
    <w:rsid w:val="004D17EE"/>
    <w:rsid w:val="004D1AF6"/>
    <w:rsid w:val="004D26B3"/>
    <w:rsid w:val="004D282C"/>
    <w:rsid w:val="004D3CF4"/>
    <w:rsid w:val="004D5571"/>
    <w:rsid w:val="004D6A84"/>
    <w:rsid w:val="004E1384"/>
    <w:rsid w:val="004E1A31"/>
    <w:rsid w:val="004E1AA7"/>
    <w:rsid w:val="004E2DEE"/>
    <w:rsid w:val="004E3130"/>
    <w:rsid w:val="004E3916"/>
    <w:rsid w:val="004E48B8"/>
    <w:rsid w:val="004E56E5"/>
    <w:rsid w:val="004F3674"/>
    <w:rsid w:val="004F4AAF"/>
    <w:rsid w:val="004F52CA"/>
    <w:rsid w:val="00500E04"/>
    <w:rsid w:val="00501290"/>
    <w:rsid w:val="005013AB"/>
    <w:rsid w:val="00503B65"/>
    <w:rsid w:val="005055FD"/>
    <w:rsid w:val="005071E6"/>
    <w:rsid w:val="00510BCD"/>
    <w:rsid w:val="00513A0D"/>
    <w:rsid w:val="00513E78"/>
    <w:rsid w:val="005143F3"/>
    <w:rsid w:val="0052078A"/>
    <w:rsid w:val="00520B4D"/>
    <w:rsid w:val="005224E2"/>
    <w:rsid w:val="00522552"/>
    <w:rsid w:val="00522F41"/>
    <w:rsid w:val="005235D3"/>
    <w:rsid w:val="005245B1"/>
    <w:rsid w:val="00526125"/>
    <w:rsid w:val="0052693F"/>
    <w:rsid w:val="005319D7"/>
    <w:rsid w:val="00532D07"/>
    <w:rsid w:val="00535961"/>
    <w:rsid w:val="00537BC7"/>
    <w:rsid w:val="00544B49"/>
    <w:rsid w:val="005463A9"/>
    <w:rsid w:val="00546F57"/>
    <w:rsid w:val="005474D6"/>
    <w:rsid w:val="0055234E"/>
    <w:rsid w:val="00553A47"/>
    <w:rsid w:val="00561B08"/>
    <w:rsid w:val="00562BF1"/>
    <w:rsid w:val="0056301D"/>
    <w:rsid w:val="00564106"/>
    <w:rsid w:val="00565451"/>
    <w:rsid w:val="0057174D"/>
    <w:rsid w:val="00572032"/>
    <w:rsid w:val="0057350A"/>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5211"/>
    <w:rsid w:val="005B7AAB"/>
    <w:rsid w:val="005C4E6B"/>
    <w:rsid w:val="005C5138"/>
    <w:rsid w:val="005C5ED9"/>
    <w:rsid w:val="005C6FAE"/>
    <w:rsid w:val="005D141F"/>
    <w:rsid w:val="005D45C9"/>
    <w:rsid w:val="005D5EE7"/>
    <w:rsid w:val="005E3C0F"/>
    <w:rsid w:val="005E45BD"/>
    <w:rsid w:val="005E6C7E"/>
    <w:rsid w:val="005F22EA"/>
    <w:rsid w:val="005F4331"/>
    <w:rsid w:val="005F4AA1"/>
    <w:rsid w:val="0060255E"/>
    <w:rsid w:val="00603FCF"/>
    <w:rsid w:val="00605A5C"/>
    <w:rsid w:val="00611B45"/>
    <w:rsid w:val="00613DA8"/>
    <w:rsid w:val="00614058"/>
    <w:rsid w:val="00614B07"/>
    <w:rsid w:val="006168E8"/>
    <w:rsid w:val="00616EF1"/>
    <w:rsid w:val="0061770B"/>
    <w:rsid w:val="0062040F"/>
    <w:rsid w:val="00622936"/>
    <w:rsid w:val="0062391C"/>
    <w:rsid w:val="00631809"/>
    <w:rsid w:val="00631CED"/>
    <w:rsid w:val="00634F92"/>
    <w:rsid w:val="006352C1"/>
    <w:rsid w:val="00635E6D"/>
    <w:rsid w:val="00636172"/>
    <w:rsid w:val="0064016B"/>
    <w:rsid w:val="006503D8"/>
    <w:rsid w:val="00651BF9"/>
    <w:rsid w:val="00654481"/>
    <w:rsid w:val="0065509C"/>
    <w:rsid w:val="00655A67"/>
    <w:rsid w:val="0065674E"/>
    <w:rsid w:val="00657F07"/>
    <w:rsid w:val="00660B7F"/>
    <w:rsid w:val="00661B4E"/>
    <w:rsid w:val="00662C19"/>
    <w:rsid w:val="006646A6"/>
    <w:rsid w:val="00670741"/>
    <w:rsid w:val="0067080A"/>
    <w:rsid w:val="00670B1B"/>
    <w:rsid w:val="006729FF"/>
    <w:rsid w:val="006734EC"/>
    <w:rsid w:val="006739D3"/>
    <w:rsid w:val="00675F41"/>
    <w:rsid w:val="00676400"/>
    <w:rsid w:val="00677E47"/>
    <w:rsid w:val="00677FE8"/>
    <w:rsid w:val="0068098C"/>
    <w:rsid w:val="00686666"/>
    <w:rsid w:val="00692D9A"/>
    <w:rsid w:val="00694B4C"/>
    <w:rsid w:val="006A1BB3"/>
    <w:rsid w:val="006A3C03"/>
    <w:rsid w:val="006A4740"/>
    <w:rsid w:val="006A6097"/>
    <w:rsid w:val="006A64F2"/>
    <w:rsid w:val="006B17AF"/>
    <w:rsid w:val="006B3C1B"/>
    <w:rsid w:val="006B3EFB"/>
    <w:rsid w:val="006B690F"/>
    <w:rsid w:val="006B6CAC"/>
    <w:rsid w:val="006B7350"/>
    <w:rsid w:val="006C245B"/>
    <w:rsid w:val="006C2975"/>
    <w:rsid w:val="006C3315"/>
    <w:rsid w:val="006C3402"/>
    <w:rsid w:val="006C3AD5"/>
    <w:rsid w:val="006C463A"/>
    <w:rsid w:val="006C5DA4"/>
    <w:rsid w:val="006C6F08"/>
    <w:rsid w:val="006C7836"/>
    <w:rsid w:val="006D370E"/>
    <w:rsid w:val="006D3B1F"/>
    <w:rsid w:val="006D491B"/>
    <w:rsid w:val="006D4B7E"/>
    <w:rsid w:val="006D4E8D"/>
    <w:rsid w:val="006D51A2"/>
    <w:rsid w:val="006E1DF2"/>
    <w:rsid w:val="006E57E8"/>
    <w:rsid w:val="006F08AE"/>
    <w:rsid w:val="006F1854"/>
    <w:rsid w:val="006F2ACE"/>
    <w:rsid w:val="007000FB"/>
    <w:rsid w:val="007008E0"/>
    <w:rsid w:val="007019D8"/>
    <w:rsid w:val="00705235"/>
    <w:rsid w:val="007107AD"/>
    <w:rsid w:val="007146B7"/>
    <w:rsid w:val="00716333"/>
    <w:rsid w:val="00717514"/>
    <w:rsid w:val="00724A27"/>
    <w:rsid w:val="00733808"/>
    <w:rsid w:val="007342EA"/>
    <w:rsid w:val="00735001"/>
    <w:rsid w:val="007354F0"/>
    <w:rsid w:val="0073599D"/>
    <w:rsid w:val="00742C25"/>
    <w:rsid w:val="00743300"/>
    <w:rsid w:val="00745364"/>
    <w:rsid w:val="007455F8"/>
    <w:rsid w:val="00747A6F"/>
    <w:rsid w:val="007520AB"/>
    <w:rsid w:val="00752308"/>
    <w:rsid w:val="00752B0E"/>
    <w:rsid w:val="00756B4F"/>
    <w:rsid w:val="007575D6"/>
    <w:rsid w:val="00763043"/>
    <w:rsid w:val="00766C21"/>
    <w:rsid w:val="0077010C"/>
    <w:rsid w:val="00770452"/>
    <w:rsid w:val="00781BAD"/>
    <w:rsid w:val="00783A65"/>
    <w:rsid w:val="007854CF"/>
    <w:rsid w:val="00787B82"/>
    <w:rsid w:val="007900D4"/>
    <w:rsid w:val="00796F08"/>
    <w:rsid w:val="007A0FA3"/>
    <w:rsid w:val="007A1A4C"/>
    <w:rsid w:val="007A4181"/>
    <w:rsid w:val="007A46A0"/>
    <w:rsid w:val="007A7CF3"/>
    <w:rsid w:val="007A7EA7"/>
    <w:rsid w:val="007A7F9E"/>
    <w:rsid w:val="007B19A3"/>
    <w:rsid w:val="007B21DD"/>
    <w:rsid w:val="007B430A"/>
    <w:rsid w:val="007B52FD"/>
    <w:rsid w:val="007B5630"/>
    <w:rsid w:val="007C0BAC"/>
    <w:rsid w:val="007C679F"/>
    <w:rsid w:val="007D2137"/>
    <w:rsid w:val="007D6606"/>
    <w:rsid w:val="007D67D1"/>
    <w:rsid w:val="007D682B"/>
    <w:rsid w:val="007E2A88"/>
    <w:rsid w:val="007E5C59"/>
    <w:rsid w:val="007E6CAF"/>
    <w:rsid w:val="007E73C3"/>
    <w:rsid w:val="007F378A"/>
    <w:rsid w:val="007F7594"/>
    <w:rsid w:val="00803505"/>
    <w:rsid w:val="008046A7"/>
    <w:rsid w:val="00805E1E"/>
    <w:rsid w:val="0080763A"/>
    <w:rsid w:val="008101A5"/>
    <w:rsid w:val="0082072C"/>
    <w:rsid w:val="008211B6"/>
    <w:rsid w:val="008215F2"/>
    <w:rsid w:val="0082561C"/>
    <w:rsid w:val="00826CED"/>
    <w:rsid w:val="00831A19"/>
    <w:rsid w:val="00831EDA"/>
    <w:rsid w:val="008363BD"/>
    <w:rsid w:val="00836A1D"/>
    <w:rsid w:val="00837349"/>
    <w:rsid w:val="008433EA"/>
    <w:rsid w:val="00844572"/>
    <w:rsid w:val="008461EA"/>
    <w:rsid w:val="00847619"/>
    <w:rsid w:val="008527AF"/>
    <w:rsid w:val="00853982"/>
    <w:rsid w:val="00853EEA"/>
    <w:rsid w:val="00854310"/>
    <w:rsid w:val="0085796E"/>
    <w:rsid w:val="00860CE9"/>
    <w:rsid w:val="00870493"/>
    <w:rsid w:val="008733F2"/>
    <w:rsid w:val="008739F3"/>
    <w:rsid w:val="00875888"/>
    <w:rsid w:val="00877335"/>
    <w:rsid w:val="00881A7C"/>
    <w:rsid w:val="00884320"/>
    <w:rsid w:val="00885412"/>
    <w:rsid w:val="0089092B"/>
    <w:rsid w:val="00890EBB"/>
    <w:rsid w:val="00890FD6"/>
    <w:rsid w:val="0089104A"/>
    <w:rsid w:val="00891D27"/>
    <w:rsid w:val="00895B38"/>
    <w:rsid w:val="00897994"/>
    <w:rsid w:val="008979D0"/>
    <w:rsid w:val="008A3128"/>
    <w:rsid w:val="008A53F1"/>
    <w:rsid w:val="008A60E8"/>
    <w:rsid w:val="008B629C"/>
    <w:rsid w:val="008B6C4F"/>
    <w:rsid w:val="008C0A8C"/>
    <w:rsid w:val="008C1CCC"/>
    <w:rsid w:val="008C4B08"/>
    <w:rsid w:val="008C4DAE"/>
    <w:rsid w:val="008C6C90"/>
    <w:rsid w:val="008C6CD3"/>
    <w:rsid w:val="008D25CC"/>
    <w:rsid w:val="008D3E8B"/>
    <w:rsid w:val="008D409A"/>
    <w:rsid w:val="008D6803"/>
    <w:rsid w:val="008D70A6"/>
    <w:rsid w:val="008E121E"/>
    <w:rsid w:val="008E31F7"/>
    <w:rsid w:val="008F6929"/>
    <w:rsid w:val="00904091"/>
    <w:rsid w:val="009044B7"/>
    <w:rsid w:val="00906E26"/>
    <w:rsid w:val="00910E33"/>
    <w:rsid w:val="00912360"/>
    <w:rsid w:val="00914472"/>
    <w:rsid w:val="00917AE9"/>
    <w:rsid w:val="0092041D"/>
    <w:rsid w:val="00921DA9"/>
    <w:rsid w:val="00922734"/>
    <w:rsid w:val="00923457"/>
    <w:rsid w:val="009262AC"/>
    <w:rsid w:val="0093399D"/>
    <w:rsid w:val="0093663B"/>
    <w:rsid w:val="0094137F"/>
    <w:rsid w:val="00941BFF"/>
    <w:rsid w:val="00941E0A"/>
    <w:rsid w:val="00942B3C"/>
    <w:rsid w:val="00945A38"/>
    <w:rsid w:val="00950A70"/>
    <w:rsid w:val="00951681"/>
    <w:rsid w:val="00951BC4"/>
    <w:rsid w:val="009603C9"/>
    <w:rsid w:val="00960B87"/>
    <w:rsid w:val="00962AAD"/>
    <w:rsid w:val="00962FE9"/>
    <w:rsid w:val="009635AB"/>
    <w:rsid w:val="00964ECF"/>
    <w:rsid w:val="00966D6E"/>
    <w:rsid w:val="00967808"/>
    <w:rsid w:val="00971A09"/>
    <w:rsid w:val="0097213D"/>
    <w:rsid w:val="009758CE"/>
    <w:rsid w:val="00975E03"/>
    <w:rsid w:val="009803DF"/>
    <w:rsid w:val="00980566"/>
    <w:rsid w:val="00982ED8"/>
    <w:rsid w:val="0098383C"/>
    <w:rsid w:val="00984A9D"/>
    <w:rsid w:val="0098517C"/>
    <w:rsid w:val="00986732"/>
    <w:rsid w:val="00986CF0"/>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0E33"/>
    <w:rsid w:val="009D119A"/>
    <w:rsid w:val="009E047A"/>
    <w:rsid w:val="009E0743"/>
    <w:rsid w:val="009E0762"/>
    <w:rsid w:val="009E0D5F"/>
    <w:rsid w:val="009E16BB"/>
    <w:rsid w:val="009E3575"/>
    <w:rsid w:val="009E3DB9"/>
    <w:rsid w:val="009E3E52"/>
    <w:rsid w:val="009E558C"/>
    <w:rsid w:val="009E6878"/>
    <w:rsid w:val="009F07ED"/>
    <w:rsid w:val="009F17FE"/>
    <w:rsid w:val="009F34A1"/>
    <w:rsid w:val="009F3AA4"/>
    <w:rsid w:val="009F4221"/>
    <w:rsid w:val="009F435A"/>
    <w:rsid w:val="009F4617"/>
    <w:rsid w:val="009F47A7"/>
    <w:rsid w:val="009F5718"/>
    <w:rsid w:val="009F61DA"/>
    <w:rsid w:val="009F707B"/>
    <w:rsid w:val="009F7990"/>
    <w:rsid w:val="009F7A6D"/>
    <w:rsid w:val="00A009D4"/>
    <w:rsid w:val="00A02C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1524"/>
    <w:rsid w:val="00A5372D"/>
    <w:rsid w:val="00A6600B"/>
    <w:rsid w:val="00A66018"/>
    <w:rsid w:val="00A66558"/>
    <w:rsid w:val="00A7014D"/>
    <w:rsid w:val="00A71047"/>
    <w:rsid w:val="00A72D1A"/>
    <w:rsid w:val="00A751B8"/>
    <w:rsid w:val="00A83233"/>
    <w:rsid w:val="00A835FF"/>
    <w:rsid w:val="00A83846"/>
    <w:rsid w:val="00A83E30"/>
    <w:rsid w:val="00A84E58"/>
    <w:rsid w:val="00A85EA9"/>
    <w:rsid w:val="00A916E8"/>
    <w:rsid w:val="00A92349"/>
    <w:rsid w:val="00A944BC"/>
    <w:rsid w:val="00AA01C5"/>
    <w:rsid w:val="00AA1CCA"/>
    <w:rsid w:val="00AB0007"/>
    <w:rsid w:val="00AB07B5"/>
    <w:rsid w:val="00AB0B25"/>
    <w:rsid w:val="00AB6557"/>
    <w:rsid w:val="00AC0550"/>
    <w:rsid w:val="00AC3607"/>
    <w:rsid w:val="00AC54FF"/>
    <w:rsid w:val="00AC7B96"/>
    <w:rsid w:val="00AD066A"/>
    <w:rsid w:val="00AD069F"/>
    <w:rsid w:val="00AD6C0F"/>
    <w:rsid w:val="00AD72EB"/>
    <w:rsid w:val="00AE3450"/>
    <w:rsid w:val="00AE5055"/>
    <w:rsid w:val="00AE50A3"/>
    <w:rsid w:val="00AE699D"/>
    <w:rsid w:val="00AF0886"/>
    <w:rsid w:val="00AF1477"/>
    <w:rsid w:val="00AF25B4"/>
    <w:rsid w:val="00AF33FC"/>
    <w:rsid w:val="00AF4C7A"/>
    <w:rsid w:val="00AF5D5B"/>
    <w:rsid w:val="00AF6B9A"/>
    <w:rsid w:val="00B00AA3"/>
    <w:rsid w:val="00B0240C"/>
    <w:rsid w:val="00B026D9"/>
    <w:rsid w:val="00B05442"/>
    <w:rsid w:val="00B072ED"/>
    <w:rsid w:val="00B10BF4"/>
    <w:rsid w:val="00B11050"/>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7E41"/>
    <w:rsid w:val="00B43E1A"/>
    <w:rsid w:val="00B47709"/>
    <w:rsid w:val="00B50794"/>
    <w:rsid w:val="00B51738"/>
    <w:rsid w:val="00B51E90"/>
    <w:rsid w:val="00B57380"/>
    <w:rsid w:val="00B61A04"/>
    <w:rsid w:val="00B67053"/>
    <w:rsid w:val="00B67C1A"/>
    <w:rsid w:val="00B7271C"/>
    <w:rsid w:val="00B72B12"/>
    <w:rsid w:val="00B75D1C"/>
    <w:rsid w:val="00B763C7"/>
    <w:rsid w:val="00B763FA"/>
    <w:rsid w:val="00B774A8"/>
    <w:rsid w:val="00B816DD"/>
    <w:rsid w:val="00B81A18"/>
    <w:rsid w:val="00B81D8F"/>
    <w:rsid w:val="00B82AC2"/>
    <w:rsid w:val="00B83C4A"/>
    <w:rsid w:val="00B853A1"/>
    <w:rsid w:val="00B86EB8"/>
    <w:rsid w:val="00B91A4A"/>
    <w:rsid w:val="00B97B9F"/>
    <w:rsid w:val="00BA3333"/>
    <w:rsid w:val="00BA36B3"/>
    <w:rsid w:val="00BA5B1F"/>
    <w:rsid w:val="00BA66B1"/>
    <w:rsid w:val="00BA6EBC"/>
    <w:rsid w:val="00BB1638"/>
    <w:rsid w:val="00BB34F9"/>
    <w:rsid w:val="00BB4BAF"/>
    <w:rsid w:val="00BB529A"/>
    <w:rsid w:val="00BB766A"/>
    <w:rsid w:val="00BB7694"/>
    <w:rsid w:val="00BB7E8B"/>
    <w:rsid w:val="00BC0B12"/>
    <w:rsid w:val="00BC0E96"/>
    <w:rsid w:val="00BC12E2"/>
    <w:rsid w:val="00BC1DCF"/>
    <w:rsid w:val="00BC346D"/>
    <w:rsid w:val="00BC35D4"/>
    <w:rsid w:val="00BC3D16"/>
    <w:rsid w:val="00BD25B2"/>
    <w:rsid w:val="00BD4345"/>
    <w:rsid w:val="00BD4DFB"/>
    <w:rsid w:val="00BE3510"/>
    <w:rsid w:val="00BE3E98"/>
    <w:rsid w:val="00BE4CCA"/>
    <w:rsid w:val="00BE74C8"/>
    <w:rsid w:val="00BE761E"/>
    <w:rsid w:val="00BF0827"/>
    <w:rsid w:val="00BF0A35"/>
    <w:rsid w:val="00BF2F4A"/>
    <w:rsid w:val="00BF3093"/>
    <w:rsid w:val="00BF3C89"/>
    <w:rsid w:val="00BF57D7"/>
    <w:rsid w:val="00BF76B6"/>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46B1"/>
    <w:rsid w:val="00C374CC"/>
    <w:rsid w:val="00C379FE"/>
    <w:rsid w:val="00C37CD0"/>
    <w:rsid w:val="00C43CFE"/>
    <w:rsid w:val="00C46557"/>
    <w:rsid w:val="00C46DC6"/>
    <w:rsid w:val="00C47893"/>
    <w:rsid w:val="00C4789A"/>
    <w:rsid w:val="00C5077F"/>
    <w:rsid w:val="00C5093C"/>
    <w:rsid w:val="00C50EAF"/>
    <w:rsid w:val="00C52731"/>
    <w:rsid w:val="00C55401"/>
    <w:rsid w:val="00C60004"/>
    <w:rsid w:val="00C60CCE"/>
    <w:rsid w:val="00C63F6B"/>
    <w:rsid w:val="00C669E5"/>
    <w:rsid w:val="00C679CE"/>
    <w:rsid w:val="00C704C9"/>
    <w:rsid w:val="00C71914"/>
    <w:rsid w:val="00C7784C"/>
    <w:rsid w:val="00C80F04"/>
    <w:rsid w:val="00C81090"/>
    <w:rsid w:val="00C81C16"/>
    <w:rsid w:val="00C86564"/>
    <w:rsid w:val="00C90531"/>
    <w:rsid w:val="00C92128"/>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1CB1"/>
    <w:rsid w:val="00D22216"/>
    <w:rsid w:val="00D25F59"/>
    <w:rsid w:val="00D261C3"/>
    <w:rsid w:val="00D266C2"/>
    <w:rsid w:val="00D3255C"/>
    <w:rsid w:val="00D3420E"/>
    <w:rsid w:val="00D3478E"/>
    <w:rsid w:val="00D356CF"/>
    <w:rsid w:val="00D4206A"/>
    <w:rsid w:val="00D43037"/>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287"/>
    <w:rsid w:val="00D86802"/>
    <w:rsid w:val="00D90A8A"/>
    <w:rsid w:val="00D90DCC"/>
    <w:rsid w:val="00D91676"/>
    <w:rsid w:val="00D92463"/>
    <w:rsid w:val="00D9281D"/>
    <w:rsid w:val="00D94284"/>
    <w:rsid w:val="00D95A0A"/>
    <w:rsid w:val="00D969EB"/>
    <w:rsid w:val="00D974FF"/>
    <w:rsid w:val="00DA0270"/>
    <w:rsid w:val="00DA04D6"/>
    <w:rsid w:val="00DA06FC"/>
    <w:rsid w:val="00DA229D"/>
    <w:rsid w:val="00DA56F0"/>
    <w:rsid w:val="00DA5F0B"/>
    <w:rsid w:val="00DA7A60"/>
    <w:rsid w:val="00DB4818"/>
    <w:rsid w:val="00DB5F13"/>
    <w:rsid w:val="00DB61EA"/>
    <w:rsid w:val="00DC5B32"/>
    <w:rsid w:val="00DC5E09"/>
    <w:rsid w:val="00DD173D"/>
    <w:rsid w:val="00DD40C0"/>
    <w:rsid w:val="00DD5462"/>
    <w:rsid w:val="00DE2FEA"/>
    <w:rsid w:val="00DE4AC1"/>
    <w:rsid w:val="00DE5630"/>
    <w:rsid w:val="00DE5FF0"/>
    <w:rsid w:val="00DF0EC6"/>
    <w:rsid w:val="00DF26E7"/>
    <w:rsid w:val="00DF4B57"/>
    <w:rsid w:val="00DF54D3"/>
    <w:rsid w:val="00DF6DBF"/>
    <w:rsid w:val="00E00CF4"/>
    <w:rsid w:val="00E02E3B"/>
    <w:rsid w:val="00E049A4"/>
    <w:rsid w:val="00E04D8F"/>
    <w:rsid w:val="00E06ACB"/>
    <w:rsid w:val="00E072AC"/>
    <w:rsid w:val="00E078FD"/>
    <w:rsid w:val="00E112F2"/>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3CC4"/>
    <w:rsid w:val="00E553D5"/>
    <w:rsid w:val="00E56ADF"/>
    <w:rsid w:val="00E600F1"/>
    <w:rsid w:val="00E626F1"/>
    <w:rsid w:val="00E641A6"/>
    <w:rsid w:val="00E65624"/>
    <w:rsid w:val="00E6714F"/>
    <w:rsid w:val="00E705D3"/>
    <w:rsid w:val="00E70B74"/>
    <w:rsid w:val="00E70E0C"/>
    <w:rsid w:val="00E7317F"/>
    <w:rsid w:val="00E73276"/>
    <w:rsid w:val="00E737FA"/>
    <w:rsid w:val="00E76ACE"/>
    <w:rsid w:val="00E84012"/>
    <w:rsid w:val="00E861DA"/>
    <w:rsid w:val="00E86364"/>
    <w:rsid w:val="00E86E28"/>
    <w:rsid w:val="00E904E5"/>
    <w:rsid w:val="00E92A19"/>
    <w:rsid w:val="00E93699"/>
    <w:rsid w:val="00E959E8"/>
    <w:rsid w:val="00E96A0E"/>
    <w:rsid w:val="00EA0263"/>
    <w:rsid w:val="00EA174A"/>
    <w:rsid w:val="00EA4441"/>
    <w:rsid w:val="00EA460D"/>
    <w:rsid w:val="00EA4E23"/>
    <w:rsid w:val="00EA700C"/>
    <w:rsid w:val="00EA7897"/>
    <w:rsid w:val="00EB0F37"/>
    <w:rsid w:val="00EB154E"/>
    <w:rsid w:val="00EB1B66"/>
    <w:rsid w:val="00EB208A"/>
    <w:rsid w:val="00EB2FB3"/>
    <w:rsid w:val="00EB3EFF"/>
    <w:rsid w:val="00EB479F"/>
    <w:rsid w:val="00EB4B99"/>
    <w:rsid w:val="00EB7E3D"/>
    <w:rsid w:val="00EC088F"/>
    <w:rsid w:val="00EC11E4"/>
    <w:rsid w:val="00EC1AE7"/>
    <w:rsid w:val="00EC439F"/>
    <w:rsid w:val="00EC7806"/>
    <w:rsid w:val="00EC7FD4"/>
    <w:rsid w:val="00ED1EC3"/>
    <w:rsid w:val="00ED2F45"/>
    <w:rsid w:val="00ED3B2F"/>
    <w:rsid w:val="00ED4012"/>
    <w:rsid w:val="00ED55A2"/>
    <w:rsid w:val="00EE010A"/>
    <w:rsid w:val="00EE266F"/>
    <w:rsid w:val="00EE4A53"/>
    <w:rsid w:val="00EE511F"/>
    <w:rsid w:val="00EE5EDA"/>
    <w:rsid w:val="00EF0A65"/>
    <w:rsid w:val="00EF12CB"/>
    <w:rsid w:val="00EF12EE"/>
    <w:rsid w:val="00EF1E3D"/>
    <w:rsid w:val="00EF331C"/>
    <w:rsid w:val="00EF3332"/>
    <w:rsid w:val="00EF3779"/>
    <w:rsid w:val="00EF41AC"/>
    <w:rsid w:val="00EF4F0C"/>
    <w:rsid w:val="00F0033E"/>
    <w:rsid w:val="00F02A7A"/>
    <w:rsid w:val="00F03624"/>
    <w:rsid w:val="00F0492B"/>
    <w:rsid w:val="00F06057"/>
    <w:rsid w:val="00F260A8"/>
    <w:rsid w:val="00F26B72"/>
    <w:rsid w:val="00F26BB6"/>
    <w:rsid w:val="00F27CC0"/>
    <w:rsid w:val="00F3014C"/>
    <w:rsid w:val="00F353CE"/>
    <w:rsid w:val="00F3651B"/>
    <w:rsid w:val="00F37163"/>
    <w:rsid w:val="00F435F1"/>
    <w:rsid w:val="00F45F9D"/>
    <w:rsid w:val="00F46355"/>
    <w:rsid w:val="00F46A63"/>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6B3"/>
    <w:rsid w:val="00F84751"/>
    <w:rsid w:val="00F85075"/>
    <w:rsid w:val="00F85AD4"/>
    <w:rsid w:val="00F93E48"/>
    <w:rsid w:val="00F95D50"/>
    <w:rsid w:val="00F96AA9"/>
    <w:rsid w:val="00F96F60"/>
    <w:rsid w:val="00FA2073"/>
    <w:rsid w:val="00FA2A0D"/>
    <w:rsid w:val="00FA521B"/>
    <w:rsid w:val="00FA7E0A"/>
    <w:rsid w:val="00FB0B72"/>
    <w:rsid w:val="00FB0CB0"/>
    <w:rsid w:val="00FB1797"/>
    <w:rsid w:val="00FB538E"/>
    <w:rsid w:val="00FC6029"/>
    <w:rsid w:val="00FC789F"/>
    <w:rsid w:val="00FD0B12"/>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51A8"/>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975"/>
    <w:pPr>
      <w:ind w:left="720"/>
      <w:contextualSpacing/>
    </w:pPr>
  </w:style>
  <w:style w:type="paragraph" w:styleId="Header">
    <w:name w:val="header"/>
    <w:basedOn w:val="Normal"/>
    <w:link w:val="HeaderChar"/>
    <w:rsid w:val="00B86EB8"/>
    <w:pPr>
      <w:tabs>
        <w:tab w:val="center" w:pos="4680"/>
        <w:tab w:val="right" w:pos="9360"/>
      </w:tabs>
    </w:pPr>
  </w:style>
  <w:style w:type="character" w:customStyle="1" w:styleId="HeaderChar">
    <w:name w:val="Header Char"/>
    <w:basedOn w:val="DefaultParagraphFont"/>
    <w:link w:val="Header"/>
    <w:rsid w:val="00B86EB8"/>
    <w:rPr>
      <w:sz w:val="24"/>
      <w:szCs w:val="24"/>
    </w:rPr>
  </w:style>
  <w:style w:type="paragraph" w:styleId="Footer">
    <w:name w:val="footer"/>
    <w:basedOn w:val="Normal"/>
    <w:link w:val="FooterChar"/>
    <w:uiPriority w:val="99"/>
    <w:rsid w:val="00B86EB8"/>
    <w:pPr>
      <w:tabs>
        <w:tab w:val="center" w:pos="4680"/>
        <w:tab w:val="right" w:pos="9360"/>
      </w:tabs>
    </w:pPr>
  </w:style>
  <w:style w:type="character" w:customStyle="1" w:styleId="FooterChar">
    <w:name w:val="Footer Char"/>
    <w:basedOn w:val="DefaultParagraphFont"/>
    <w:link w:val="Footer"/>
    <w:uiPriority w:val="99"/>
    <w:rsid w:val="00B86EB8"/>
    <w:rPr>
      <w:sz w:val="24"/>
      <w:szCs w:val="24"/>
    </w:rPr>
  </w:style>
  <w:style w:type="paragraph" w:styleId="FootnoteText">
    <w:name w:val="footnote text"/>
    <w:basedOn w:val="Normal"/>
    <w:link w:val="FootnoteTextChar"/>
    <w:rsid w:val="006F1854"/>
    <w:rPr>
      <w:sz w:val="20"/>
      <w:szCs w:val="20"/>
    </w:rPr>
  </w:style>
  <w:style w:type="character" w:customStyle="1" w:styleId="FootnoteTextChar">
    <w:name w:val="Footnote Text Char"/>
    <w:basedOn w:val="DefaultParagraphFont"/>
    <w:link w:val="FootnoteText"/>
    <w:rsid w:val="006F1854"/>
  </w:style>
  <w:style w:type="character" w:styleId="FootnoteReference">
    <w:name w:val="footnote reference"/>
    <w:basedOn w:val="DefaultParagraphFont"/>
    <w:rsid w:val="006F18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5</cp:revision>
  <cp:lastPrinted>2011-08-23T15:58:00Z</cp:lastPrinted>
  <dcterms:created xsi:type="dcterms:W3CDTF">2011-08-15T15:35:00Z</dcterms:created>
  <dcterms:modified xsi:type="dcterms:W3CDTF">2011-08-23T15:59:00Z</dcterms:modified>
</cp:coreProperties>
</file>