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8" w:rsidRPr="00FA6483" w:rsidRDefault="00ED3EC8" w:rsidP="00ED3EC8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Default="00ED3EC8" w:rsidP="00ED3EC8">
      <w:pPr>
        <w:jc w:val="center"/>
        <w:rPr>
          <w:b/>
        </w:rPr>
      </w:pPr>
    </w:p>
    <w:p w:rsidR="00ED3EC8" w:rsidRPr="00FA6483" w:rsidRDefault="00EC6526" w:rsidP="00ED3EC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933B5D">
        <w:rPr>
          <w:sz w:val="24"/>
          <w:szCs w:val="24"/>
        </w:rPr>
        <w:t>eborah L. Anderson</w:t>
      </w:r>
      <w:r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  <w:t>: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8E19D7" w:rsidP="00ED3EC8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ED3EC8">
        <w:rPr>
          <w:sz w:val="24"/>
          <w:szCs w:val="24"/>
        </w:rPr>
        <w:t>Docket No.</w:t>
      </w:r>
      <w:r w:rsidR="00933B5D">
        <w:rPr>
          <w:sz w:val="24"/>
          <w:szCs w:val="24"/>
        </w:rPr>
        <w:t xml:space="preserve"> C</w:t>
      </w:r>
      <w:r>
        <w:rPr>
          <w:sz w:val="24"/>
          <w:szCs w:val="24"/>
        </w:rPr>
        <w:t>-200</w:t>
      </w:r>
      <w:r w:rsidR="00933B5D">
        <w:rPr>
          <w:sz w:val="24"/>
          <w:szCs w:val="24"/>
        </w:rPr>
        <w:t>9</w:t>
      </w:r>
      <w:r>
        <w:rPr>
          <w:sz w:val="24"/>
          <w:szCs w:val="24"/>
        </w:rPr>
        <w:t>-21</w:t>
      </w:r>
      <w:r w:rsidR="00933B5D">
        <w:rPr>
          <w:sz w:val="24"/>
          <w:szCs w:val="24"/>
        </w:rPr>
        <w:t>36754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933B5D" w:rsidP="00ED3EC8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  <w:r w:rsidR="0062316C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 w:rsidRPr="00FA6483">
        <w:rPr>
          <w:sz w:val="24"/>
          <w:szCs w:val="24"/>
        </w:rPr>
        <w:t>:</w:t>
      </w:r>
    </w:p>
    <w:p w:rsidR="00ED3EC8" w:rsidRDefault="00ED3EC8" w:rsidP="00ED3EC8"/>
    <w:p w:rsidR="00ED3EC8" w:rsidRDefault="00ED3EC8" w:rsidP="00ED3EC8"/>
    <w:p w:rsidR="00ED3EC8" w:rsidRDefault="00ED3EC8" w:rsidP="00ED3EC8"/>
    <w:p w:rsidR="00ED3EC8" w:rsidRPr="00D019B0" w:rsidRDefault="00ED3EC8" w:rsidP="00ED3EC8">
      <w:pPr>
        <w:jc w:val="center"/>
        <w:rPr>
          <w:b/>
          <w:sz w:val="24"/>
          <w:szCs w:val="24"/>
          <w:u w:val="single"/>
        </w:rPr>
      </w:pPr>
      <w:r w:rsidRPr="00D019B0">
        <w:rPr>
          <w:b/>
          <w:sz w:val="24"/>
          <w:szCs w:val="24"/>
          <w:u w:val="single"/>
        </w:rPr>
        <w:t>ORDER</w:t>
      </w:r>
    </w:p>
    <w:p w:rsidR="00ED3EC8" w:rsidRDefault="00ED3EC8" w:rsidP="00ED3EC8">
      <w:pPr>
        <w:jc w:val="center"/>
        <w:rPr>
          <w:b/>
        </w:rPr>
      </w:pPr>
    </w:p>
    <w:p w:rsidR="00ED3EC8" w:rsidRDefault="00ED3EC8" w:rsidP="00ED3EC8">
      <w:pPr>
        <w:jc w:val="center"/>
        <w:rPr>
          <w:b/>
        </w:rPr>
      </w:pPr>
    </w:p>
    <w:p w:rsidR="00986761" w:rsidRDefault="00ED3EC8" w:rsidP="002C08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</w:t>
      </w:r>
      <w:r w:rsidR="001E04C7">
        <w:rPr>
          <w:sz w:val="24"/>
          <w:szCs w:val="24"/>
        </w:rPr>
        <w:t xml:space="preserve">preliminary </w:t>
      </w:r>
      <w:r w:rsidR="00933B5D">
        <w:rPr>
          <w:sz w:val="24"/>
          <w:szCs w:val="24"/>
        </w:rPr>
        <w:t xml:space="preserve">hearing </w:t>
      </w:r>
      <w:r w:rsidR="002C08BA">
        <w:rPr>
          <w:sz w:val="24"/>
          <w:szCs w:val="24"/>
        </w:rPr>
        <w:t xml:space="preserve">in this case was held on </w:t>
      </w:r>
      <w:r w:rsidR="00933B5D" w:rsidRPr="002C08BA">
        <w:rPr>
          <w:sz w:val="24"/>
          <w:szCs w:val="24"/>
        </w:rPr>
        <w:t>August 22</w:t>
      </w:r>
      <w:r w:rsidR="008E19D7" w:rsidRPr="002C08BA">
        <w:rPr>
          <w:sz w:val="24"/>
          <w:szCs w:val="24"/>
        </w:rPr>
        <w:t>,</w:t>
      </w:r>
      <w:r w:rsidRPr="002C08BA">
        <w:rPr>
          <w:sz w:val="24"/>
          <w:szCs w:val="24"/>
        </w:rPr>
        <w:t xml:space="preserve"> 201</w:t>
      </w:r>
      <w:r w:rsidR="007038D2" w:rsidRPr="002C08BA">
        <w:rPr>
          <w:sz w:val="24"/>
          <w:szCs w:val="24"/>
        </w:rPr>
        <w:t>1</w:t>
      </w:r>
      <w:r w:rsidRPr="002C08BA">
        <w:rPr>
          <w:sz w:val="24"/>
          <w:szCs w:val="24"/>
        </w:rPr>
        <w:t xml:space="preserve">, </w:t>
      </w:r>
      <w:r w:rsidR="00933B5D">
        <w:rPr>
          <w:sz w:val="24"/>
          <w:szCs w:val="24"/>
        </w:rPr>
        <w:t>at the Philadelphia, Pennsylvania</w:t>
      </w:r>
      <w:r w:rsidR="00765D07">
        <w:rPr>
          <w:sz w:val="24"/>
          <w:szCs w:val="24"/>
        </w:rPr>
        <w:t>,</w:t>
      </w:r>
      <w:r w:rsidR="00933B5D">
        <w:rPr>
          <w:sz w:val="24"/>
          <w:szCs w:val="24"/>
        </w:rPr>
        <w:t xml:space="preserve"> Office of the Commission.</w:t>
      </w:r>
      <w:r>
        <w:rPr>
          <w:b/>
          <w:sz w:val="24"/>
          <w:szCs w:val="24"/>
        </w:rPr>
        <w:t xml:space="preserve">  </w:t>
      </w:r>
      <w:r w:rsidR="002C08BA">
        <w:rPr>
          <w:sz w:val="24"/>
          <w:szCs w:val="24"/>
        </w:rPr>
        <w:t>That hearing was continued on the verbal motion of counsel for Deborah L. Anderson (Complainant), to allow the Complainant an opportunity to review PECO Energy Company’s (PECO or Respondent)</w:t>
      </w:r>
      <w:r w:rsidR="00944654">
        <w:rPr>
          <w:sz w:val="24"/>
          <w:szCs w:val="24"/>
        </w:rPr>
        <w:t xml:space="preserve"> </w:t>
      </w:r>
      <w:r w:rsidR="00986761">
        <w:rPr>
          <w:sz w:val="24"/>
          <w:szCs w:val="24"/>
        </w:rPr>
        <w:t>proposed Exhibit</w:t>
      </w:r>
      <w:r w:rsidR="00944654">
        <w:rPr>
          <w:sz w:val="24"/>
          <w:szCs w:val="24"/>
        </w:rPr>
        <w:t xml:space="preserve"> </w:t>
      </w:r>
      <w:r w:rsidR="00986761">
        <w:rPr>
          <w:sz w:val="24"/>
          <w:szCs w:val="24"/>
        </w:rPr>
        <w:t>1</w:t>
      </w:r>
      <w:r w:rsidR="00944654">
        <w:rPr>
          <w:sz w:val="24"/>
          <w:szCs w:val="24"/>
        </w:rPr>
        <w:t>, the account activity statement relative to Complainant’s electricity and natural gas usage</w:t>
      </w:r>
      <w:r w:rsidR="00986761">
        <w:rPr>
          <w:sz w:val="24"/>
          <w:szCs w:val="24"/>
        </w:rPr>
        <w:t>.  Counsel for PECO did not oppose th</w:t>
      </w:r>
      <w:r w:rsidR="00944654">
        <w:rPr>
          <w:sz w:val="24"/>
          <w:szCs w:val="24"/>
        </w:rPr>
        <w:t>at</w:t>
      </w:r>
      <w:r w:rsidR="00986761">
        <w:rPr>
          <w:sz w:val="24"/>
          <w:szCs w:val="24"/>
        </w:rPr>
        <w:t xml:space="preserve"> Motion.  This Order confirms my ruling granting the Motion and the continuance of this proceeding</w:t>
      </w:r>
      <w:r w:rsidR="00944654">
        <w:rPr>
          <w:sz w:val="24"/>
          <w:szCs w:val="24"/>
        </w:rPr>
        <w:t xml:space="preserve"> in accord with the </w:t>
      </w:r>
      <w:r w:rsidR="00944654" w:rsidRPr="00E16C06">
        <w:rPr>
          <w:sz w:val="24"/>
          <w:szCs w:val="24"/>
        </w:rPr>
        <w:t xml:space="preserve">Commission’s Rule of Administrative Practice and Procedure at 52 Pa. Code § 1.15(b) </w:t>
      </w:r>
      <w:r w:rsidR="00944654">
        <w:rPr>
          <w:sz w:val="24"/>
          <w:szCs w:val="24"/>
        </w:rPr>
        <w:t xml:space="preserve">which </w:t>
      </w:r>
      <w:r w:rsidR="00944654" w:rsidRPr="00E16C06">
        <w:rPr>
          <w:sz w:val="24"/>
          <w:szCs w:val="24"/>
        </w:rPr>
        <w:t>state</w:t>
      </w:r>
      <w:r w:rsidR="00944654">
        <w:rPr>
          <w:sz w:val="24"/>
          <w:szCs w:val="24"/>
        </w:rPr>
        <w:t>s</w:t>
      </w:r>
      <w:r w:rsidR="00944654" w:rsidRPr="00E16C06">
        <w:rPr>
          <w:sz w:val="24"/>
          <w:szCs w:val="24"/>
        </w:rPr>
        <w:t xml:space="preserve"> that, “Only for good cause shown will requests for continuance be considered.”</w:t>
      </w:r>
      <w:r w:rsidR="001E04C7">
        <w:rPr>
          <w:sz w:val="24"/>
          <w:szCs w:val="24"/>
        </w:rPr>
        <w:t xml:space="preserve">  Good cause was shown in that the Complainant needs additional time to review proposed Exhibit 1 and to complete any discovery requests.</w:t>
      </w:r>
    </w:p>
    <w:p w:rsidR="00944654" w:rsidRDefault="00944654" w:rsidP="002C08BA">
      <w:pPr>
        <w:spacing w:line="360" w:lineRule="auto"/>
        <w:rPr>
          <w:sz w:val="24"/>
          <w:szCs w:val="24"/>
        </w:rPr>
      </w:pPr>
    </w:p>
    <w:p w:rsidR="00986761" w:rsidRDefault="00986761" w:rsidP="002C08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Counsel for the parties also agreed to the following litigation schedule</w:t>
      </w:r>
      <w:r w:rsidR="001E04C7">
        <w:rPr>
          <w:sz w:val="24"/>
          <w:szCs w:val="24"/>
        </w:rPr>
        <w:t>, including expedited discovery</w:t>
      </w:r>
      <w:r>
        <w:rPr>
          <w:sz w:val="24"/>
          <w:szCs w:val="24"/>
        </w:rPr>
        <w:t>:</w:t>
      </w:r>
    </w:p>
    <w:p w:rsidR="00986761" w:rsidRDefault="00986761" w:rsidP="002C08BA">
      <w:pPr>
        <w:spacing w:line="360" w:lineRule="auto"/>
        <w:rPr>
          <w:sz w:val="24"/>
          <w:szCs w:val="24"/>
        </w:rPr>
      </w:pPr>
    </w:p>
    <w:p w:rsidR="00986761" w:rsidRDefault="00986761" w:rsidP="00076F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26,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Completion of </w:t>
      </w:r>
      <w:r w:rsidR="004C0099">
        <w:rPr>
          <w:sz w:val="24"/>
          <w:szCs w:val="24"/>
        </w:rPr>
        <w:t xml:space="preserve">Complainant’s </w:t>
      </w:r>
      <w:r>
        <w:rPr>
          <w:sz w:val="24"/>
          <w:szCs w:val="24"/>
        </w:rPr>
        <w:t>discovery requests</w:t>
      </w:r>
    </w:p>
    <w:p w:rsidR="00986761" w:rsidRDefault="00986761" w:rsidP="00076F24">
      <w:pPr>
        <w:rPr>
          <w:sz w:val="24"/>
          <w:szCs w:val="24"/>
        </w:rPr>
      </w:pPr>
    </w:p>
    <w:p w:rsidR="00986761" w:rsidRDefault="00986761" w:rsidP="00076F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9,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0099">
        <w:rPr>
          <w:sz w:val="24"/>
          <w:szCs w:val="24"/>
        </w:rPr>
        <w:t xml:space="preserve">PECO’s response to discovery </w:t>
      </w:r>
      <w:r w:rsidR="00076F24">
        <w:rPr>
          <w:sz w:val="24"/>
          <w:szCs w:val="24"/>
        </w:rPr>
        <w:t xml:space="preserve">requests </w:t>
      </w:r>
      <w:r w:rsidR="004C0099">
        <w:rPr>
          <w:sz w:val="24"/>
          <w:szCs w:val="24"/>
        </w:rPr>
        <w:t>due</w:t>
      </w:r>
    </w:p>
    <w:p w:rsidR="004C0099" w:rsidRDefault="004C0099" w:rsidP="00076F24">
      <w:pPr>
        <w:rPr>
          <w:sz w:val="24"/>
          <w:szCs w:val="24"/>
        </w:rPr>
      </w:pPr>
    </w:p>
    <w:p w:rsidR="004C0099" w:rsidRDefault="004C0099" w:rsidP="00076F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16,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discovery related </w:t>
      </w:r>
      <w:r w:rsidR="003A2DC0">
        <w:rPr>
          <w:sz w:val="24"/>
          <w:szCs w:val="24"/>
        </w:rPr>
        <w:t xml:space="preserve">objection or Motion to Compel </w:t>
      </w:r>
      <w:r w:rsidR="003A2DC0">
        <w:rPr>
          <w:sz w:val="24"/>
          <w:szCs w:val="24"/>
        </w:rPr>
        <w:tab/>
      </w:r>
      <w:r w:rsidR="003A2DC0">
        <w:rPr>
          <w:sz w:val="24"/>
          <w:szCs w:val="24"/>
        </w:rPr>
        <w:tab/>
      </w:r>
      <w:r w:rsidR="003A2DC0">
        <w:rPr>
          <w:sz w:val="24"/>
          <w:szCs w:val="24"/>
        </w:rPr>
        <w:tab/>
      </w:r>
      <w:r w:rsidR="003A2DC0">
        <w:rPr>
          <w:sz w:val="24"/>
          <w:szCs w:val="24"/>
        </w:rPr>
        <w:tab/>
      </w:r>
      <w:r w:rsidR="003A2DC0">
        <w:rPr>
          <w:sz w:val="24"/>
          <w:szCs w:val="24"/>
        </w:rPr>
        <w:tab/>
      </w:r>
      <w:r w:rsidR="003A2DC0">
        <w:rPr>
          <w:sz w:val="24"/>
          <w:szCs w:val="24"/>
        </w:rPr>
        <w:tab/>
        <w:t>due</w:t>
      </w:r>
    </w:p>
    <w:p w:rsidR="003A2DC0" w:rsidRDefault="003A2DC0" w:rsidP="00076F24">
      <w:pPr>
        <w:rPr>
          <w:sz w:val="24"/>
          <w:szCs w:val="24"/>
        </w:rPr>
      </w:pPr>
    </w:p>
    <w:p w:rsidR="003A2DC0" w:rsidRDefault="003A2DC0" w:rsidP="00076F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23,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Answer to any </w:t>
      </w:r>
      <w:r w:rsidR="001E04C7">
        <w:rPr>
          <w:sz w:val="24"/>
          <w:szCs w:val="24"/>
        </w:rPr>
        <w:t xml:space="preserve">objection or </w:t>
      </w:r>
      <w:r>
        <w:rPr>
          <w:sz w:val="24"/>
          <w:szCs w:val="24"/>
        </w:rPr>
        <w:t>Motion to Compel due</w:t>
      </w:r>
    </w:p>
    <w:p w:rsidR="003A2DC0" w:rsidRDefault="003A2DC0" w:rsidP="00076F24">
      <w:pPr>
        <w:rPr>
          <w:sz w:val="24"/>
          <w:szCs w:val="24"/>
        </w:rPr>
      </w:pPr>
    </w:p>
    <w:p w:rsidR="003A2DC0" w:rsidRDefault="003A2DC0" w:rsidP="00076F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30,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Mutual exchange of proposed exhibits</w:t>
      </w:r>
    </w:p>
    <w:p w:rsidR="003A2DC0" w:rsidRDefault="003A2DC0" w:rsidP="00076F24">
      <w:pPr>
        <w:rPr>
          <w:sz w:val="24"/>
          <w:szCs w:val="24"/>
        </w:rPr>
      </w:pPr>
    </w:p>
    <w:p w:rsidR="003A2DC0" w:rsidRDefault="003A2DC0" w:rsidP="00076F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6F24">
        <w:rPr>
          <w:sz w:val="24"/>
          <w:szCs w:val="24"/>
        </w:rPr>
        <w:t>Week of October 11, 2011</w:t>
      </w:r>
      <w:r w:rsidR="00076F24">
        <w:rPr>
          <w:sz w:val="24"/>
          <w:szCs w:val="24"/>
        </w:rPr>
        <w:tab/>
        <w:t>Hearing</w:t>
      </w:r>
    </w:p>
    <w:p w:rsidR="001E04C7" w:rsidRDefault="001E04C7" w:rsidP="00076F24">
      <w:pPr>
        <w:rPr>
          <w:sz w:val="24"/>
          <w:szCs w:val="24"/>
        </w:rPr>
      </w:pPr>
    </w:p>
    <w:p w:rsidR="00C134B2" w:rsidRDefault="00C134B2" w:rsidP="00C134B2">
      <w:pPr>
        <w:spacing w:line="360" w:lineRule="auto"/>
        <w:rPr>
          <w:sz w:val="24"/>
          <w:szCs w:val="24"/>
        </w:rPr>
      </w:pPr>
    </w:p>
    <w:p w:rsidR="00C134B2" w:rsidRPr="00E16C06" w:rsidRDefault="00C134B2" w:rsidP="00C134B2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THEREFORE,</w:t>
      </w:r>
    </w:p>
    <w:p w:rsidR="00C134B2" w:rsidRPr="00E16C06" w:rsidRDefault="00C134B2" w:rsidP="00C134B2">
      <w:pPr>
        <w:rPr>
          <w:sz w:val="24"/>
          <w:szCs w:val="24"/>
        </w:rPr>
      </w:pPr>
    </w:p>
    <w:p w:rsidR="00C134B2" w:rsidRDefault="00C134B2" w:rsidP="00C134B2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C134B2" w:rsidRPr="00E16C06" w:rsidRDefault="00C134B2" w:rsidP="00C134B2">
      <w:pPr>
        <w:rPr>
          <w:sz w:val="24"/>
          <w:szCs w:val="24"/>
        </w:rPr>
      </w:pPr>
    </w:p>
    <w:p w:rsidR="00C134B2" w:rsidRPr="00E16C06" w:rsidRDefault="00C134B2" w:rsidP="00C134B2">
      <w:pPr>
        <w:rPr>
          <w:sz w:val="24"/>
          <w:szCs w:val="24"/>
        </w:rPr>
      </w:pPr>
    </w:p>
    <w:p w:rsidR="00C134B2" w:rsidRDefault="00C134B2" w:rsidP="00C134B2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>That the Motion for Continuance of Hearing made by</w:t>
      </w:r>
      <w:r>
        <w:rPr>
          <w:sz w:val="24"/>
          <w:szCs w:val="24"/>
        </w:rPr>
        <w:t xml:space="preserve"> Deborah L. Anderson, at</w:t>
      </w:r>
      <w:r w:rsidRPr="00E16C06">
        <w:rPr>
          <w:sz w:val="24"/>
          <w:szCs w:val="24"/>
        </w:rPr>
        <w:t xml:space="preserve"> Docket No. </w:t>
      </w:r>
      <w:r>
        <w:rPr>
          <w:sz w:val="24"/>
          <w:szCs w:val="24"/>
        </w:rPr>
        <w:t xml:space="preserve">C-2009-2136754 </w:t>
      </w:r>
      <w:r w:rsidRPr="00E16C06">
        <w:rPr>
          <w:sz w:val="24"/>
          <w:szCs w:val="24"/>
        </w:rPr>
        <w:t>is granted</w:t>
      </w:r>
      <w:r>
        <w:rPr>
          <w:sz w:val="24"/>
          <w:szCs w:val="24"/>
        </w:rPr>
        <w:t>.</w:t>
      </w:r>
      <w:r w:rsidRPr="00E16C06">
        <w:rPr>
          <w:sz w:val="24"/>
          <w:szCs w:val="24"/>
        </w:rPr>
        <w:t xml:space="preserve"> </w:t>
      </w:r>
    </w:p>
    <w:p w:rsidR="00C134B2" w:rsidRDefault="00C134B2" w:rsidP="00C134B2">
      <w:pPr>
        <w:spacing w:line="360" w:lineRule="auto"/>
        <w:rPr>
          <w:sz w:val="24"/>
          <w:szCs w:val="24"/>
        </w:rPr>
      </w:pPr>
    </w:p>
    <w:p w:rsidR="00C134B2" w:rsidRDefault="00C134B2" w:rsidP="00C134B2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</w:t>
      </w:r>
      <w:r>
        <w:rPr>
          <w:sz w:val="24"/>
          <w:szCs w:val="24"/>
        </w:rPr>
        <w:t xml:space="preserve">evidentiary </w:t>
      </w:r>
      <w:r w:rsidRPr="00E16C06">
        <w:rPr>
          <w:sz w:val="24"/>
          <w:szCs w:val="24"/>
        </w:rPr>
        <w:t xml:space="preserve">hearing scheduled for </w:t>
      </w:r>
      <w:r>
        <w:rPr>
          <w:sz w:val="24"/>
          <w:szCs w:val="24"/>
        </w:rPr>
        <w:t>August 22, 2011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and </w:t>
      </w:r>
      <w:r>
        <w:rPr>
          <w:sz w:val="24"/>
          <w:szCs w:val="24"/>
        </w:rPr>
        <w:t xml:space="preserve">will be </w:t>
      </w:r>
      <w:r w:rsidRPr="00E16C06">
        <w:rPr>
          <w:sz w:val="24"/>
          <w:szCs w:val="24"/>
        </w:rPr>
        <w:t>rescheduled.</w:t>
      </w:r>
    </w:p>
    <w:p w:rsidR="00C134B2" w:rsidRDefault="00C134B2" w:rsidP="00C134B2">
      <w:pPr>
        <w:spacing w:line="360" w:lineRule="auto"/>
        <w:rPr>
          <w:sz w:val="24"/>
          <w:szCs w:val="24"/>
        </w:rPr>
      </w:pPr>
    </w:p>
    <w:p w:rsidR="007238B5" w:rsidRDefault="00C134B2" w:rsidP="00C13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That the litigation schedule proposed by the Parties is adopted</w:t>
      </w:r>
      <w:r w:rsidR="007238B5">
        <w:rPr>
          <w:sz w:val="24"/>
          <w:szCs w:val="24"/>
        </w:rPr>
        <w:t>.</w:t>
      </w:r>
    </w:p>
    <w:p w:rsidR="007238B5" w:rsidRDefault="007238B5" w:rsidP="00C134B2">
      <w:pPr>
        <w:spacing w:line="360" w:lineRule="auto"/>
        <w:rPr>
          <w:sz w:val="24"/>
          <w:szCs w:val="24"/>
        </w:rPr>
      </w:pPr>
    </w:p>
    <w:p w:rsidR="00C134B2" w:rsidRPr="00E16C06" w:rsidRDefault="007238B5" w:rsidP="00C13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 xml:space="preserve">That </w:t>
      </w:r>
      <w:r w:rsidR="00C134B2">
        <w:rPr>
          <w:sz w:val="24"/>
          <w:szCs w:val="24"/>
        </w:rPr>
        <w:t xml:space="preserve">the Commission’s rules with respect to discovery are </w:t>
      </w:r>
      <w:r>
        <w:rPr>
          <w:sz w:val="24"/>
          <w:szCs w:val="24"/>
        </w:rPr>
        <w:t xml:space="preserve">waived to the extent required pursuant to 52 Pa. Code </w:t>
      </w:r>
      <w:r w:rsidRPr="007238B5">
        <w:rPr>
          <w:sz w:val="24"/>
          <w:szCs w:val="24"/>
        </w:rPr>
        <w:t>§ 1.91</w:t>
      </w:r>
      <w:r>
        <w:rPr>
          <w:sz w:val="24"/>
          <w:szCs w:val="24"/>
        </w:rPr>
        <w:t xml:space="preserve"> in order to implement the litigation schedule.</w:t>
      </w:r>
    </w:p>
    <w:p w:rsidR="00C134B2" w:rsidRPr="00E16C06" w:rsidRDefault="00C134B2" w:rsidP="00C134B2">
      <w:pPr>
        <w:rPr>
          <w:sz w:val="24"/>
          <w:szCs w:val="24"/>
        </w:rPr>
      </w:pPr>
    </w:p>
    <w:p w:rsidR="00C134B2" w:rsidRPr="00E16C06" w:rsidRDefault="00C134B2" w:rsidP="00C134B2">
      <w:pPr>
        <w:rPr>
          <w:sz w:val="24"/>
          <w:szCs w:val="24"/>
        </w:rPr>
      </w:pPr>
    </w:p>
    <w:p w:rsidR="00C134B2" w:rsidRPr="00E16C06" w:rsidRDefault="00C134B2" w:rsidP="00C134B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98"/>
        <w:gridCol w:w="2340"/>
        <w:gridCol w:w="1890"/>
        <w:gridCol w:w="4248"/>
      </w:tblGrid>
      <w:tr w:rsidR="00C134B2" w:rsidRPr="00E16C06" w:rsidTr="00997ADC">
        <w:tc>
          <w:tcPr>
            <w:tcW w:w="1098" w:type="dxa"/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24, 2011</w:t>
            </w:r>
          </w:p>
        </w:tc>
        <w:tc>
          <w:tcPr>
            <w:tcW w:w="1890" w:type="dxa"/>
            <w:tcBorders>
              <w:left w:val="nil"/>
            </w:tcBorders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</w:p>
        </w:tc>
      </w:tr>
      <w:tr w:rsidR="00C134B2" w:rsidRPr="00E16C06" w:rsidTr="00997ADC">
        <w:tc>
          <w:tcPr>
            <w:tcW w:w="1098" w:type="dxa"/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134B2" w:rsidRPr="00E16C06" w:rsidRDefault="00C134B2" w:rsidP="00997ADC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C134B2" w:rsidRPr="00E16C06" w:rsidRDefault="00C134B2" w:rsidP="00997ADC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076F24" w:rsidRDefault="00076F24" w:rsidP="002C08BA">
      <w:pPr>
        <w:spacing w:line="360" w:lineRule="auto"/>
        <w:rPr>
          <w:sz w:val="24"/>
          <w:szCs w:val="24"/>
        </w:rPr>
      </w:pPr>
    </w:p>
    <w:p w:rsidR="00CE34D1" w:rsidRDefault="00CE34D1" w:rsidP="002C08BA">
      <w:pPr>
        <w:spacing w:line="360" w:lineRule="auto"/>
        <w:rPr>
          <w:sz w:val="24"/>
          <w:szCs w:val="24"/>
        </w:rPr>
        <w:sectPr w:rsidR="00CE34D1" w:rsidSect="00ED3EC8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CE34D1" w:rsidRPr="00057980" w:rsidRDefault="00CE34D1" w:rsidP="00CE34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B3F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C-2009-2136754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4B3F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Deborah L Anderson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B3F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r w:rsidRPr="004B3FB4">
        <w:rPr>
          <w:rFonts w:ascii="Microsoft Sans Serif" w:hAnsi="Microsoft Sans Serif" w:cs="Microsoft Sans Serif"/>
          <w:caps/>
          <w:noProof/>
          <w:szCs w:val="24"/>
        </w:rPr>
        <w:t>Deborah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Anderson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 w:rsidRPr="004B3FB4">
            <w:rPr>
              <w:rFonts w:ascii="Microsoft Sans Serif" w:hAnsi="Microsoft Sans Serif" w:cs="Microsoft Sans Serif"/>
              <w:caps/>
              <w:noProof/>
              <w:szCs w:val="24"/>
            </w:rPr>
            <w:t>526 Fern Street</w:t>
          </w:r>
        </w:smartTag>
      </w:smartTag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r w:rsidRPr="004B3FB4">
        <w:rPr>
          <w:rFonts w:ascii="Microsoft Sans Serif" w:hAnsi="Microsoft Sans Serif" w:cs="Microsoft Sans Serif"/>
          <w:caps/>
          <w:noProof/>
          <w:szCs w:val="24"/>
        </w:rPr>
        <w:t>Yeadon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19050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B3FB4">
        <w:rPr>
          <w:rFonts w:ascii="Microsoft Sans Serif" w:hAnsi="Microsoft Sans Serif" w:cs="Microsoft Sans Serif"/>
          <w:b/>
          <w:caps/>
          <w:noProof/>
          <w:szCs w:val="24"/>
        </w:rPr>
        <w:t>610.623.4438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r w:rsidRPr="004B3FB4">
        <w:rPr>
          <w:rFonts w:ascii="Microsoft Sans Serif" w:hAnsi="Microsoft Sans Serif" w:cs="Microsoft Sans Serif"/>
          <w:caps/>
          <w:noProof/>
          <w:szCs w:val="24"/>
        </w:rPr>
        <w:t>David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Still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 w:rsidRPr="004B3FB4">
            <w:rPr>
              <w:rFonts w:ascii="Microsoft Sans Serif" w:hAnsi="Microsoft Sans Serif" w:cs="Microsoft Sans Serif"/>
              <w:caps/>
              <w:noProof/>
              <w:szCs w:val="24"/>
            </w:rPr>
            <w:t>5398 Wynnefield Avenue</w:t>
          </w:r>
        </w:smartTag>
      </w:smartTag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 w:rsidRPr="004B3FB4"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19131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B3FB4">
        <w:rPr>
          <w:rFonts w:ascii="Microsoft Sans Serif" w:hAnsi="Microsoft Sans Serif" w:cs="Microsoft Sans Serif"/>
          <w:b/>
          <w:caps/>
          <w:noProof/>
          <w:szCs w:val="24"/>
        </w:rPr>
        <w:t>215.877.3800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 w:rsidRPr="004B3FB4"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 w:rsidRPr="004B3FB4"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 w:rsidRPr="004B3FB4"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 w:rsidRPr="004B3FB4"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4B3FB4"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 w:rsidRPr="004B3FB4"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 w:rsidRPr="004B3FB4"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B3FB4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CE34D1" w:rsidRDefault="00CE34D1" w:rsidP="00CE34D1">
      <w:pPr>
        <w:rPr>
          <w:rFonts w:ascii="Microsoft Sans Serif" w:hAnsi="Microsoft Sans Serif" w:cs="Microsoft Sans Serif"/>
          <w:b/>
          <w:caps/>
          <w:szCs w:val="24"/>
        </w:rPr>
        <w:sectPr w:rsidR="00CE34D1" w:rsidSect="00967D12">
          <w:pgSz w:w="12240" w:h="15840" w:code="1"/>
          <w:pgMar w:top="1440" w:right="720" w:bottom="1440" w:left="720" w:header="720" w:footer="720" w:gutter="0"/>
          <w:pgNumType w:start="1"/>
          <w:cols w:space="720"/>
          <w:noEndnote/>
          <w:titlePg/>
        </w:sectPr>
      </w:pPr>
      <w:r w:rsidRPr="004B3FB4">
        <w:rPr>
          <w:rFonts w:ascii="Microsoft Sans Serif" w:hAnsi="Microsoft Sans Serif" w:cs="Microsoft Sans Serif"/>
          <w:b/>
          <w:caps/>
          <w:noProof/>
          <w:szCs w:val="24"/>
        </w:rPr>
        <w:t>215.841.6816</w:t>
      </w:r>
    </w:p>
    <w:p w:rsidR="00CE34D1" w:rsidRPr="00057980" w:rsidRDefault="00CE34D1" w:rsidP="00CE34D1">
      <w:pPr>
        <w:rPr>
          <w:rFonts w:ascii="Microsoft Sans Serif" w:hAnsi="Microsoft Sans Serif" w:cs="Microsoft Sans Serif"/>
          <w:caps/>
          <w:szCs w:val="24"/>
        </w:rPr>
      </w:pPr>
    </w:p>
    <w:p w:rsidR="00076F24" w:rsidRPr="002C08BA" w:rsidRDefault="00076F24" w:rsidP="002C08BA">
      <w:pPr>
        <w:spacing w:line="360" w:lineRule="auto"/>
        <w:rPr>
          <w:sz w:val="24"/>
          <w:szCs w:val="24"/>
        </w:rPr>
      </w:pPr>
    </w:p>
    <w:sectPr w:rsidR="00076F24" w:rsidRPr="002C08BA" w:rsidSect="00967D12">
      <w:type w:val="continuous"/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BE" w:rsidRDefault="009307BE">
      <w:r>
        <w:separator/>
      </w:r>
    </w:p>
  </w:endnote>
  <w:endnote w:type="continuationSeparator" w:id="0">
    <w:p w:rsidR="009307BE" w:rsidRDefault="0093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036028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036028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4D1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BE" w:rsidRDefault="009307BE">
      <w:r>
        <w:separator/>
      </w:r>
    </w:p>
  </w:footnote>
  <w:footnote w:type="continuationSeparator" w:id="0">
    <w:p w:rsidR="009307BE" w:rsidRDefault="00930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EC8"/>
    <w:rsid w:val="00001E3A"/>
    <w:rsid w:val="00001EF6"/>
    <w:rsid w:val="00003D11"/>
    <w:rsid w:val="00004AA9"/>
    <w:rsid w:val="00005558"/>
    <w:rsid w:val="000079FE"/>
    <w:rsid w:val="000118BE"/>
    <w:rsid w:val="00012104"/>
    <w:rsid w:val="0001305A"/>
    <w:rsid w:val="00016E55"/>
    <w:rsid w:val="0002105C"/>
    <w:rsid w:val="00035BB8"/>
    <w:rsid w:val="00036028"/>
    <w:rsid w:val="000541C0"/>
    <w:rsid w:val="000576ED"/>
    <w:rsid w:val="000605B6"/>
    <w:rsid w:val="00061278"/>
    <w:rsid w:val="000634EB"/>
    <w:rsid w:val="00063801"/>
    <w:rsid w:val="00067CBC"/>
    <w:rsid w:val="00076F24"/>
    <w:rsid w:val="000902E3"/>
    <w:rsid w:val="0009220F"/>
    <w:rsid w:val="00092B4E"/>
    <w:rsid w:val="00092E44"/>
    <w:rsid w:val="00093562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4105E"/>
    <w:rsid w:val="00143142"/>
    <w:rsid w:val="00155E87"/>
    <w:rsid w:val="00157E46"/>
    <w:rsid w:val="00162D2F"/>
    <w:rsid w:val="00172E8C"/>
    <w:rsid w:val="00174F7E"/>
    <w:rsid w:val="0017580D"/>
    <w:rsid w:val="00181AB1"/>
    <w:rsid w:val="001857EA"/>
    <w:rsid w:val="00191522"/>
    <w:rsid w:val="00192EB5"/>
    <w:rsid w:val="001966CB"/>
    <w:rsid w:val="001A103D"/>
    <w:rsid w:val="001A216A"/>
    <w:rsid w:val="001B1B1D"/>
    <w:rsid w:val="001B3D6F"/>
    <w:rsid w:val="001D1F1B"/>
    <w:rsid w:val="001E04C7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DB6"/>
    <w:rsid w:val="002546D8"/>
    <w:rsid w:val="00260459"/>
    <w:rsid w:val="0026705F"/>
    <w:rsid w:val="002704DD"/>
    <w:rsid w:val="00284760"/>
    <w:rsid w:val="0029096F"/>
    <w:rsid w:val="0029353E"/>
    <w:rsid w:val="00297286"/>
    <w:rsid w:val="002A05C6"/>
    <w:rsid w:val="002A5F4D"/>
    <w:rsid w:val="002B754D"/>
    <w:rsid w:val="002C08BA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44C34"/>
    <w:rsid w:val="00354574"/>
    <w:rsid w:val="00360F5F"/>
    <w:rsid w:val="0036124A"/>
    <w:rsid w:val="00365459"/>
    <w:rsid w:val="0036754C"/>
    <w:rsid w:val="00381B05"/>
    <w:rsid w:val="00386626"/>
    <w:rsid w:val="00390929"/>
    <w:rsid w:val="003A0B9C"/>
    <w:rsid w:val="003A0E5A"/>
    <w:rsid w:val="003A2DC0"/>
    <w:rsid w:val="003A7581"/>
    <w:rsid w:val="003B36F9"/>
    <w:rsid w:val="003B4D40"/>
    <w:rsid w:val="003B5D19"/>
    <w:rsid w:val="003B610B"/>
    <w:rsid w:val="003C26A1"/>
    <w:rsid w:val="003C47E8"/>
    <w:rsid w:val="003E07AB"/>
    <w:rsid w:val="003E2B14"/>
    <w:rsid w:val="003F01A7"/>
    <w:rsid w:val="004047B1"/>
    <w:rsid w:val="00407C2F"/>
    <w:rsid w:val="00411425"/>
    <w:rsid w:val="00413BA5"/>
    <w:rsid w:val="0041486E"/>
    <w:rsid w:val="00426277"/>
    <w:rsid w:val="004262B3"/>
    <w:rsid w:val="00431130"/>
    <w:rsid w:val="00442254"/>
    <w:rsid w:val="00446B02"/>
    <w:rsid w:val="0045300F"/>
    <w:rsid w:val="00454158"/>
    <w:rsid w:val="00454723"/>
    <w:rsid w:val="00460140"/>
    <w:rsid w:val="0046238B"/>
    <w:rsid w:val="004746C5"/>
    <w:rsid w:val="004858A2"/>
    <w:rsid w:val="00491F39"/>
    <w:rsid w:val="0049575D"/>
    <w:rsid w:val="004A5318"/>
    <w:rsid w:val="004A741E"/>
    <w:rsid w:val="004B1ADE"/>
    <w:rsid w:val="004B570B"/>
    <w:rsid w:val="004B652A"/>
    <w:rsid w:val="004C0099"/>
    <w:rsid w:val="004C30D2"/>
    <w:rsid w:val="004D0BE0"/>
    <w:rsid w:val="004D14F0"/>
    <w:rsid w:val="004D4A68"/>
    <w:rsid w:val="004E429F"/>
    <w:rsid w:val="004F25E0"/>
    <w:rsid w:val="004F37CB"/>
    <w:rsid w:val="004F45CA"/>
    <w:rsid w:val="00504F92"/>
    <w:rsid w:val="00505224"/>
    <w:rsid w:val="005078B3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824"/>
    <w:rsid w:val="006148B8"/>
    <w:rsid w:val="00620850"/>
    <w:rsid w:val="0062316C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D1276"/>
    <w:rsid w:val="006E670A"/>
    <w:rsid w:val="006F27FC"/>
    <w:rsid w:val="006F3153"/>
    <w:rsid w:val="006F4F6D"/>
    <w:rsid w:val="007038D2"/>
    <w:rsid w:val="00705262"/>
    <w:rsid w:val="00705CA5"/>
    <w:rsid w:val="00716D0A"/>
    <w:rsid w:val="00721ECF"/>
    <w:rsid w:val="007238B5"/>
    <w:rsid w:val="00725BEA"/>
    <w:rsid w:val="007306D1"/>
    <w:rsid w:val="00742CE1"/>
    <w:rsid w:val="0074372C"/>
    <w:rsid w:val="00744C7C"/>
    <w:rsid w:val="00747C4D"/>
    <w:rsid w:val="0075585E"/>
    <w:rsid w:val="00765D07"/>
    <w:rsid w:val="0078470A"/>
    <w:rsid w:val="00787AF1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72CF6"/>
    <w:rsid w:val="00882CB8"/>
    <w:rsid w:val="00884650"/>
    <w:rsid w:val="00893901"/>
    <w:rsid w:val="008A41C8"/>
    <w:rsid w:val="008B269C"/>
    <w:rsid w:val="008B2982"/>
    <w:rsid w:val="008C03AD"/>
    <w:rsid w:val="008C1485"/>
    <w:rsid w:val="008D2DBA"/>
    <w:rsid w:val="008D638B"/>
    <w:rsid w:val="008E19D7"/>
    <w:rsid w:val="008E6FB7"/>
    <w:rsid w:val="008E7FE5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277B6"/>
    <w:rsid w:val="009307BE"/>
    <w:rsid w:val="00930EBA"/>
    <w:rsid w:val="00933B5D"/>
    <w:rsid w:val="00934635"/>
    <w:rsid w:val="00935580"/>
    <w:rsid w:val="009412D9"/>
    <w:rsid w:val="00944654"/>
    <w:rsid w:val="00944730"/>
    <w:rsid w:val="009471B5"/>
    <w:rsid w:val="00952928"/>
    <w:rsid w:val="00953CFD"/>
    <w:rsid w:val="009669E3"/>
    <w:rsid w:val="009671DB"/>
    <w:rsid w:val="00972738"/>
    <w:rsid w:val="00980958"/>
    <w:rsid w:val="00986761"/>
    <w:rsid w:val="00987014"/>
    <w:rsid w:val="00997443"/>
    <w:rsid w:val="009A08AA"/>
    <w:rsid w:val="009A68E7"/>
    <w:rsid w:val="009B66C0"/>
    <w:rsid w:val="009C24F9"/>
    <w:rsid w:val="009D3AAC"/>
    <w:rsid w:val="009D5B63"/>
    <w:rsid w:val="009E05A1"/>
    <w:rsid w:val="009E1679"/>
    <w:rsid w:val="009E239E"/>
    <w:rsid w:val="009E271D"/>
    <w:rsid w:val="009F5449"/>
    <w:rsid w:val="009F768D"/>
    <w:rsid w:val="00A07D8F"/>
    <w:rsid w:val="00A13C95"/>
    <w:rsid w:val="00A249F6"/>
    <w:rsid w:val="00A35AFD"/>
    <w:rsid w:val="00A40731"/>
    <w:rsid w:val="00A448EF"/>
    <w:rsid w:val="00A52A4E"/>
    <w:rsid w:val="00A5343C"/>
    <w:rsid w:val="00A7538D"/>
    <w:rsid w:val="00A8008F"/>
    <w:rsid w:val="00A80E74"/>
    <w:rsid w:val="00A851A4"/>
    <w:rsid w:val="00A86BD8"/>
    <w:rsid w:val="00A87EDF"/>
    <w:rsid w:val="00AA1496"/>
    <w:rsid w:val="00AA3D06"/>
    <w:rsid w:val="00AA4899"/>
    <w:rsid w:val="00AA639F"/>
    <w:rsid w:val="00AC0D42"/>
    <w:rsid w:val="00AC7DAD"/>
    <w:rsid w:val="00AD344D"/>
    <w:rsid w:val="00AD5E7B"/>
    <w:rsid w:val="00AE7E8A"/>
    <w:rsid w:val="00AF32D8"/>
    <w:rsid w:val="00AF4C64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C02723"/>
    <w:rsid w:val="00C02A91"/>
    <w:rsid w:val="00C04960"/>
    <w:rsid w:val="00C11391"/>
    <w:rsid w:val="00C134B2"/>
    <w:rsid w:val="00C138A5"/>
    <w:rsid w:val="00C211F9"/>
    <w:rsid w:val="00C25927"/>
    <w:rsid w:val="00C27126"/>
    <w:rsid w:val="00C310B8"/>
    <w:rsid w:val="00C31DBD"/>
    <w:rsid w:val="00C3343C"/>
    <w:rsid w:val="00C36C29"/>
    <w:rsid w:val="00C65047"/>
    <w:rsid w:val="00C833D6"/>
    <w:rsid w:val="00C95318"/>
    <w:rsid w:val="00C95A99"/>
    <w:rsid w:val="00C96F6B"/>
    <w:rsid w:val="00CA27F9"/>
    <w:rsid w:val="00CB2C94"/>
    <w:rsid w:val="00CC1659"/>
    <w:rsid w:val="00CC30C3"/>
    <w:rsid w:val="00CE047D"/>
    <w:rsid w:val="00CE34D1"/>
    <w:rsid w:val="00CE7731"/>
    <w:rsid w:val="00CF6A79"/>
    <w:rsid w:val="00D019B0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9690A"/>
    <w:rsid w:val="00DA0625"/>
    <w:rsid w:val="00DA671A"/>
    <w:rsid w:val="00DA7E6E"/>
    <w:rsid w:val="00DB07B8"/>
    <w:rsid w:val="00DB4F49"/>
    <w:rsid w:val="00DC4772"/>
    <w:rsid w:val="00DC6711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C6526"/>
    <w:rsid w:val="00EC68D7"/>
    <w:rsid w:val="00ED2F8A"/>
    <w:rsid w:val="00ED3EC8"/>
    <w:rsid w:val="00ED7543"/>
    <w:rsid w:val="00EE1EE5"/>
    <w:rsid w:val="00EF7235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62D04"/>
    <w:rsid w:val="00F70887"/>
    <w:rsid w:val="00F86EF9"/>
    <w:rsid w:val="00F86FB1"/>
    <w:rsid w:val="00F8714B"/>
    <w:rsid w:val="00F908E0"/>
    <w:rsid w:val="00F9335A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dc:description/>
  <cp:lastModifiedBy>astout</cp:lastModifiedBy>
  <cp:revision>3</cp:revision>
  <dcterms:created xsi:type="dcterms:W3CDTF">2011-08-25T13:52:00Z</dcterms:created>
  <dcterms:modified xsi:type="dcterms:W3CDTF">2011-08-25T13:54:00Z</dcterms:modified>
</cp:coreProperties>
</file>