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856"/>
      </w:tblGrid>
      <w:tr w:rsidR="009D03EA" w:rsidRPr="001F6691">
        <w:trPr>
          <w:cantSplit/>
        </w:trPr>
        <w:tc>
          <w:tcPr>
            <w:tcW w:w="8856" w:type="dxa"/>
          </w:tcPr>
          <w:p w:rsidR="009D03EA" w:rsidRPr="001F6691" w:rsidRDefault="009D03EA" w:rsidP="001F6691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1F6691">
              <w:rPr>
                <w:rFonts w:ascii="Times New Roman" w:hAnsi="Times New Roman"/>
                <w:sz w:val="26"/>
                <w:szCs w:val="26"/>
              </w:rPr>
              <w:t>PENNSYLVANIA PUBLIC UTILITY COMMISSION</w:t>
            </w:r>
          </w:p>
          <w:p w:rsidR="009D03EA" w:rsidRPr="001F6691" w:rsidRDefault="009D03EA" w:rsidP="001F6691">
            <w:pPr>
              <w:jc w:val="center"/>
              <w:rPr>
                <w:b/>
                <w:sz w:val="26"/>
                <w:szCs w:val="26"/>
              </w:rPr>
            </w:pPr>
            <w:r w:rsidRPr="001F6691">
              <w:rPr>
                <w:b/>
                <w:sz w:val="26"/>
                <w:szCs w:val="26"/>
              </w:rPr>
              <w:t>HARRISBURG, PENNSYLVANIA</w:t>
            </w:r>
            <w:r w:rsidR="001F6691">
              <w:rPr>
                <w:b/>
                <w:sz w:val="26"/>
                <w:szCs w:val="26"/>
              </w:rPr>
              <w:t xml:space="preserve"> </w:t>
            </w:r>
            <w:r w:rsidRPr="001F6691">
              <w:rPr>
                <w:b/>
                <w:sz w:val="26"/>
                <w:szCs w:val="26"/>
              </w:rPr>
              <w:t>171</w:t>
            </w:r>
            <w:r w:rsidR="00DF7434" w:rsidRPr="001F6691">
              <w:rPr>
                <w:b/>
                <w:sz w:val="26"/>
                <w:szCs w:val="26"/>
              </w:rPr>
              <w:t>20</w:t>
            </w:r>
          </w:p>
          <w:p w:rsidR="006E5BB3" w:rsidRPr="001F6691" w:rsidRDefault="006E5BB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92DEA" w:rsidRPr="001F6691" w:rsidRDefault="00092DEA">
      <w:pPr>
        <w:rPr>
          <w:b/>
          <w:sz w:val="28"/>
          <w:szCs w:val="28"/>
        </w:rPr>
        <w:sectPr w:rsidR="00092DEA" w:rsidRPr="001F6691" w:rsidSect="00285985">
          <w:footerReference w:type="even" r:id="rId8"/>
          <w:footerReference w:type="default" r:id="rId9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0" w:type="auto"/>
        <w:tblInd w:w="198" w:type="dxa"/>
        <w:tblLayout w:type="fixed"/>
        <w:tblLook w:val="0000"/>
      </w:tblPr>
      <w:tblGrid>
        <w:gridCol w:w="3978"/>
        <w:gridCol w:w="450"/>
        <w:gridCol w:w="4428"/>
      </w:tblGrid>
      <w:tr w:rsidR="009D03EA" w:rsidRPr="001F6691" w:rsidTr="00E30CA6">
        <w:trPr>
          <w:cantSplit/>
          <w:trHeight w:val="1260"/>
        </w:trPr>
        <w:tc>
          <w:tcPr>
            <w:tcW w:w="3978" w:type="dxa"/>
          </w:tcPr>
          <w:p w:rsidR="00DF7434" w:rsidRPr="001F6691" w:rsidRDefault="00917741" w:rsidP="00C00D82">
            <w:pPr>
              <w:rPr>
                <w:b/>
                <w:sz w:val="24"/>
                <w:szCs w:val="24"/>
              </w:rPr>
            </w:pPr>
            <w:r w:rsidRPr="001F6691">
              <w:rPr>
                <w:b/>
                <w:sz w:val="24"/>
                <w:szCs w:val="24"/>
              </w:rPr>
              <w:lastRenderedPageBreak/>
              <w:t>PPL ELECTRIC UTILITIES CORPORATION – GENERATION SUPPLY CHARGE  EFFECTIVE SEPTEMBER 1, 2011</w:t>
            </w:r>
          </w:p>
        </w:tc>
        <w:tc>
          <w:tcPr>
            <w:tcW w:w="450" w:type="dxa"/>
          </w:tcPr>
          <w:p w:rsidR="009D03EA" w:rsidRPr="001F6691" w:rsidRDefault="009D03EA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9D03EA" w:rsidRPr="001F6691" w:rsidRDefault="002E6DC5">
            <w:pPr>
              <w:rPr>
                <w:b/>
                <w:sz w:val="24"/>
                <w:szCs w:val="24"/>
              </w:rPr>
            </w:pPr>
            <w:r w:rsidRPr="001F6691">
              <w:rPr>
                <w:b/>
                <w:sz w:val="24"/>
                <w:szCs w:val="24"/>
              </w:rPr>
              <w:t>P</w:t>
            </w:r>
            <w:r w:rsidR="005E5D5F" w:rsidRPr="001F6691">
              <w:rPr>
                <w:b/>
                <w:sz w:val="24"/>
                <w:szCs w:val="24"/>
              </w:rPr>
              <w:t>ublic Meeting</w:t>
            </w:r>
            <w:r w:rsidRPr="001F6691">
              <w:rPr>
                <w:b/>
                <w:sz w:val="24"/>
                <w:szCs w:val="24"/>
              </w:rPr>
              <w:t xml:space="preserve"> </w:t>
            </w:r>
            <w:r w:rsidR="00917741" w:rsidRPr="001F6691">
              <w:rPr>
                <w:b/>
                <w:sz w:val="24"/>
                <w:szCs w:val="24"/>
              </w:rPr>
              <w:t>August</w:t>
            </w:r>
            <w:r w:rsidR="00A954D6" w:rsidRPr="001F6691">
              <w:rPr>
                <w:b/>
                <w:sz w:val="24"/>
                <w:szCs w:val="24"/>
              </w:rPr>
              <w:t xml:space="preserve"> </w:t>
            </w:r>
            <w:r w:rsidR="00917741" w:rsidRPr="001F6691">
              <w:rPr>
                <w:b/>
                <w:sz w:val="24"/>
                <w:szCs w:val="24"/>
              </w:rPr>
              <w:t>25</w:t>
            </w:r>
            <w:r w:rsidR="00A954D6" w:rsidRPr="001F6691">
              <w:rPr>
                <w:b/>
                <w:sz w:val="24"/>
                <w:szCs w:val="24"/>
              </w:rPr>
              <w:t>,</w:t>
            </w:r>
            <w:r w:rsidR="00E97551" w:rsidRPr="001F6691">
              <w:rPr>
                <w:b/>
                <w:sz w:val="24"/>
                <w:szCs w:val="24"/>
              </w:rPr>
              <w:t xml:space="preserve"> </w:t>
            </w:r>
            <w:r w:rsidR="00917741" w:rsidRPr="001F6691">
              <w:rPr>
                <w:b/>
                <w:sz w:val="24"/>
                <w:szCs w:val="24"/>
              </w:rPr>
              <w:t>2011</w:t>
            </w:r>
          </w:p>
          <w:p w:rsidR="0084538B" w:rsidRPr="001F6691" w:rsidRDefault="00917741">
            <w:pPr>
              <w:rPr>
                <w:b/>
                <w:sz w:val="24"/>
                <w:szCs w:val="24"/>
              </w:rPr>
            </w:pPr>
            <w:r w:rsidRPr="001F6691">
              <w:rPr>
                <w:b/>
                <w:sz w:val="24"/>
                <w:szCs w:val="24"/>
              </w:rPr>
              <w:t>2258733</w:t>
            </w:r>
            <w:r w:rsidR="00A954D6" w:rsidRPr="001F6691">
              <w:rPr>
                <w:b/>
                <w:sz w:val="24"/>
                <w:szCs w:val="24"/>
              </w:rPr>
              <w:t>-</w:t>
            </w:r>
            <w:r w:rsidRPr="001F6691">
              <w:rPr>
                <w:b/>
                <w:sz w:val="24"/>
                <w:szCs w:val="24"/>
              </w:rPr>
              <w:t>AUD</w:t>
            </w:r>
          </w:p>
          <w:p w:rsidR="007430C1" w:rsidRPr="001F6691" w:rsidRDefault="00B23CB3" w:rsidP="00994439">
            <w:pPr>
              <w:rPr>
                <w:b/>
                <w:sz w:val="24"/>
                <w:szCs w:val="24"/>
              </w:rPr>
            </w:pPr>
            <w:r w:rsidRPr="001F6691">
              <w:rPr>
                <w:b/>
                <w:sz w:val="24"/>
                <w:szCs w:val="24"/>
              </w:rPr>
              <w:t>Docket No.</w:t>
            </w:r>
            <w:r w:rsidR="000817E6" w:rsidRPr="001F6691">
              <w:rPr>
                <w:b/>
                <w:sz w:val="24"/>
                <w:szCs w:val="24"/>
              </w:rPr>
              <w:t xml:space="preserve"> </w:t>
            </w:r>
            <w:r w:rsidR="00917741" w:rsidRPr="001F6691">
              <w:rPr>
                <w:b/>
                <w:sz w:val="24"/>
                <w:szCs w:val="24"/>
              </w:rPr>
              <w:t>M-2011-2258733</w:t>
            </w:r>
          </w:p>
          <w:p w:rsidR="00233949" w:rsidRDefault="00233949" w:rsidP="00994439">
            <w:pPr>
              <w:rPr>
                <w:b/>
                <w:sz w:val="24"/>
                <w:szCs w:val="24"/>
              </w:rPr>
            </w:pPr>
          </w:p>
          <w:p w:rsidR="00C00D82" w:rsidRPr="001F6691" w:rsidRDefault="00C00D82" w:rsidP="00994439">
            <w:pPr>
              <w:rPr>
                <w:b/>
                <w:sz w:val="24"/>
                <w:szCs w:val="24"/>
              </w:rPr>
            </w:pPr>
          </w:p>
        </w:tc>
      </w:tr>
    </w:tbl>
    <w:p w:rsidR="00D15B9C" w:rsidRPr="001F6691" w:rsidRDefault="00C726C3" w:rsidP="001F6691">
      <w:pPr>
        <w:jc w:val="center"/>
        <w:rPr>
          <w:sz w:val="24"/>
          <w:szCs w:val="24"/>
        </w:rPr>
      </w:pPr>
      <w:r w:rsidRPr="001F6691">
        <w:rPr>
          <w:b/>
          <w:sz w:val="24"/>
          <w:szCs w:val="24"/>
        </w:rPr>
        <w:t>STATEMENT</w:t>
      </w:r>
      <w:r w:rsidR="00843D21" w:rsidRPr="001F6691">
        <w:rPr>
          <w:b/>
          <w:sz w:val="24"/>
          <w:szCs w:val="24"/>
        </w:rPr>
        <w:t xml:space="preserve"> </w:t>
      </w:r>
      <w:r w:rsidR="0099679F" w:rsidRPr="001F6691">
        <w:rPr>
          <w:b/>
          <w:sz w:val="24"/>
          <w:szCs w:val="24"/>
        </w:rPr>
        <w:t>OF</w:t>
      </w:r>
    </w:p>
    <w:p w:rsidR="007A0D7D" w:rsidRPr="001F6691" w:rsidRDefault="00D15B9C" w:rsidP="00FE6FB6">
      <w:pPr>
        <w:spacing w:line="480" w:lineRule="auto"/>
        <w:jc w:val="center"/>
        <w:rPr>
          <w:sz w:val="24"/>
          <w:szCs w:val="24"/>
        </w:rPr>
      </w:pPr>
      <w:r w:rsidRPr="001F6691">
        <w:rPr>
          <w:b/>
          <w:sz w:val="24"/>
          <w:szCs w:val="24"/>
          <w:u w:val="single"/>
        </w:rPr>
        <w:t>C</w:t>
      </w:r>
      <w:r w:rsidR="00920150" w:rsidRPr="001F6691">
        <w:rPr>
          <w:b/>
          <w:sz w:val="24"/>
          <w:szCs w:val="24"/>
          <w:u w:val="single"/>
        </w:rPr>
        <w:t>HAIRMAN</w:t>
      </w:r>
      <w:r w:rsidRPr="001F6691">
        <w:rPr>
          <w:b/>
          <w:sz w:val="24"/>
          <w:szCs w:val="24"/>
          <w:u w:val="single"/>
        </w:rPr>
        <w:t xml:space="preserve"> </w:t>
      </w:r>
      <w:r w:rsidR="00233949" w:rsidRPr="001F6691">
        <w:rPr>
          <w:b/>
          <w:sz w:val="24"/>
          <w:szCs w:val="24"/>
          <w:u w:val="single"/>
        </w:rPr>
        <w:t>ROBERT F. POWELSON</w:t>
      </w:r>
    </w:p>
    <w:p w:rsidR="00FE6FB6" w:rsidRDefault="001F6691" w:rsidP="00FE6FB6">
      <w:pPr>
        <w:ind w:firstLine="720"/>
        <w:rPr>
          <w:sz w:val="22"/>
          <w:szCs w:val="22"/>
        </w:rPr>
      </w:pPr>
      <w:r w:rsidRPr="007A559A">
        <w:rPr>
          <w:sz w:val="22"/>
          <w:szCs w:val="22"/>
        </w:rPr>
        <w:t xml:space="preserve">Before the Commission for consideration is </w:t>
      </w:r>
      <w:r w:rsidR="002D5C71" w:rsidRPr="007A559A">
        <w:rPr>
          <w:sz w:val="22"/>
          <w:szCs w:val="22"/>
        </w:rPr>
        <w:t xml:space="preserve">PPL Electric Utilities Inc.’s (PPL or Company) </w:t>
      </w:r>
      <w:r w:rsidR="00067ECC" w:rsidRPr="007A559A">
        <w:rPr>
          <w:sz w:val="22"/>
          <w:szCs w:val="22"/>
        </w:rPr>
        <w:t>Generation Supply Charge-1 Rider, which, among other things,</w:t>
      </w:r>
      <w:r w:rsidRPr="007A559A">
        <w:rPr>
          <w:sz w:val="22"/>
          <w:szCs w:val="22"/>
        </w:rPr>
        <w:t xml:space="preserve"> updat</w:t>
      </w:r>
      <w:r w:rsidR="00067ECC" w:rsidRPr="007A559A">
        <w:rPr>
          <w:sz w:val="22"/>
          <w:szCs w:val="22"/>
        </w:rPr>
        <w:t>es the Company’s</w:t>
      </w:r>
      <w:r w:rsidRPr="007A559A">
        <w:rPr>
          <w:sz w:val="22"/>
          <w:szCs w:val="22"/>
        </w:rPr>
        <w:t xml:space="preserve"> time-of-use (TOU) rates for September 1, 2011 through November 30, 2011.</w:t>
      </w:r>
      <w:r w:rsidR="00067ECC" w:rsidRPr="007A559A">
        <w:rPr>
          <w:sz w:val="22"/>
          <w:szCs w:val="22"/>
        </w:rPr>
        <w:t xml:space="preserve">  Pursuant to the mandates of Act 129, PPL filed, and the Commission approved</w:t>
      </w:r>
      <w:r w:rsidR="001134C4" w:rsidRPr="007A559A">
        <w:rPr>
          <w:sz w:val="22"/>
          <w:szCs w:val="22"/>
        </w:rPr>
        <w:t>,</w:t>
      </w:r>
      <w:r w:rsidR="00067ECC" w:rsidRPr="007A559A">
        <w:rPr>
          <w:sz w:val="22"/>
          <w:szCs w:val="22"/>
        </w:rPr>
        <w:t xml:space="preserve"> the Company’s current TOU plan</w:t>
      </w:r>
      <w:r w:rsidR="00A2587D" w:rsidRPr="007A559A">
        <w:rPr>
          <w:sz w:val="22"/>
          <w:szCs w:val="22"/>
        </w:rPr>
        <w:t>, which</w:t>
      </w:r>
      <w:r w:rsidR="00067ECC" w:rsidRPr="007A559A">
        <w:rPr>
          <w:sz w:val="22"/>
          <w:szCs w:val="22"/>
        </w:rPr>
        <w:t xml:space="preserve"> went into effect </w:t>
      </w:r>
      <w:r w:rsidR="00A2587D" w:rsidRPr="007A559A">
        <w:rPr>
          <w:sz w:val="22"/>
          <w:szCs w:val="22"/>
        </w:rPr>
        <w:t>January</w:t>
      </w:r>
      <w:r w:rsidR="00067ECC" w:rsidRPr="007A559A">
        <w:rPr>
          <w:sz w:val="22"/>
          <w:szCs w:val="22"/>
        </w:rPr>
        <w:t xml:space="preserve"> 1, 2011</w:t>
      </w:r>
      <w:r w:rsidR="00A2587D" w:rsidRPr="007A559A">
        <w:rPr>
          <w:sz w:val="22"/>
          <w:szCs w:val="22"/>
        </w:rPr>
        <w:t xml:space="preserve">.  </w:t>
      </w:r>
      <w:r w:rsidR="00067ECC" w:rsidRPr="007A559A">
        <w:rPr>
          <w:sz w:val="22"/>
          <w:szCs w:val="22"/>
        </w:rPr>
        <w:t xml:space="preserve">I do not believe it </w:t>
      </w:r>
      <w:r w:rsidR="00A2587D" w:rsidRPr="007A559A">
        <w:rPr>
          <w:sz w:val="22"/>
          <w:szCs w:val="22"/>
        </w:rPr>
        <w:t>is</w:t>
      </w:r>
      <w:r w:rsidR="00067ECC" w:rsidRPr="007A559A">
        <w:rPr>
          <w:sz w:val="22"/>
          <w:szCs w:val="22"/>
        </w:rPr>
        <w:t xml:space="preserve"> an exaggeration to say that </w:t>
      </w:r>
      <w:r w:rsidR="00B76879" w:rsidRPr="007A559A">
        <w:rPr>
          <w:sz w:val="22"/>
          <w:szCs w:val="22"/>
        </w:rPr>
        <w:t xml:space="preserve">PPL’s TOU offerings have been a </w:t>
      </w:r>
    </w:p>
    <w:p w:rsidR="00B76879" w:rsidRPr="007A559A" w:rsidRDefault="00B76879" w:rsidP="00FE6FB6">
      <w:pPr>
        <w:spacing w:line="360" w:lineRule="auto"/>
        <w:rPr>
          <w:sz w:val="22"/>
          <w:szCs w:val="22"/>
        </w:rPr>
      </w:pPr>
      <w:proofErr w:type="gramStart"/>
      <w:r w:rsidRPr="007A559A">
        <w:rPr>
          <w:sz w:val="22"/>
          <w:szCs w:val="22"/>
        </w:rPr>
        <w:t>complete</w:t>
      </w:r>
      <w:proofErr w:type="gramEnd"/>
      <w:r w:rsidRPr="007A559A">
        <w:rPr>
          <w:sz w:val="22"/>
          <w:szCs w:val="22"/>
        </w:rPr>
        <w:t xml:space="preserve"> debacle since being implemented.</w:t>
      </w:r>
    </w:p>
    <w:p w:rsidR="00FE6FB6" w:rsidRDefault="00B76879" w:rsidP="00FE6FB6">
      <w:pPr>
        <w:ind w:firstLine="720"/>
        <w:rPr>
          <w:sz w:val="22"/>
          <w:szCs w:val="22"/>
        </w:rPr>
      </w:pPr>
      <w:r w:rsidRPr="007A559A">
        <w:rPr>
          <w:sz w:val="22"/>
          <w:szCs w:val="22"/>
        </w:rPr>
        <w:t xml:space="preserve">PPL’s first TOU rate was priced such that the </w:t>
      </w:r>
      <w:r w:rsidRPr="007A559A">
        <w:rPr>
          <w:i/>
          <w:sz w:val="22"/>
          <w:szCs w:val="22"/>
        </w:rPr>
        <w:t>on-peak</w:t>
      </w:r>
      <w:r w:rsidRPr="007A559A">
        <w:rPr>
          <w:sz w:val="22"/>
          <w:szCs w:val="22"/>
        </w:rPr>
        <w:t xml:space="preserve"> rate was a full penny per kilowatt cheaper than the lowest competitive offer.  This initial rate predictably did not allow PPL to recover a substantial portion of its costs</w:t>
      </w:r>
      <w:r w:rsidR="003C517C" w:rsidRPr="007A559A">
        <w:rPr>
          <w:sz w:val="22"/>
          <w:szCs w:val="22"/>
        </w:rPr>
        <w:t>.  Consequently, PPL’s second quarterly TOU rate, which end</w:t>
      </w:r>
      <w:r w:rsidR="001134C4" w:rsidRPr="007A559A">
        <w:rPr>
          <w:sz w:val="22"/>
          <w:szCs w:val="22"/>
        </w:rPr>
        <w:t>s</w:t>
      </w:r>
      <w:r w:rsidR="003C517C" w:rsidRPr="007A559A">
        <w:rPr>
          <w:sz w:val="22"/>
          <w:szCs w:val="22"/>
        </w:rPr>
        <w:t xml:space="preserve"> August 31, 2011, contained a substantial under-collection adder</w:t>
      </w:r>
      <w:r w:rsidR="00842EAB" w:rsidRPr="007A559A">
        <w:rPr>
          <w:sz w:val="22"/>
          <w:szCs w:val="22"/>
        </w:rPr>
        <w:t>.  This</w:t>
      </w:r>
      <w:r w:rsidR="003C517C" w:rsidRPr="007A559A">
        <w:rPr>
          <w:sz w:val="22"/>
          <w:szCs w:val="22"/>
        </w:rPr>
        <w:t xml:space="preserve"> was a significant </w:t>
      </w:r>
      <w:r w:rsidR="001134C4" w:rsidRPr="007A559A">
        <w:rPr>
          <w:sz w:val="22"/>
          <w:szCs w:val="22"/>
        </w:rPr>
        <w:t xml:space="preserve">reason why </w:t>
      </w:r>
      <w:r w:rsidR="003C517C" w:rsidRPr="007A559A">
        <w:rPr>
          <w:sz w:val="22"/>
          <w:szCs w:val="22"/>
        </w:rPr>
        <w:t xml:space="preserve">approximately 80% of </w:t>
      </w:r>
    </w:p>
    <w:p w:rsidR="003C517C" w:rsidRPr="007A559A" w:rsidRDefault="003C517C" w:rsidP="00FE6FB6">
      <w:pPr>
        <w:spacing w:line="360" w:lineRule="auto"/>
        <w:rPr>
          <w:sz w:val="22"/>
          <w:szCs w:val="22"/>
        </w:rPr>
      </w:pPr>
      <w:proofErr w:type="gramStart"/>
      <w:r w:rsidRPr="007A559A">
        <w:rPr>
          <w:sz w:val="22"/>
          <w:szCs w:val="22"/>
        </w:rPr>
        <w:t>the</w:t>
      </w:r>
      <w:proofErr w:type="gramEnd"/>
      <w:r w:rsidRPr="007A559A">
        <w:rPr>
          <w:sz w:val="22"/>
          <w:szCs w:val="22"/>
        </w:rPr>
        <w:t xml:space="preserve"> customers on the TOU rate migrat</w:t>
      </w:r>
      <w:r w:rsidR="001134C4" w:rsidRPr="007A559A">
        <w:rPr>
          <w:sz w:val="22"/>
          <w:szCs w:val="22"/>
        </w:rPr>
        <w:t xml:space="preserve">ed </w:t>
      </w:r>
      <w:r w:rsidRPr="007A559A">
        <w:rPr>
          <w:sz w:val="22"/>
          <w:szCs w:val="22"/>
        </w:rPr>
        <w:t>away, hopefully to competitive suppliers.</w:t>
      </w:r>
    </w:p>
    <w:p w:rsidR="00FE6FB6" w:rsidRDefault="009A2C55" w:rsidP="00B76879">
      <w:pPr>
        <w:ind w:firstLine="720"/>
        <w:rPr>
          <w:sz w:val="22"/>
          <w:szCs w:val="22"/>
        </w:rPr>
      </w:pPr>
      <w:r w:rsidRPr="007A559A">
        <w:rPr>
          <w:sz w:val="22"/>
          <w:szCs w:val="22"/>
        </w:rPr>
        <w:t xml:space="preserve">Unfortunately, due to this large migration of customers and the high spot electricity market prices experienced over the past few months, PPL was yet again unable to recover a </w:t>
      </w:r>
      <w:r w:rsidR="00842EAB" w:rsidRPr="007A559A">
        <w:rPr>
          <w:sz w:val="22"/>
          <w:szCs w:val="22"/>
        </w:rPr>
        <w:t xml:space="preserve">substantial </w:t>
      </w:r>
      <w:r w:rsidRPr="007A559A">
        <w:rPr>
          <w:sz w:val="22"/>
          <w:szCs w:val="22"/>
        </w:rPr>
        <w:t>portion of its TOU costs, on an even greater basis than with its previous TOU rate.</w:t>
      </w:r>
      <w:r w:rsidR="006F3B8F" w:rsidRPr="007A559A">
        <w:rPr>
          <w:rStyle w:val="FootnoteReference"/>
          <w:sz w:val="22"/>
          <w:szCs w:val="22"/>
        </w:rPr>
        <w:footnoteReference w:id="1"/>
      </w:r>
      <w:r w:rsidRPr="007A559A">
        <w:rPr>
          <w:sz w:val="22"/>
          <w:szCs w:val="22"/>
        </w:rPr>
        <w:t xml:space="preserve">  </w:t>
      </w:r>
      <w:r w:rsidR="00842EAB" w:rsidRPr="007A559A">
        <w:rPr>
          <w:sz w:val="22"/>
          <w:szCs w:val="22"/>
        </w:rPr>
        <w:t xml:space="preserve">As a consequence, </w:t>
      </w:r>
      <w:r w:rsidR="00A50D3F" w:rsidRPr="007A559A">
        <w:rPr>
          <w:sz w:val="22"/>
          <w:szCs w:val="22"/>
        </w:rPr>
        <w:t xml:space="preserve">PPL’s current </w:t>
      </w:r>
    </w:p>
    <w:p w:rsidR="00842EAB" w:rsidRPr="007A559A" w:rsidRDefault="00842EAB" w:rsidP="00FE6FB6">
      <w:pPr>
        <w:spacing w:line="360" w:lineRule="auto"/>
        <w:rPr>
          <w:sz w:val="22"/>
          <w:szCs w:val="22"/>
        </w:rPr>
      </w:pPr>
      <w:r w:rsidRPr="007A559A">
        <w:rPr>
          <w:sz w:val="22"/>
          <w:szCs w:val="22"/>
        </w:rPr>
        <w:t xml:space="preserve">TOU </w:t>
      </w:r>
      <w:r w:rsidR="00A50D3F" w:rsidRPr="007A559A">
        <w:rPr>
          <w:sz w:val="22"/>
          <w:szCs w:val="22"/>
        </w:rPr>
        <w:t>filing</w:t>
      </w:r>
      <w:r w:rsidRPr="007A559A">
        <w:rPr>
          <w:sz w:val="22"/>
          <w:szCs w:val="22"/>
        </w:rPr>
        <w:t xml:space="preserve"> </w:t>
      </w:r>
      <w:r w:rsidR="009A2C55" w:rsidRPr="007A559A">
        <w:rPr>
          <w:sz w:val="22"/>
          <w:szCs w:val="22"/>
        </w:rPr>
        <w:t xml:space="preserve">seeks to recoup </w:t>
      </w:r>
      <w:r w:rsidRPr="007A559A">
        <w:rPr>
          <w:sz w:val="22"/>
          <w:szCs w:val="22"/>
        </w:rPr>
        <w:t xml:space="preserve">yet </w:t>
      </w:r>
      <w:r w:rsidR="009A2C55" w:rsidRPr="007A559A">
        <w:rPr>
          <w:sz w:val="22"/>
          <w:szCs w:val="22"/>
        </w:rPr>
        <w:t xml:space="preserve">another significant </w:t>
      </w:r>
      <w:proofErr w:type="spellStart"/>
      <w:r w:rsidR="009A2C55" w:rsidRPr="007A559A">
        <w:rPr>
          <w:sz w:val="22"/>
          <w:szCs w:val="22"/>
        </w:rPr>
        <w:t>undercollection</w:t>
      </w:r>
      <w:proofErr w:type="spellEnd"/>
      <w:r w:rsidR="006F3B8F" w:rsidRPr="007A559A">
        <w:rPr>
          <w:sz w:val="22"/>
          <w:szCs w:val="22"/>
        </w:rPr>
        <w:t xml:space="preserve">.  </w:t>
      </w:r>
    </w:p>
    <w:p w:rsidR="00FE6FB6" w:rsidRDefault="00080711" w:rsidP="00B76879">
      <w:pPr>
        <w:ind w:firstLine="720"/>
        <w:rPr>
          <w:sz w:val="22"/>
          <w:szCs w:val="22"/>
        </w:rPr>
      </w:pPr>
      <w:r w:rsidRPr="007A559A">
        <w:rPr>
          <w:sz w:val="22"/>
          <w:szCs w:val="22"/>
        </w:rPr>
        <w:t xml:space="preserve">This </w:t>
      </w:r>
      <w:proofErr w:type="spellStart"/>
      <w:r w:rsidRPr="007A559A">
        <w:rPr>
          <w:sz w:val="22"/>
          <w:szCs w:val="22"/>
        </w:rPr>
        <w:t>undercollection</w:t>
      </w:r>
      <w:proofErr w:type="spellEnd"/>
      <w:r w:rsidRPr="007A559A">
        <w:rPr>
          <w:sz w:val="22"/>
          <w:szCs w:val="22"/>
        </w:rPr>
        <w:t xml:space="preserve">, coupled with high forward electricity market prices, </w:t>
      </w:r>
      <w:r w:rsidR="00DA680C" w:rsidRPr="007A559A">
        <w:rPr>
          <w:sz w:val="22"/>
          <w:szCs w:val="22"/>
        </w:rPr>
        <w:t>is</w:t>
      </w:r>
      <w:r w:rsidRPr="007A559A">
        <w:rPr>
          <w:sz w:val="22"/>
          <w:szCs w:val="22"/>
        </w:rPr>
        <w:t xml:space="preserve"> causing PPL’s current TOU rate </w:t>
      </w:r>
      <w:proofErr w:type="gramStart"/>
      <w:r w:rsidRPr="007A559A">
        <w:rPr>
          <w:sz w:val="22"/>
          <w:szCs w:val="22"/>
        </w:rPr>
        <w:t>to</w:t>
      </w:r>
      <w:proofErr w:type="gramEnd"/>
      <w:r w:rsidRPr="007A559A">
        <w:rPr>
          <w:sz w:val="22"/>
          <w:szCs w:val="22"/>
        </w:rPr>
        <w:t xml:space="preserve"> practically triple</w:t>
      </w:r>
      <w:r w:rsidR="00DA680C" w:rsidRPr="007A559A">
        <w:rPr>
          <w:sz w:val="22"/>
          <w:szCs w:val="22"/>
        </w:rPr>
        <w:t>,</w:t>
      </w:r>
      <w:r w:rsidRPr="007A559A">
        <w:rPr>
          <w:sz w:val="22"/>
          <w:szCs w:val="22"/>
        </w:rPr>
        <w:t xml:space="preserve"> and once again both the Commission and Company must </w:t>
      </w:r>
      <w:r w:rsidR="00842EAB" w:rsidRPr="007A559A">
        <w:rPr>
          <w:sz w:val="22"/>
          <w:szCs w:val="22"/>
        </w:rPr>
        <w:t>consume resources to provide a solution to protect consumers</w:t>
      </w:r>
      <w:r w:rsidR="00C24A9B" w:rsidRPr="007A559A">
        <w:rPr>
          <w:sz w:val="22"/>
          <w:szCs w:val="22"/>
        </w:rPr>
        <w:t xml:space="preserve"> in a very short timeframe.  As a result, the Commission </w:t>
      </w:r>
      <w:r w:rsidR="00EA13D8" w:rsidRPr="007A559A">
        <w:rPr>
          <w:sz w:val="22"/>
          <w:szCs w:val="22"/>
        </w:rPr>
        <w:t xml:space="preserve">is </w:t>
      </w:r>
      <w:r w:rsidR="00C24A9B" w:rsidRPr="007A559A">
        <w:rPr>
          <w:sz w:val="22"/>
          <w:szCs w:val="22"/>
        </w:rPr>
        <w:t>suspend</w:t>
      </w:r>
      <w:r w:rsidR="00EA13D8" w:rsidRPr="007A559A">
        <w:rPr>
          <w:sz w:val="22"/>
          <w:szCs w:val="22"/>
        </w:rPr>
        <w:t>ing</w:t>
      </w:r>
      <w:r w:rsidR="00C24A9B" w:rsidRPr="007A559A">
        <w:rPr>
          <w:sz w:val="22"/>
          <w:szCs w:val="22"/>
        </w:rPr>
        <w:t xml:space="preserve"> the current filing and allow</w:t>
      </w:r>
      <w:r w:rsidR="00EA13D8" w:rsidRPr="007A559A">
        <w:rPr>
          <w:sz w:val="22"/>
          <w:szCs w:val="22"/>
        </w:rPr>
        <w:t>ing</w:t>
      </w:r>
      <w:r w:rsidR="00C24A9B" w:rsidRPr="007A559A">
        <w:rPr>
          <w:sz w:val="22"/>
          <w:szCs w:val="22"/>
        </w:rPr>
        <w:t xml:space="preserve"> the current TOU rates to remain in effect, and </w:t>
      </w:r>
    </w:p>
    <w:p w:rsidR="00103A1F" w:rsidRPr="007A559A" w:rsidRDefault="00C24A9B" w:rsidP="00FE6FB6">
      <w:pPr>
        <w:spacing w:line="360" w:lineRule="auto"/>
        <w:rPr>
          <w:sz w:val="22"/>
          <w:szCs w:val="22"/>
        </w:rPr>
      </w:pPr>
      <w:proofErr w:type="gramStart"/>
      <w:r w:rsidRPr="007A559A">
        <w:rPr>
          <w:sz w:val="22"/>
          <w:szCs w:val="22"/>
        </w:rPr>
        <w:t>the</w:t>
      </w:r>
      <w:proofErr w:type="gramEnd"/>
      <w:r w:rsidRPr="007A559A">
        <w:rPr>
          <w:sz w:val="22"/>
          <w:szCs w:val="22"/>
        </w:rPr>
        <w:t xml:space="preserve"> Company </w:t>
      </w:r>
      <w:r w:rsidR="00EA13D8" w:rsidRPr="007A559A">
        <w:rPr>
          <w:sz w:val="22"/>
          <w:szCs w:val="22"/>
        </w:rPr>
        <w:t xml:space="preserve">must </w:t>
      </w:r>
      <w:r w:rsidRPr="007A559A">
        <w:rPr>
          <w:sz w:val="22"/>
          <w:szCs w:val="22"/>
        </w:rPr>
        <w:t>design and submit an all-new TOU plan</w:t>
      </w:r>
      <w:r w:rsidR="00103A1F" w:rsidRPr="007A559A">
        <w:rPr>
          <w:sz w:val="22"/>
          <w:szCs w:val="22"/>
        </w:rPr>
        <w:t xml:space="preserve">.  </w:t>
      </w:r>
    </w:p>
    <w:p w:rsidR="00FE6FB6" w:rsidRDefault="00103A1F" w:rsidP="00C00D82">
      <w:pPr>
        <w:ind w:firstLine="720"/>
        <w:rPr>
          <w:color w:val="000000" w:themeColor="text1"/>
          <w:sz w:val="22"/>
          <w:szCs w:val="22"/>
        </w:rPr>
      </w:pPr>
      <w:r w:rsidRPr="007A559A">
        <w:rPr>
          <w:sz w:val="22"/>
          <w:szCs w:val="22"/>
        </w:rPr>
        <w:t xml:space="preserve">Unfortunately, no matter how artful PPL is in designing its new </w:t>
      </w:r>
      <w:r w:rsidR="00EF1E7C" w:rsidRPr="007A559A">
        <w:rPr>
          <w:sz w:val="22"/>
          <w:szCs w:val="22"/>
        </w:rPr>
        <w:t>TOU plan</w:t>
      </w:r>
      <w:r w:rsidRPr="007A559A">
        <w:rPr>
          <w:sz w:val="22"/>
          <w:szCs w:val="22"/>
        </w:rPr>
        <w:t xml:space="preserve">, </w:t>
      </w:r>
      <w:r w:rsidR="00EF1E7C" w:rsidRPr="007A559A">
        <w:rPr>
          <w:sz w:val="22"/>
          <w:szCs w:val="22"/>
        </w:rPr>
        <w:t>the offering</w:t>
      </w:r>
      <w:r w:rsidRPr="007A559A">
        <w:rPr>
          <w:sz w:val="22"/>
          <w:szCs w:val="22"/>
        </w:rPr>
        <w:t xml:space="preserve"> will never be reflective of market rates, because of </w:t>
      </w:r>
      <w:r w:rsidR="0071560E" w:rsidRPr="007A559A">
        <w:rPr>
          <w:sz w:val="22"/>
          <w:szCs w:val="22"/>
        </w:rPr>
        <w:t xml:space="preserve">both </w:t>
      </w:r>
      <w:r w:rsidRPr="007A559A">
        <w:rPr>
          <w:sz w:val="22"/>
          <w:szCs w:val="22"/>
        </w:rPr>
        <w:t xml:space="preserve">the large </w:t>
      </w:r>
      <w:proofErr w:type="spellStart"/>
      <w:r w:rsidRPr="007A559A">
        <w:rPr>
          <w:sz w:val="22"/>
          <w:szCs w:val="22"/>
        </w:rPr>
        <w:t>undercollections</w:t>
      </w:r>
      <w:proofErr w:type="spellEnd"/>
      <w:r w:rsidRPr="007A559A">
        <w:rPr>
          <w:sz w:val="22"/>
          <w:szCs w:val="22"/>
        </w:rPr>
        <w:t xml:space="preserve"> already </w:t>
      </w:r>
      <w:r w:rsidR="0071560E" w:rsidRPr="007A559A">
        <w:rPr>
          <w:sz w:val="22"/>
          <w:szCs w:val="22"/>
        </w:rPr>
        <w:t>incurred</w:t>
      </w:r>
      <w:r w:rsidRPr="007A559A">
        <w:rPr>
          <w:sz w:val="22"/>
          <w:szCs w:val="22"/>
        </w:rPr>
        <w:t xml:space="preserve"> and the manner in which the TOU rates must be priced because of system and def</w:t>
      </w:r>
      <w:r w:rsidR="0071560E" w:rsidRPr="007A559A">
        <w:rPr>
          <w:sz w:val="22"/>
          <w:szCs w:val="22"/>
        </w:rPr>
        <w:t xml:space="preserve">ault service plan constraints.  That is to say that </w:t>
      </w:r>
      <w:proofErr w:type="gramStart"/>
      <w:r w:rsidR="0071560E" w:rsidRPr="007A559A">
        <w:rPr>
          <w:sz w:val="22"/>
          <w:szCs w:val="22"/>
        </w:rPr>
        <w:t>PPL’s,</w:t>
      </w:r>
      <w:proofErr w:type="gramEnd"/>
      <w:r w:rsidR="0071560E" w:rsidRPr="007A559A">
        <w:rPr>
          <w:sz w:val="22"/>
          <w:szCs w:val="22"/>
        </w:rPr>
        <w:t xml:space="preserve"> and likely every other </w:t>
      </w:r>
      <w:r w:rsidR="00432F81" w:rsidRPr="007A559A">
        <w:rPr>
          <w:sz w:val="22"/>
          <w:szCs w:val="22"/>
        </w:rPr>
        <w:t>electric distribution company’s</w:t>
      </w:r>
      <w:r w:rsidR="0071560E" w:rsidRPr="007A559A">
        <w:rPr>
          <w:sz w:val="22"/>
          <w:szCs w:val="22"/>
        </w:rPr>
        <w:t xml:space="preserve">, TOU plans will always fail at their core purpose: providing customers with accurate price signals </w:t>
      </w:r>
      <w:r w:rsidR="0071560E" w:rsidRPr="007A559A">
        <w:rPr>
          <w:color w:val="000000" w:themeColor="text1"/>
          <w:sz w:val="22"/>
          <w:szCs w:val="22"/>
        </w:rPr>
        <w:t xml:space="preserve">designed to drive behavioral changes in </w:t>
      </w:r>
    </w:p>
    <w:p w:rsidR="00FE6FB6" w:rsidRDefault="0071560E" w:rsidP="00FE6FB6">
      <w:pPr>
        <w:spacing w:line="360" w:lineRule="auto"/>
        <w:rPr>
          <w:color w:val="000000" w:themeColor="text1"/>
          <w:sz w:val="22"/>
          <w:szCs w:val="22"/>
        </w:rPr>
      </w:pPr>
      <w:proofErr w:type="gramStart"/>
      <w:r w:rsidRPr="007A559A">
        <w:rPr>
          <w:color w:val="000000" w:themeColor="text1"/>
          <w:sz w:val="22"/>
          <w:szCs w:val="22"/>
        </w:rPr>
        <w:t>electricity</w:t>
      </w:r>
      <w:proofErr w:type="gramEnd"/>
      <w:r w:rsidRPr="007A559A">
        <w:rPr>
          <w:color w:val="000000" w:themeColor="text1"/>
          <w:sz w:val="22"/>
          <w:szCs w:val="22"/>
        </w:rPr>
        <w:t xml:space="preserve"> consumption</w:t>
      </w:r>
      <w:r w:rsidR="00EF1E7C" w:rsidRPr="007A559A">
        <w:rPr>
          <w:color w:val="000000" w:themeColor="text1"/>
          <w:sz w:val="22"/>
          <w:szCs w:val="22"/>
        </w:rPr>
        <w:t>.</w:t>
      </w:r>
    </w:p>
    <w:p w:rsidR="0049299B" w:rsidRPr="00FE6FB6" w:rsidRDefault="001C0C13" w:rsidP="00FE6FB6">
      <w:pPr>
        <w:ind w:firstLine="720"/>
        <w:rPr>
          <w:sz w:val="22"/>
          <w:szCs w:val="22"/>
        </w:rPr>
      </w:pPr>
      <w:r w:rsidRPr="007A559A">
        <w:rPr>
          <w:color w:val="000000" w:themeColor="text1"/>
          <w:sz w:val="22"/>
          <w:szCs w:val="22"/>
        </w:rPr>
        <w:t xml:space="preserve">Once again, </w:t>
      </w:r>
      <w:r w:rsidR="00EA13D8" w:rsidRPr="007A559A">
        <w:rPr>
          <w:color w:val="000000" w:themeColor="text1"/>
          <w:sz w:val="22"/>
          <w:szCs w:val="22"/>
        </w:rPr>
        <w:t xml:space="preserve">this is </w:t>
      </w:r>
      <w:r w:rsidRPr="007A559A">
        <w:rPr>
          <w:color w:val="000000" w:themeColor="text1"/>
          <w:sz w:val="22"/>
          <w:szCs w:val="22"/>
        </w:rPr>
        <w:t xml:space="preserve">an example of why utility default service should be a “plain vanilla” offering designed </w:t>
      </w:r>
      <w:r w:rsidR="002D5C71" w:rsidRPr="007A559A">
        <w:rPr>
          <w:color w:val="000000" w:themeColor="text1"/>
          <w:sz w:val="22"/>
          <w:szCs w:val="22"/>
        </w:rPr>
        <w:t xml:space="preserve">only </w:t>
      </w:r>
      <w:r w:rsidRPr="007A559A">
        <w:rPr>
          <w:color w:val="000000" w:themeColor="text1"/>
          <w:sz w:val="22"/>
          <w:szCs w:val="22"/>
        </w:rPr>
        <w:t>to be a backstop</w:t>
      </w:r>
      <w:r w:rsidR="007A559A" w:rsidRPr="007A559A">
        <w:rPr>
          <w:color w:val="000000" w:themeColor="text1"/>
          <w:sz w:val="22"/>
          <w:szCs w:val="22"/>
        </w:rPr>
        <w:t xml:space="preserve"> service.  It is clearly the time and place here in PA to allow competitive markets to foster innovation and expand product offerings such as TOU rates. </w:t>
      </w:r>
    </w:p>
    <w:p w:rsidR="00C00D82" w:rsidRDefault="00C00D82" w:rsidP="00A954D6">
      <w:pPr>
        <w:rPr>
          <w:b/>
          <w:sz w:val="22"/>
          <w:szCs w:val="22"/>
        </w:rPr>
      </w:pPr>
    </w:p>
    <w:p w:rsidR="00C00D82" w:rsidRPr="007A559A" w:rsidRDefault="00C00D82" w:rsidP="00A954D6">
      <w:pPr>
        <w:rPr>
          <w:b/>
          <w:sz w:val="22"/>
          <w:szCs w:val="22"/>
        </w:rPr>
      </w:pPr>
    </w:p>
    <w:p w:rsidR="009D03EA" w:rsidRPr="007A559A" w:rsidRDefault="009D03EA" w:rsidP="005F020B">
      <w:pPr>
        <w:rPr>
          <w:b/>
          <w:sz w:val="22"/>
          <w:szCs w:val="22"/>
        </w:rPr>
      </w:pPr>
      <w:r w:rsidRPr="007A559A">
        <w:rPr>
          <w:b/>
          <w:sz w:val="22"/>
          <w:szCs w:val="22"/>
        </w:rPr>
        <w:t xml:space="preserve">DATE: </w:t>
      </w:r>
      <w:r w:rsidR="00917741" w:rsidRPr="007A559A">
        <w:rPr>
          <w:b/>
          <w:sz w:val="22"/>
          <w:szCs w:val="22"/>
          <w:u w:val="single"/>
        </w:rPr>
        <w:t>August</w:t>
      </w:r>
      <w:r w:rsidR="00A954D6" w:rsidRPr="007A559A">
        <w:rPr>
          <w:b/>
          <w:sz w:val="22"/>
          <w:szCs w:val="22"/>
          <w:u w:val="single"/>
        </w:rPr>
        <w:t xml:space="preserve"> </w:t>
      </w:r>
      <w:r w:rsidR="00917741" w:rsidRPr="007A559A">
        <w:rPr>
          <w:b/>
          <w:sz w:val="22"/>
          <w:szCs w:val="22"/>
          <w:u w:val="single"/>
        </w:rPr>
        <w:t>25</w:t>
      </w:r>
      <w:r w:rsidR="005400D2" w:rsidRPr="007A559A">
        <w:rPr>
          <w:b/>
          <w:sz w:val="22"/>
          <w:szCs w:val="22"/>
          <w:u w:val="single"/>
        </w:rPr>
        <w:t xml:space="preserve">, </w:t>
      </w:r>
      <w:r w:rsidR="00917741" w:rsidRPr="007A559A">
        <w:rPr>
          <w:b/>
          <w:sz w:val="22"/>
          <w:szCs w:val="22"/>
          <w:u w:val="single"/>
        </w:rPr>
        <w:t>2011</w:t>
      </w:r>
      <w:r w:rsidRPr="007A559A">
        <w:rPr>
          <w:b/>
          <w:sz w:val="22"/>
          <w:szCs w:val="22"/>
        </w:rPr>
        <w:tab/>
      </w:r>
      <w:r w:rsidR="007B0AC1" w:rsidRPr="007A559A">
        <w:rPr>
          <w:b/>
          <w:sz w:val="22"/>
          <w:szCs w:val="22"/>
        </w:rPr>
        <w:tab/>
      </w:r>
      <w:r w:rsidR="001F6691" w:rsidRPr="007A559A">
        <w:rPr>
          <w:b/>
          <w:sz w:val="22"/>
          <w:szCs w:val="22"/>
        </w:rPr>
        <w:tab/>
      </w:r>
      <w:r w:rsidR="001F6691"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>_________________________</w:t>
      </w:r>
    </w:p>
    <w:p w:rsidR="009D03EA" w:rsidRPr="007A559A" w:rsidRDefault="00233949" w:rsidP="005F020B">
      <w:pPr>
        <w:rPr>
          <w:b/>
          <w:sz w:val="22"/>
          <w:szCs w:val="22"/>
        </w:rPr>
      </w:pPr>
      <w:r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ab/>
      </w:r>
      <w:r w:rsidR="001F6691" w:rsidRPr="007A559A">
        <w:rPr>
          <w:b/>
          <w:sz w:val="22"/>
          <w:szCs w:val="22"/>
        </w:rPr>
        <w:tab/>
      </w:r>
      <w:r w:rsidR="001F6691" w:rsidRPr="007A559A">
        <w:rPr>
          <w:b/>
          <w:sz w:val="22"/>
          <w:szCs w:val="22"/>
        </w:rPr>
        <w:tab/>
      </w:r>
      <w:r w:rsidRPr="007A559A">
        <w:rPr>
          <w:b/>
          <w:sz w:val="22"/>
          <w:szCs w:val="22"/>
        </w:rPr>
        <w:t>ROBERT F. POWELSON</w:t>
      </w:r>
    </w:p>
    <w:p w:rsidR="006E5BB3" w:rsidRPr="007A559A" w:rsidRDefault="001F6691" w:rsidP="005F020B">
      <w:pPr>
        <w:rPr>
          <w:b/>
          <w:sz w:val="22"/>
          <w:szCs w:val="22"/>
        </w:rPr>
      </w:pPr>
      <w:r w:rsidRPr="007A559A">
        <w:rPr>
          <w:b/>
          <w:sz w:val="22"/>
          <w:szCs w:val="22"/>
        </w:rPr>
        <w:tab/>
      </w:r>
      <w:r w:rsidR="00233949" w:rsidRPr="007A559A">
        <w:rPr>
          <w:b/>
          <w:sz w:val="22"/>
          <w:szCs w:val="22"/>
        </w:rPr>
        <w:tab/>
      </w:r>
      <w:r w:rsidR="009D03EA" w:rsidRPr="007A559A">
        <w:rPr>
          <w:b/>
          <w:sz w:val="22"/>
          <w:szCs w:val="22"/>
        </w:rPr>
        <w:tab/>
      </w:r>
      <w:r w:rsidR="009D03EA" w:rsidRPr="007A559A">
        <w:rPr>
          <w:b/>
          <w:sz w:val="22"/>
          <w:szCs w:val="22"/>
        </w:rPr>
        <w:tab/>
      </w:r>
      <w:r w:rsidR="009D03EA" w:rsidRPr="007A559A">
        <w:rPr>
          <w:b/>
          <w:sz w:val="22"/>
          <w:szCs w:val="22"/>
        </w:rPr>
        <w:tab/>
      </w:r>
      <w:r w:rsidR="009D03EA" w:rsidRPr="007A559A">
        <w:rPr>
          <w:b/>
          <w:sz w:val="22"/>
          <w:szCs w:val="22"/>
        </w:rPr>
        <w:tab/>
      </w:r>
      <w:r w:rsidR="009D03EA" w:rsidRPr="007A559A">
        <w:rPr>
          <w:b/>
          <w:sz w:val="22"/>
          <w:szCs w:val="22"/>
        </w:rPr>
        <w:tab/>
        <w:t>C</w:t>
      </w:r>
      <w:r w:rsidR="00920150" w:rsidRPr="007A559A">
        <w:rPr>
          <w:b/>
          <w:sz w:val="22"/>
          <w:szCs w:val="22"/>
        </w:rPr>
        <w:t>HAIRMAN</w:t>
      </w:r>
    </w:p>
    <w:sectPr w:rsidR="006E5BB3" w:rsidRPr="007A559A" w:rsidSect="00C00D82"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84" w:rsidRDefault="00AC2C84">
      <w:r>
        <w:separator/>
      </w:r>
    </w:p>
  </w:endnote>
  <w:endnote w:type="continuationSeparator" w:id="0">
    <w:p w:rsidR="00AC2C84" w:rsidRDefault="00AC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9E" w:rsidRDefault="00B52505" w:rsidP="004E77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2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29E">
      <w:rPr>
        <w:rStyle w:val="PageNumber"/>
        <w:noProof/>
      </w:rPr>
      <w:t>2</w:t>
    </w:r>
    <w:r>
      <w:rPr>
        <w:rStyle w:val="PageNumber"/>
      </w:rPr>
      <w:fldChar w:fldCharType="end"/>
    </w:r>
  </w:p>
  <w:p w:rsidR="00E4129E" w:rsidRDefault="00E412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9E" w:rsidRDefault="00B52505" w:rsidP="004E77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2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FB6">
      <w:rPr>
        <w:rStyle w:val="PageNumber"/>
        <w:noProof/>
      </w:rPr>
      <w:t>2</w:t>
    </w:r>
    <w:r>
      <w:rPr>
        <w:rStyle w:val="PageNumber"/>
      </w:rPr>
      <w:fldChar w:fldCharType="end"/>
    </w:r>
  </w:p>
  <w:p w:rsidR="00E4129E" w:rsidRDefault="00E41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84" w:rsidRDefault="00AC2C84">
      <w:r>
        <w:separator/>
      </w:r>
    </w:p>
  </w:footnote>
  <w:footnote w:type="continuationSeparator" w:id="0">
    <w:p w:rsidR="00AC2C84" w:rsidRDefault="00AC2C84">
      <w:r>
        <w:continuationSeparator/>
      </w:r>
    </w:p>
  </w:footnote>
  <w:footnote w:id="1">
    <w:p w:rsidR="006F3B8F" w:rsidRDefault="006F3B8F">
      <w:pPr>
        <w:pStyle w:val="FootnoteText"/>
      </w:pPr>
      <w:r>
        <w:rPr>
          <w:rStyle w:val="FootnoteReference"/>
        </w:rPr>
        <w:footnoteRef/>
      </w:r>
      <w:r>
        <w:t xml:space="preserve"> PPL’s TOU offering is tied to its purchases of electricity on the spot market.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E3E"/>
    <w:multiLevelType w:val="hybridMultilevel"/>
    <w:tmpl w:val="75E2FB6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673E9"/>
    <w:multiLevelType w:val="hybridMultilevel"/>
    <w:tmpl w:val="DA8E01E2"/>
    <w:lvl w:ilvl="0" w:tplc="6A7480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D73CE"/>
    <w:multiLevelType w:val="hybridMultilevel"/>
    <w:tmpl w:val="4F223D60"/>
    <w:lvl w:ilvl="0" w:tplc="E486759C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7A61559"/>
    <w:multiLevelType w:val="hybridMultilevel"/>
    <w:tmpl w:val="40EE7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B227EF"/>
    <w:multiLevelType w:val="hybridMultilevel"/>
    <w:tmpl w:val="8E7CB0D8"/>
    <w:lvl w:ilvl="0" w:tplc="9F4227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E6763"/>
    <w:multiLevelType w:val="hybridMultilevel"/>
    <w:tmpl w:val="D0D291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C1E30"/>
    <w:multiLevelType w:val="hybridMultilevel"/>
    <w:tmpl w:val="4B461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2635F"/>
    <w:multiLevelType w:val="hybridMultilevel"/>
    <w:tmpl w:val="835CF6F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17012"/>
    <w:multiLevelType w:val="hybridMultilevel"/>
    <w:tmpl w:val="CF9E7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C004A"/>
    <w:multiLevelType w:val="hybridMultilevel"/>
    <w:tmpl w:val="85DA8524"/>
    <w:lvl w:ilvl="0" w:tplc="E4FE9B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D5764"/>
    <w:multiLevelType w:val="hybridMultilevel"/>
    <w:tmpl w:val="75107426"/>
    <w:lvl w:ilvl="0" w:tplc="856642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06442"/>
    <w:multiLevelType w:val="hybridMultilevel"/>
    <w:tmpl w:val="C1A08A58"/>
    <w:lvl w:ilvl="0" w:tplc="B7EAFCF4">
      <w:start w:val="6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2DC5287"/>
    <w:multiLevelType w:val="hybridMultilevel"/>
    <w:tmpl w:val="24903300"/>
    <w:lvl w:ilvl="0" w:tplc="BE52EE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0D1E9C"/>
    <w:multiLevelType w:val="hybridMultilevel"/>
    <w:tmpl w:val="0D725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E222B"/>
    <w:multiLevelType w:val="hybridMultilevel"/>
    <w:tmpl w:val="749C2232"/>
    <w:lvl w:ilvl="0" w:tplc="5DCE24E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3EEEA354">
      <w:start w:val="1"/>
      <w:numFmt w:val="upperLetter"/>
      <w:lvlText w:val="(%2)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3D6C0FA4"/>
    <w:multiLevelType w:val="hybridMultilevel"/>
    <w:tmpl w:val="67F2320C"/>
    <w:lvl w:ilvl="0" w:tplc="767608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631C4"/>
    <w:multiLevelType w:val="hybridMultilevel"/>
    <w:tmpl w:val="3126E8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F940C3"/>
    <w:multiLevelType w:val="hybridMultilevel"/>
    <w:tmpl w:val="A06E0D50"/>
    <w:lvl w:ilvl="0" w:tplc="49EE9D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44211E"/>
    <w:multiLevelType w:val="hybridMultilevel"/>
    <w:tmpl w:val="2A2061C4"/>
    <w:lvl w:ilvl="0" w:tplc="20C0C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11E90"/>
    <w:multiLevelType w:val="hybridMultilevel"/>
    <w:tmpl w:val="18C4870C"/>
    <w:lvl w:ilvl="0" w:tplc="8886FE9A">
      <w:start w:val="2"/>
      <w:numFmt w:val="decimal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0260E30"/>
    <w:multiLevelType w:val="hybridMultilevel"/>
    <w:tmpl w:val="0B80A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0F5DD3"/>
    <w:multiLevelType w:val="hybridMultilevel"/>
    <w:tmpl w:val="E30E1F54"/>
    <w:lvl w:ilvl="0" w:tplc="359AD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2F6F09"/>
    <w:multiLevelType w:val="hybridMultilevel"/>
    <w:tmpl w:val="03D8F078"/>
    <w:lvl w:ilvl="0" w:tplc="B77EE7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7D109E"/>
    <w:multiLevelType w:val="hybridMultilevel"/>
    <w:tmpl w:val="B6DE1726"/>
    <w:lvl w:ilvl="0" w:tplc="DD743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AC7CF8"/>
    <w:multiLevelType w:val="hybridMultilevel"/>
    <w:tmpl w:val="3984D106"/>
    <w:lvl w:ilvl="0" w:tplc="24CAB7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145208"/>
    <w:multiLevelType w:val="hybridMultilevel"/>
    <w:tmpl w:val="4282C34C"/>
    <w:lvl w:ilvl="0" w:tplc="F57074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9535DD"/>
    <w:multiLevelType w:val="hybridMultilevel"/>
    <w:tmpl w:val="92F8A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A9470D"/>
    <w:multiLevelType w:val="hybridMultilevel"/>
    <w:tmpl w:val="A4B67676"/>
    <w:lvl w:ilvl="0" w:tplc="5524C1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60CFC"/>
    <w:multiLevelType w:val="hybridMultilevel"/>
    <w:tmpl w:val="99829DC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D1F48"/>
    <w:multiLevelType w:val="hybridMultilevel"/>
    <w:tmpl w:val="FCF02A80"/>
    <w:lvl w:ilvl="0" w:tplc="8A0C5F6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844FBAE">
      <w:start w:val="4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A994AA4"/>
    <w:multiLevelType w:val="hybridMultilevel"/>
    <w:tmpl w:val="7EE0F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9B7B75"/>
    <w:multiLevelType w:val="hybridMultilevel"/>
    <w:tmpl w:val="EFF898D0"/>
    <w:lvl w:ilvl="0" w:tplc="BBFE78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4A1B12"/>
    <w:multiLevelType w:val="hybridMultilevel"/>
    <w:tmpl w:val="A1663DC0"/>
    <w:lvl w:ilvl="0" w:tplc="A2345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1B38EA"/>
    <w:multiLevelType w:val="hybridMultilevel"/>
    <w:tmpl w:val="2280DE82"/>
    <w:lvl w:ilvl="0" w:tplc="B46651A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31174D"/>
    <w:multiLevelType w:val="hybridMultilevel"/>
    <w:tmpl w:val="FBEA0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E21855"/>
    <w:multiLevelType w:val="hybridMultilevel"/>
    <w:tmpl w:val="C3E0EA38"/>
    <w:lvl w:ilvl="0" w:tplc="A108227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4501A5"/>
    <w:multiLevelType w:val="hybridMultilevel"/>
    <w:tmpl w:val="68620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EB28EF"/>
    <w:multiLevelType w:val="hybridMultilevel"/>
    <w:tmpl w:val="A4887334"/>
    <w:lvl w:ilvl="0" w:tplc="530691F8">
      <w:start w:val="1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  <w:b/>
      </w:rPr>
    </w:lvl>
    <w:lvl w:ilvl="1" w:tplc="FC446DC4">
      <w:start w:val="1"/>
      <w:numFmt w:val="decimal"/>
      <w:lvlText w:val="(%2)"/>
      <w:lvlJc w:val="left"/>
      <w:pPr>
        <w:tabs>
          <w:tab w:val="num" w:pos="1965"/>
        </w:tabs>
        <w:ind w:left="1965" w:hanging="40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9"/>
  </w:num>
  <w:num w:numId="2">
    <w:abstractNumId w:val="6"/>
  </w:num>
  <w:num w:numId="3">
    <w:abstractNumId w:val="30"/>
  </w:num>
  <w:num w:numId="4">
    <w:abstractNumId w:val="8"/>
  </w:num>
  <w:num w:numId="5">
    <w:abstractNumId w:val="29"/>
  </w:num>
  <w:num w:numId="6">
    <w:abstractNumId w:val="33"/>
  </w:num>
  <w:num w:numId="7">
    <w:abstractNumId w:val="31"/>
  </w:num>
  <w:num w:numId="8">
    <w:abstractNumId w:val="32"/>
  </w:num>
  <w:num w:numId="9">
    <w:abstractNumId w:val="27"/>
  </w:num>
  <w:num w:numId="10">
    <w:abstractNumId w:val="11"/>
  </w:num>
  <w:num w:numId="11">
    <w:abstractNumId w:val="19"/>
  </w:num>
  <w:num w:numId="12">
    <w:abstractNumId w:val="23"/>
  </w:num>
  <w:num w:numId="13">
    <w:abstractNumId w:val="12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18"/>
  </w:num>
  <w:num w:numId="19">
    <w:abstractNumId w:val="35"/>
  </w:num>
  <w:num w:numId="20">
    <w:abstractNumId w:val="24"/>
  </w:num>
  <w:num w:numId="21">
    <w:abstractNumId w:val="20"/>
  </w:num>
  <w:num w:numId="22">
    <w:abstractNumId w:val="16"/>
  </w:num>
  <w:num w:numId="23">
    <w:abstractNumId w:val="0"/>
  </w:num>
  <w:num w:numId="24">
    <w:abstractNumId w:val="25"/>
  </w:num>
  <w:num w:numId="25">
    <w:abstractNumId w:val="28"/>
  </w:num>
  <w:num w:numId="26">
    <w:abstractNumId w:val="5"/>
  </w:num>
  <w:num w:numId="27">
    <w:abstractNumId w:val="7"/>
  </w:num>
  <w:num w:numId="28">
    <w:abstractNumId w:val="1"/>
  </w:num>
  <w:num w:numId="29">
    <w:abstractNumId w:val="17"/>
  </w:num>
  <w:num w:numId="30">
    <w:abstractNumId w:val="13"/>
  </w:num>
  <w:num w:numId="31">
    <w:abstractNumId w:val="34"/>
  </w:num>
  <w:num w:numId="32">
    <w:abstractNumId w:val="36"/>
  </w:num>
  <w:num w:numId="33">
    <w:abstractNumId w:val="2"/>
  </w:num>
  <w:num w:numId="34">
    <w:abstractNumId w:val="10"/>
  </w:num>
  <w:num w:numId="35">
    <w:abstractNumId w:val="21"/>
  </w:num>
  <w:num w:numId="36">
    <w:abstractNumId w:val="26"/>
  </w:num>
  <w:num w:numId="37">
    <w:abstractNumId w:val="3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D03EA"/>
    <w:rsid w:val="0002017C"/>
    <w:rsid w:val="00020228"/>
    <w:rsid w:val="00023481"/>
    <w:rsid w:val="000302C9"/>
    <w:rsid w:val="00036F64"/>
    <w:rsid w:val="0004765E"/>
    <w:rsid w:val="00047DEF"/>
    <w:rsid w:val="000609D3"/>
    <w:rsid w:val="00067ECC"/>
    <w:rsid w:val="00073BE2"/>
    <w:rsid w:val="00074CB7"/>
    <w:rsid w:val="00080711"/>
    <w:rsid w:val="000817E6"/>
    <w:rsid w:val="000851B6"/>
    <w:rsid w:val="0009150F"/>
    <w:rsid w:val="00091584"/>
    <w:rsid w:val="00092DEA"/>
    <w:rsid w:val="0009328B"/>
    <w:rsid w:val="00093968"/>
    <w:rsid w:val="000A1461"/>
    <w:rsid w:val="000A41EB"/>
    <w:rsid w:val="000B346B"/>
    <w:rsid w:val="000C28CD"/>
    <w:rsid w:val="000C315F"/>
    <w:rsid w:val="000D1052"/>
    <w:rsid w:val="000D4CAC"/>
    <w:rsid w:val="000D796A"/>
    <w:rsid w:val="000E23EB"/>
    <w:rsid w:val="000E3CB6"/>
    <w:rsid w:val="000E5B70"/>
    <w:rsid w:val="000E7C2D"/>
    <w:rsid w:val="00100019"/>
    <w:rsid w:val="0010298E"/>
    <w:rsid w:val="00103A1F"/>
    <w:rsid w:val="00103B7E"/>
    <w:rsid w:val="00104638"/>
    <w:rsid w:val="00106B9D"/>
    <w:rsid w:val="0011334C"/>
    <w:rsid w:val="001134C4"/>
    <w:rsid w:val="001303B2"/>
    <w:rsid w:val="00130EE4"/>
    <w:rsid w:val="0013168F"/>
    <w:rsid w:val="00132995"/>
    <w:rsid w:val="00142877"/>
    <w:rsid w:val="00146053"/>
    <w:rsid w:val="00150D58"/>
    <w:rsid w:val="0016666D"/>
    <w:rsid w:val="001668B7"/>
    <w:rsid w:val="0017243C"/>
    <w:rsid w:val="001749FC"/>
    <w:rsid w:val="00175D4D"/>
    <w:rsid w:val="00183672"/>
    <w:rsid w:val="001838DA"/>
    <w:rsid w:val="00190367"/>
    <w:rsid w:val="00190DE3"/>
    <w:rsid w:val="001A2131"/>
    <w:rsid w:val="001A5BFE"/>
    <w:rsid w:val="001B6F5E"/>
    <w:rsid w:val="001C0144"/>
    <w:rsid w:val="001C0C13"/>
    <w:rsid w:val="001C4E83"/>
    <w:rsid w:val="001C7DA8"/>
    <w:rsid w:val="001D2FAE"/>
    <w:rsid w:val="001D4EC0"/>
    <w:rsid w:val="001D7D0C"/>
    <w:rsid w:val="001E2C48"/>
    <w:rsid w:val="001F223C"/>
    <w:rsid w:val="001F23C9"/>
    <w:rsid w:val="001F6691"/>
    <w:rsid w:val="00202303"/>
    <w:rsid w:val="00213A20"/>
    <w:rsid w:val="00217EAA"/>
    <w:rsid w:val="00233949"/>
    <w:rsid w:val="0024107B"/>
    <w:rsid w:val="00243638"/>
    <w:rsid w:val="00250316"/>
    <w:rsid w:val="0025300D"/>
    <w:rsid w:val="0026236D"/>
    <w:rsid w:val="0027718E"/>
    <w:rsid w:val="00281177"/>
    <w:rsid w:val="00285985"/>
    <w:rsid w:val="00287B60"/>
    <w:rsid w:val="00290867"/>
    <w:rsid w:val="00296493"/>
    <w:rsid w:val="002A1D1D"/>
    <w:rsid w:val="002B1E6A"/>
    <w:rsid w:val="002D1D8B"/>
    <w:rsid w:val="002D5C71"/>
    <w:rsid w:val="002D5DE6"/>
    <w:rsid w:val="002D7344"/>
    <w:rsid w:val="002D752B"/>
    <w:rsid w:val="002E6DC5"/>
    <w:rsid w:val="002F509A"/>
    <w:rsid w:val="00300A97"/>
    <w:rsid w:val="00302C91"/>
    <w:rsid w:val="003041B3"/>
    <w:rsid w:val="00313D44"/>
    <w:rsid w:val="00337361"/>
    <w:rsid w:val="00340D7E"/>
    <w:rsid w:val="00353F3D"/>
    <w:rsid w:val="00363220"/>
    <w:rsid w:val="003712D8"/>
    <w:rsid w:val="00387403"/>
    <w:rsid w:val="00391CFA"/>
    <w:rsid w:val="00395010"/>
    <w:rsid w:val="003A5799"/>
    <w:rsid w:val="003A7D74"/>
    <w:rsid w:val="003C1785"/>
    <w:rsid w:val="003C517C"/>
    <w:rsid w:val="003D1E64"/>
    <w:rsid w:val="003D5DCD"/>
    <w:rsid w:val="003E2D0F"/>
    <w:rsid w:val="003E4983"/>
    <w:rsid w:val="003E6F08"/>
    <w:rsid w:val="003E73DD"/>
    <w:rsid w:val="003F2993"/>
    <w:rsid w:val="003F4586"/>
    <w:rsid w:val="0040486A"/>
    <w:rsid w:val="00416734"/>
    <w:rsid w:val="004172A3"/>
    <w:rsid w:val="00423205"/>
    <w:rsid w:val="004243A6"/>
    <w:rsid w:val="00426D13"/>
    <w:rsid w:val="00432F81"/>
    <w:rsid w:val="004374B5"/>
    <w:rsid w:val="00442388"/>
    <w:rsid w:val="00444F4A"/>
    <w:rsid w:val="00450439"/>
    <w:rsid w:val="0045391C"/>
    <w:rsid w:val="004540A8"/>
    <w:rsid w:val="004579B3"/>
    <w:rsid w:val="004644DF"/>
    <w:rsid w:val="00467470"/>
    <w:rsid w:val="0047357B"/>
    <w:rsid w:val="0048095A"/>
    <w:rsid w:val="004862B2"/>
    <w:rsid w:val="0049299B"/>
    <w:rsid w:val="0049562F"/>
    <w:rsid w:val="004A3036"/>
    <w:rsid w:val="004A588E"/>
    <w:rsid w:val="004A5D78"/>
    <w:rsid w:val="004B08FC"/>
    <w:rsid w:val="004B1EFB"/>
    <w:rsid w:val="004C5369"/>
    <w:rsid w:val="004D318D"/>
    <w:rsid w:val="004E3884"/>
    <w:rsid w:val="004E52B1"/>
    <w:rsid w:val="004E776F"/>
    <w:rsid w:val="00500F81"/>
    <w:rsid w:val="005043E3"/>
    <w:rsid w:val="00504FD3"/>
    <w:rsid w:val="00510F41"/>
    <w:rsid w:val="00516909"/>
    <w:rsid w:val="005238DD"/>
    <w:rsid w:val="00536F00"/>
    <w:rsid w:val="005400D2"/>
    <w:rsid w:val="0055513E"/>
    <w:rsid w:val="00555783"/>
    <w:rsid w:val="00576302"/>
    <w:rsid w:val="005768FA"/>
    <w:rsid w:val="00585B13"/>
    <w:rsid w:val="00596384"/>
    <w:rsid w:val="005A1180"/>
    <w:rsid w:val="005A5550"/>
    <w:rsid w:val="005A69C2"/>
    <w:rsid w:val="005B4283"/>
    <w:rsid w:val="005C116E"/>
    <w:rsid w:val="005C2F48"/>
    <w:rsid w:val="005C42C9"/>
    <w:rsid w:val="005C6260"/>
    <w:rsid w:val="005D0D32"/>
    <w:rsid w:val="005D58B7"/>
    <w:rsid w:val="005E4A29"/>
    <w:rsid w:val="005E5D5F"/>
    <w:rsid w:val="005F020B"/>
    <w:rsid w:val="005F1B2F"/>
    <w:rsid w:val="005F2509"/>
    <w:rsid w:val="006024E7"/>
    <w:rsid w:val="00606EFD"/>
    <w:rsid w:val="00620B48"/>
    <w:rsid w:val="006226AB"/>
    <w:rsid w:val="00632DE3"/>
    <w:rsid w:val="006339AA"/>
    <w:rsid w:val="00635D31"/>
    <w:rsid w:val="00642603"/>
    <w:rsid w:val="00644E0F"/>
    <w:rsid w:val="00647845"/>
    <w:rsid w:val="00652888"/>
    <w:rsid w:val="006542FD"/>
    <w:rsid w:val="00665601"/>
    <w:rsid w:val="0068354E"/>
    <w:rsid w:val="00685DA5"/>
    <w:rsid w:val="006A0698"/>
    <w:rsid w:val="006A349A"/>
    <w:rsid w:val="006B3506"/>
    <w:rsid w:val="006E07B4"/>
    <w:rsid w:val="006E0D61"/>
    <w:rsid w:val="006E5BB3"/>
    <w:rsid w:val="006F06C8"/>
    <w:rsid w:val="006F3B8F"/>
    <w:rsid w:val="006F5329"/>
    <w:rsid w:val="006F75D8"/>
    <w:rsid w:val="00706BDC"/>
    <w:rsid w:val="00707159"/>
    <w:rsid w:val="0071560E"/>
    <w:rsid w:val="0071710D"/>
    <w:rsid w:val="00722110"/>
    <w:rsid w:val="00723FF7"/>
    <w:rsid w:val="00731E7D"/>
    <w:rsid w:val="007430C1"/>
    <w:rsid w:val="007467B2"/>
    <w:rsid w:val="007476A4"/>
    <w:rsid w:val="00754A64"/>
    <w:rsid w:val="00756999"/>
    <w:rsid w:val="00760095"/>
    <w:rsid w:val="0076097B"/>
    <w:rsid w:val="007631EE"/>
    <w:rsid w:val="00774DB3"/>
    <w:rsid w:val="00784AF7"/>
    <w:rsid w:val="00784F32"/>
    <w:rsid w:val="00785E67"/>
    <w:rsid w:val="007A0D7D"/>
    <w:rsid w:val="007A3419"/>
    <w:rsid w:val="007A559A"/>
    <w:rsid w:val="007B0AC1"/>
    <w:rsid w:val="007B76CF"/>
    <w:rsid w:val="007C533C"/>
    <w:rsid w:val="007D7E7D"/>
    <w:rsid w:val="007E5601"/>
    <w:rsid w:val="007E604D"/>
    <w:rsid w:val="007E6644"/>
    <w:rsid w:val="007F1DCE"/>
    <w:rsid w:val="007F42CD"/>
    <w:rsid w:val="00807DB7"/>
    <w:rsid w:val="008155E3"/>
    <w:rsid w:val="00830B4C"/>
    <w:rsid w:val="00834392"/>
    <w:rsid w:val="00835FA8"/>
    <w:rsid w:val="00840454"/>
    <w:rsid w:val="00840760"/>
    <w:rsid w:val="008417B7"/>
    <w:rsid w:val="00842EAB"/>
    <w:rsid w:val="00843D21"/>
    <w:rsid w:val="0084538B"/>
    <w:rsid w:val="0084762E"/>
    <w:rsid w:val="008509B2"/>
    <w:rsid w:val="00860D4E"/>
    <w:rsid w:val="008707C2"/>
    <w:rsid w:val="00873847"/>
    <w:rsid w:val="00892292"/>
    <w:rsid w:val="008A0EAC"/>
    <w:rsid w:val="008B179C"/>
    <w:rsid w:val="008C1345"/>
    <w:rsid w:val="008C2A02"/>
    <w:rsid w:val="008D06C9"/>
    <w:rsid w:val="008E7C09"/>
    <w:rsid w:val="008F43B6"/>
    <w:rsid w:val="0090647F"/>
    <w:rsid w:val="00911ADC"/>
    <w:rsid w:val="00912310"/>
    <w:rsid w:val="00915A9B"/>
    <w:rsid w:val="00917741"/>
    <w:rsid w:val="00920150"/>
    <w:rsid w:val="00921C52"/>
    <w:rsid w:val="0092385F"/>
    <w:rsid w:val="00934C2A"/>
    <w:rsid w:val="00940768"/>
    <w:rsid w:val="0094315E"/>
    <w:rsid w:val="00946464"/>
    <w:rsid w:val="00960720"/>
    <w:rsid w:val="00973F68"/>
    <w:rsid w:val="009741B6"/>
    <w:rsid w:val="009772BC"/>
    <w:rsid w:val="00984889"/>
    <w:rsid w:val="0099153C"/>
    <w:rsid w:val="00992AEE"/>
    <w:rsid w:val="00993A77"/>
    <w:rsid w:val="00994439"/>
    <w:rsid w:val="0099679F"/>
    <w:rsid w:val="009A2C55"/>
    <w:rsid w:val="009A3988"/>
    <w:rsid w:val="009B70FC"/>
    <w:rsid w:val="009C2A86"/>
    <w:rsid w:val="009C2DE6"/>
    <w:rsid w:val="009C7A5E"/>
    <w:rsid w:val="009D03EA"/>
    <w:rsid w:val="009E193B"/>
    <w:rsid w:val="009F346A"/>
    <w:rsid w:val="00A0678E"/>
    <w:rsid w:val="00A07828"/>
    <w:rsid w:val="00A14176"/>
    <w:rsid w:val="00A208D9"/>
    <w:rsid w:val="00A2132B"/>
    <w:rsid w:val="00A23F8B"/>
    <w:rsid w:val="00A2587D"/>
    <w:rsid w:val="00A325F6"/>
    <w:rsid w:val="00A32E96"/>
    <w:rsid w:val="00A3539C"/>
    <w:rsid w:val="00A3736E"/>
    <w:rsid w:val="00A44A6B"/>
    <w:rsid w:val="00A46D69"/>
    <w:rsid w:val="00A50067"/>
    <w:rsid w:val="00A50D3F"/>
    <w:rsid w:val="00A53B86"/>
    <w:rsid w:val="00A60EB4"/>
    <w:rsid w:val="00A62290"/>
    <w:rsid w:val="00A745FF"/>
    <w:rsid w:val="00A74838"/>
    <w:rsid w:val="00A75DD4"/>
    <w:rsid w:val="00A83C98"/>
    <w:rsid w:val="00A954D6"/>
    <w:rsid w:val="00AB4149"/>
    <w:rsid w:val="00AB4F8A"/>
    <w:rsid w:val="00AB6EE6"/>
    <w:rsid w:val="00AC2C84"/>
    <w:rsid w:val="00AC4505"/>
    <w:rsid w:val="00AC4726"/>
    <w:rsid w:val="00AC56C8"/>
    <w:rsid w:val="00AC576E"/>
    <w:rsid w:val="00AC70C6"/>
    <w:rsid w:val="00AE618C"/>
    <w:rsid w:val="00AF03DB"/>
    <w:rsid w:val="00B0083E"/>
    <w:rsid w:val="00B0230F"/>
    <w:rsid w:val="00B07F7C"/>
    <w:rsid w:val="00B157D9"/>
    <w:rsid w:val="00B15B7E"/>
    <w:rsid w:val="00B23CB3"/>
    <w:rsid w:val="00B25C74"/>
    <w:rsid w:val="00B32EC2"/>
    <w:rsid w:val="00B37C5A"/>
    <w:rsid w:val="00B37C5B"/>
    <w:rsid w:val="00B40361"/>
    <w:rsid w:val="00B41505"/>
    <w:rsid w:val="00B52505"/>
    <w:rsid w:val="00B5681C"/>
    <w:rsid w:val="00B62EBF"/>
    <w:rsid w:val="00B63F2F"/>
    <w:rsid w:val="00B67118"/>
    <w:rsid w:val="00B727DE"/>
    <w:rsid w:val="00B738E4"/>
    <w:rsid w:val="00B76879"/>
    <w:rsid w:val="00B80F13"/>
    <w:rsid w:val="00B86D42"/>
    <w:rsid w:val="00B9023A"/>
    <w:rsid w:val="00B94678"/>
    <w:rsid w:val="00BA1526"/>
    <w:rsid w:val="00BA1589"/>
    <w:rsid w:val="00BA3FA6"/>
    <w:rsid w:val="00BB2A1F"/>
    <w:rsid w:val="00BB3441"/>
    <w:rsid w:val="00BD319A"/>
    <w:rsid w:val="00BD69C1"/>
    <w:rsid w:val="00BE547E"/>
    <w:rsid w:val="00BF4184"/>
    <w:rsid w:val="00BF58D5"/>
    <w:rsid w:val="00C00D82"/>
    <w:rsid w:val="00C012CD"/>
    <w:rsid w:val="00C03126"/>
    <w:rsid w:val="00C060ED"/>
    <w:rsid w:val="00C07019"/>
    <w:rsid w:val="00C12304"/>
    <w:rsid w:val="00C20D7C"/>
    <w:rsid w:val="00C24A9B"/>
    <w:rsid w:val="00C30909"/>
    <w:rsid w:val="00C46E88"/>
    <w:rsid w:val="00C50778"/>
    <w:rsid w:val="00C622F1"/>
    <w:rsid w:val="00C628C9"/>
    <w:rsid w:val="00C6719A"/>
    <w:rsid w:val="00C726C3"/>
    <w:rsid w:val="00C74860"/>
    <w:rsid w:val="00C74F6F"/>
    <w:rsid w:val="00C76F48"/>
    <w:rsid w:val="00C80BC5"/>
    <w:rsid w:val="00C85783"/>
    <w:rsid w:val="00CA1EDD"/>
    <w:rsid w:val="00CA1FB7"/>
    <w:rsid w:val="00CA5107"/>
    <w:rsid w:val="00CB1089"/>
    <w:rsid w:val="00CB1B54"/>
    <w:rsid w:val="00CB1E67"/>
    <w:rsid w:val="00CC1E47"/>
    <w:rsid w:val="00CC26F3"/>
    <w:rsid w:val="00CC758E"/>
    <w:rsid w:val="00CE10D2"/>
    <w:rsid w:val="00CE48A1"/>
    <w:rsid w:val="00CF76C1"/>
    <w:rsid w:val="00D012BE"/>
    <w:rsid w:val="00D15B9C"/>
    <w:rsid w:val="00D20343"/>
    <w:rsid w:val="00D30731"/>
    <w:rsid w:val="00D30C22"/>
    <w:rsid w:val="00D33B66"/>
    <w:rsid w:val="00D342A8"/>
    <w:rsid w:val="00D379E0"/>
    <w:rsid w:val="00D42963"/>
    <w:rsid w:val="00D44BBA"/>
    <w:rsid w:val="00D5270D"/>
    <w:rsid w:val="00D57151"/>
    <w:rsid w:val="00D67291"/>
    <w:rsid w:val="00D70371"/>
    <w:rsid w:val="00D72AB2"/>
    <w:rsid w:val="00D72C91"/>
    <w:rsid w:val="00D85A99"/>
    <w:rsid w:val="00D8655D"/>
    <w:rsid w:val="00D92A80"/>
    <w:rsid w:val="00D96AC1"/>
    <w:rsid w:val="00D96BC9"/>
    <w:rsid w:val="00DA1E2D"/>
    <w:rsid w:val="00DA680C"/>
    <w:rsid w:val="00DB510C"/>
    <w:rsid w:val="00DC041E"/>
    <w:rsid w:val="00DC0C01"/>
    <w:rsid w:val="00DC0F5A"/>
    <w:rsid w:val="00DC5802"/>
    <w:rsid w:val="00DC75FD"/>
    <w:rsid w:val="00DE10BC"/>
    <w:rsid w:val="00DF508C"/>
    <w:rsid w:val="00DF66C0"/>
    <w:rsid w:val="00DF7434"/>
    <w:rsid w:val="00E01741"/>
    <w:rsid w:val="00E02C0C"/>
    <w:rsid w:val="00E05761"/>
    <w:rsid w:val="00E1456D"/>
    <w:rsid w:val="00E30CA6"/>
    <w:rsid w:val="00E32E6B"/>
    <w:rsid w:val="00E4129E"/>
    <w:rsid w:val="00E50C18"/>
    <w:rsid w:val="00E56C07"/>
    <w:rsid w:val="00E608C6"/>
    <w:rsid w:val="00E80491"/>
    <w:rsid w:val="00E83BF5"/>
    <w:rsid w:val="00E86FDF"/>
    <w:rsid w:val="00E97297"/>
    <w:rsid w:val="00E97551"/>
    <w:rsid w:val="00EA13D8"/>
    <w:rsid w:val="00EA4EB0"/>
    <w:rsid w:val="00EA6365"/>
    <w:rsid w:val="00EB10E3"/>
    <w:rsid w:val="00EB1558"/>
    <w:rsid w:val="00EB7A46"/>
    <w:rsid w:val="00EC72ED"/>
    <w:rsid w:val="00ED4D52"/>
    <w:rsid w:val="00ED68B0"/>
    <w:rsid w:val="00EF00A6"/>
    <w:rsid w:val="00EF1E7C"/>
    <w:rsid w:val="00EF2AA0"/>
    <w:rsid w:val="00F21C0C"/>
    <w:rsid w:val="00F23694"/>
    <w:rsid w:val="00F26693"/>
    <w:rsid w:val="00F33E7A"/>
    <w:rsid w:val="00F40E25"/>
    <w:rsid w:val="00F45B5E"/>
    <w:rsid w:val="00F525A6"/>
    <w:rsid w:val="00F54E45"/>
    <w:rsid w:val="00F55901"/>
    <w:rsid w:val="00F62A75"/>
    <w:rsid w:val="00F66850"/>
    <w:rsid w:val="00FA51E5"/>
    <w:rsid w:val="00FB1BDC"/>
    <w:rsid w:val="00FB20AE"/>
    <w:rsid w:val="00FB4F0B"/>
    <w:rsid w:val="00FB6C07"/>
    <w:rsid w:val="00FD47F8"/>
    <w:rsid w:val="00FE32A9"/>
    <w:rsid w:val="00FE6F19"/>
    <w:rsid w:val="00FE6FB6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D42"/>
  </w:style>
  <w:style w:type="paragraph" w:styleId="Heading1">
    <w:name w:val="heading 1"/>
    <w:basedOn w:val="Normal"/>
    <w:next w:val="Normal"/>
    <w:qFormat/>
    <w:rsid w:val="00B86D42"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86D42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6D42"/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B86D42"/>
  </w:style>
  <w:style w:type="character" w:styleId="FootnoteReference">
    <w:name w:val="footnote reference"/>
    <w:basedOn w:val="DefaultParagraphFont"/>
    <w:semiHidden/>
    <w:rsid w:val="00B86D42"/>
    <w:rPr>
      <w:vertAlign w:val="superscript"/>
    </w:rPr>
  </w:style>
  <w:style w:type="paragraph" w:styleId="BodyText2">
    <w:name w:val="Body Text 2"/>
    <w:basedOn w:val="Normal"/>
    <w:rsid w:val="00B86D42"/>
    <w:rPr>
      <w:rFonts w:ascii="Arial" w:hAnsi="Arial"/>
      <w:sz w:val="24"/>
      <w:u w:val="single"/>
    </w:rPr>
  </w:style>
  <w:style w:type="paragraph" w:styleId="Footer">
    <w:name w:val="footer"/>
    <w:basedOn w:val="Normal"/>
    <w:rsid w:val="00B86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D42"/>
  </w:style>
  <w:style w:type="paragraph" w:styleId="BalloonText">
    <w:name w:val="Balloon Text"/>
    <w:basedOn w:val="Normal"/>
    <w:semiHidden/>
    <w:rsid w:val="00F26693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F42CD"/>
    <w:rPr>
      <w:sz w:val="16"/>
      <w:szCs w:val="16"/>
    </w:rPr>
  </w:style>
  <w:style w:type="paragraph" w:styleId="CommentText">
    <w:name w:val="annotation text"/>
    <w:basedOn w:val="Normal"/>
    <w:semiHidden/>
    <w:rsid w:val="007F42CD"/>
  </w:style>
  <w:style w:type="paragraph" w:styleId="CommentSubject">
    <w:name w:val="annotation subject"/>
    <w:basedOn w:val="CommentText"/>
    <w:next w:val="CommentText"/>
    <w:semiHidden/>
    <w:rsid w:val="007F4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B2A8-AE72-4CAC-83D3-05AE406B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PUC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MALINAK</dc:creator>
  <cp:keywords/>
  <dc:description/>
  <cp:lastModifiedBy>jennawilc</cp:lastModifiedBy>
  <cp:revision>2</cp:revision>
  <cp:lastPrinted>2011-08-25T13:39:00Z</cp:lastPrinted>
  <dcterms:created xsi:type="dcterms:W3CDTF">2011-08-25T13:45:00Z</dcterms:created>
  <dcterms:modified xsi:type="dcterms:W3CDTF">2011-08-25T13:45:00Z</dcterms:modified>
</cp:coreProperties>
</file>