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1C72F2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F44D8" w:rsidRDefault="007D3011" w:rsidP="007D3011">
      <w:pPr>
        <w:suppressAutoHyphens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August 25, 2011</w:t>
      </w:r>
    </w:p>
    <w:p w:rsidR="00DF44D8" w:rsidRDefault="00DF44D8" w:rsidP="00DC506C">
      <w:pPr>
        <w:suppressAutoHyphens/>
        <w:rPr>
          <w:rFonts w:ascii="Times New Roman" w:hAnsi="Times New Roman"/>
          <w:szCs w:val="24"/>
        </w:rPr>
      </w:pPr>
    </w:p>
    <w:p w:rsidR="00DC506C" w:rsidRPr="009A79BE" w:rsidRDefault="00DC506C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 xml:space="preserve">MR </w:t>
      </w:r>
      <w:r w:rsidR="007A52CB" w:rsidRPr="009A79BE">
        <w:rPr>
          <w:rFonts w:ascii="Arial" w:hAnsi="Arial" w:cs="Arial"/>
          <w:b/>
          <w:szCs w:val="24"/>
        </w:rPr>
        <w:t>RICHARD WEBSTER JR</w:t>
      </w:r>
    </w:p>
    <w:p w:rsidR="007A52CB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 xml:space="preserve">DIRECTOR 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RATES AND REGULATORY AFFAIRS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2301 MARKET STREET S15</w:t>
      </w:r>
    </w:p>
    <w:p w:rsidR="00DC506C" w:rsidRPr="009A79BE" w:rsidRDefault="007A52CB" w:rsidP="00DC506C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PHILADELPHIA PA 19103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633DD1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RE:</w:t>
      </w:r>
      <w:r w:rsidRPr="009A79BE">
        <w:rPr>
          <w:rFonts w:ascii="Arial" w:hAnsi="Arial" w:cs="Arial"/>
          <w:b/>
          <w:szCs w:val="24"/>
        </w:rPr>
        <w:tab/>
      </w:r>
      <w:r w:rsidR="00AB5D67">
        <w:rPr>
          <w:rFonts w:ascii="Arial" w:hAnsi="Arial" w:cs="Arial"/>
          <w:b/>
          <w:szCs w:val="24"/>
        </w:rPr>
        <w:t xml:space="preserve">Generation Supply Adjustment </w:t>
      </w:r>
      <w:r w:rsidR="00CA26D1" w:rsidRPr="009A79BE">
        <w:rPr>
          <w:rFonts w:ascii="Arial" w:hAnsi="Arial" w:cs="Arial"/>
          <w:b/>
          <w:szCs w:val="24"/>
        </w:rPr>
        <w:t xml:space="preserve">Effective </w:t>
      </w:r>
      <w:r w:rsidR="007C7803">
        <w:rPr>
          <w:rFonts w:ascii="Arial" w:hAnsi="Arial" w:cs="Arial"/>
          <w:b/>
          <w:szCs w:val="24"/>
        </w:rPr>
        <w:t>September</w:t>
      </w:r>
      <w:r w:rsidR="008E7F45" w:rsidRPr="009A79BE">
        <w:rPr>
          <w:rFonts w:ascii="Arial" w:hAnsi="Arial" w:cs="Arial"/>
          <w:b/>
          <w:szCs w:val="24"/>
        </w:rPr>
        <w:t xml:space="preserve"> 1, 201</w:t>
      </w:r>
      <w:r w:rsidR="009A79BE">
        <w:rPr>
          <w:rFonts w:ascii="Arial" w:hAnsi="Arial" w:cs="Arial"/>
          <w:b/>
          <w:szCs w:val="24"/>
        </w:rPr>
        <w:t>1</w:t>
      </w:r>
    </w:p>
    <w:p w:rsidR="002A0F4E" w:rsidRPr="009A79BE" w:rsidRDefault="00633DD1" w:rsidP="00633DD1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C1085" w:rsidRPr="009A79BE">
        <w:rPr>
          <w:rFonts w:ascii="Arial" w:hAnsi="Arial" w:cs="Arial"/>
          <w:szCs w:val="24"/>
        </w:rPr>
        <w:t>M-</w:t>
      </w:r>
      <w:r w:rsidR="008E7F45" w:rsidRPr="009A79BE">
        <w:rPr>
          <w:rFonts w:ascii="Arial" w:hAnsi="Arial" w:cs="Arial"/>
          <w:szCs w:val="24"/>
        </w:rPr>
        <w:t>201</w:t>
      </w:r>
      <w:r w:rsidR="009A79BE">
        <w:rPr>
          <w:rFonts w:ascii="Arial" w:hAnsi="Arial" w:cs="Arial"/>
          <w:szCs w:val="24"/>
        </w:rPr>
        <w:t>1-</w:t>
      </w:r>
      <w:r w:rsidR="007C7803">
        <w:rPr>
          <w:rFonts w:ascii="Arial" w:hAnsi="Arial" w:cs="Arial"/>
          <w:szCs w:val="24"/>
        </w:rPr>
        <w:t>2252543</w:t>
      </w:r>
    </w:p>
    <w:p w:rsidR="001202C9" w:rsidRPr="009A79BE" w:rsidRDefault="001202C9" w:rsidP="001202C9">
      <w:pPr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 xml:space="preserve">Dear Mr. </w:t>
      </w:r>
      <w:r w:rsidR="007A52CB" w:rsidRPr="009A79BE">
        <w:rPr>
          <w:rFonts w:ascii="Arial" w:hAnsi="Arial" w:cs="Arial"/>
          <w:szCs w:val="24"/>
        </w:rPr>
        <w:t>Webster</w:t>
      </w:r>
      <w:r w:rsidRPr="009A79BE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64045C" w:rsidRDefault="002A0F4E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17297E" w:rsidRPr="009A79BE">
        <w:rPr>
          <w:rFonts w:ascii="Arial" w:hAnsi="Arial" w:cs="Arial"/>
          <w:szCs w:val="24"/>
        </w:rPr>
        <w:tab/>
      </w:r>
      <w:r w:rsidR="00BD5291" w:rsidRPr="009A79BE">
        <w:rPr>
          <w:rFonts w:ascii="Arial" w:hAnsi="Arial" w:cs="Arial"/>
          <w:szCs w:val="24"/>
        </w:rPr>
        <w:t>A</w:t>
      </w:r>
      <w:r w:rsidRPr="009A79BE">
        <w:rPr>
          <w:rFonts w:ascii="Arial" w:hAnsi="Arial" w:cs="Arial"/>
          <w:szCs w:val="24"/>
        </w:rPr>
        <w:t xml:space="preserve">t its </w:t>
      </w:r>
      <w:r w:rsidR="00437F20" w:rsidRPr="009A79BE">
        <w:rPr>
          <w:rFonts w:ascii="Arial" w:hAnsi="Arial" w:cs="Arial"/>
          <w:szCs w:val="24"/>
        </w:rPr>
        <w:t>P</w:t>
      </w:r>
      <w:r w:rsidRPr="009A79BE">
        <w:rPr>
          <w:rFonts w:ascii="Arial" w:hAnsi="Arial" w:cs="Arial"/>
          <w:szCs w:val="24"/>
        </w:rPr>
        <w:t xml:space="preserve">ublic </w:t>
      </w:r>
      <w:r w:rsidR="00437F20" w:rsidRPr="009A79BE">
        <w:rPr>
          <w:rFonts w:ascii="Arial" w:hAnsi="Arial" w:cs="Arial"/>
          <w:szCs w:val="24"/>
        </w:rPr>
        <w:t>M</w:t>
      </w:r>
      <w:r w:rsidR="00324A18" w:rsidRPr="009A79BE">
        <w:rPr>
          <w:rFonts w:ascii="Arial" w:hAnsi="Arial" w:cs="Arial"/>
          <w:szCs w:val="24"/>
        </w:rPr>
        <w:t>eeting of</w:t>
      </w:r>
      <w:r w:rsidR="004116F4">
        <w:rPr>
          <w:rFonts w:ascii="Arial" w:hAnsi="Arial" w:cs="Arial"/>
          <w:szCs w:val="24"/>
        </w:rPr>
        <w:t xml:space="preserve"> </w:t>
      </w:r>
      <w:r w:rsidR="001C72F2">
        <w:rPr>
          <w:rFonts w:ascii="Arial" w:hAnsi="Arial" w:cs="Arial"/>
          <w:szCs w:val="24"/>
        </w:rPr>
        <w:t xml:space="preserve">August </w:t>
      </w:r>
      <w:r w:rsidR="00426B4C">
        <w:rPr>
          <w:rFonts w:ascii="Arial" w:hAnsi="Arial" w:cs="Arial"/>
          <w:szCs w:val="24"/>
        </w:rPr>
        <w:t>25</w:t>
      </w:r>
      <w:r w:rsidR="001C72F2">
        <w:rPr>
          <w:rFonts w:ascii="Arial" w:hAnsi="Arial" w:cs="Arial"/>
          <w:szCs w:val="24"/>
        </w:rPr>
        <w:t>, 2</w:t>
      </w:r>
      <w:r w:rsidRPr="009A79BE">
        <w:rPr>
          <w:rFonts w:ascii="Arial" w:hAnsi="Arial" w:cs="Arial"/>
          <w:szCs w:val="24"/>
        </w:rPr>
        <w:t>0</w:t>
      </w:r>
      <w:r w:rsidR="00043A77" w:rsidRPr="009A79BE">
        <w:rPr>
          <w:rFonts w:ascii="Arial" w:hAnsi="Arial" w:cs="Arial"/>
          <w:szCs w:val="24"/>
        </w:rPr>
        <w:t>1</w:t>
      </w:r>
      <w:r w:rsidR="004E5F84">
        <w:rPr>
          <w:rFonts w:ascii="Arial" w:hAnsi="Arial" w:cs="Arial"/>
          <w:szCs w:val="24"/>
        </w:rPr>
        <w:t>1</w:t>
      </w:r>
      <w:r w:rsidRPr="009A79BE">
        <w:rPr>
          <w:rFonts w:ascii="Arial" w:hAnsi="Arial" w:cs="Arial"/>
          <w:szCs w:val="24"/>
        </w:rPr>
        <w:t xml:space="preserve">, </w:t>
      </w:r>
      <w:r w:rsidR="00620261">
        <w:rPr>
          <w:rFonts w:ascii="Arial" w:hAnsi="Arial" w:cs="Arial"/>
          <w:szCs w:val="24"/>
        </w:rPr>
        <w:t>t</w:t>
      </w:r>
      <w:r w:rsidR="00BD5291" w:rsidRPr="009A79BE">
        <w:rPr>
          <w:rFonts w:ascii="Arial" w:hAnsi="Arial" w:cs="Arial"/>
          <w:szCs w:val="24"/>
        </w:rPr>
        <w:t xml:space="preserve">he Commission </w:t>
      </w:r>
      <w:r w:rsidR="00043A77" w:rsidRPr="009A79BE">
        <w:rPr>
          <w:rFonts w:ascii="Arial" w:hAnsi="Arial" w:cs="Arial"/>
          <w:szCs w:val="24"/>
        </w:rPr>
        <w:t>adopted</w:t>
      </w:r>
      <w:r w:rsidR="00BD5291" w:rsidRPr="009A79BE">
        <w:rPr>
          <w:rFonts w:ascii="Arial" w:hAnsi="Arial" w:cs="Arial"/>
          <w:szCs w:val="24"/>
        </w:rPr>
        <w:t xml:space="preserve"> </w:t>
      </w:r>
      <w:r w:rsidR="00043A77" w:rsidRPr="009A79BE">
        <w:rPr>
          <w:rFonts w:ascii="Arial" w:hAnsi="Arial" w:cs="Arial"/>
          <w:szCs w:val="24"/>
        </w:rPr>
        <w:t>the Bureau of Audits</w:t>
      </w:r>
      <w:r w:rsidR="00620261">
        <w:rPr>
          <w:rFonts w:ascii="Arial" w:hAnsi="Arial" w:cs="Arial"/>
          <w:szCs w:val="24"/>
        </w:rPr>
        <w:t>’</w:t>
      </w:r>
      <w:r w:rsidR="00043A77" w:rsidRPr="009A79BE">
        <w:rPr>
          <w:rFonts w:ascii="Arial" w:hAnsi="Arial" w:cs="Arial"/>
          <w:szCs w:val="24"/>
        </w:rPr>
        <w:t xml:space="preserve"> recommendation to approve </w:t>
      </w:r>
      <w:r w:rsidR="007A52CB" w:rsidRPr="009A79BE">
        <w:rPr>
          <w:rFonts w:ascii="Arial" w:hAnsi="Arial" w:cs="Arial"/>
          <w:szCs w:val="24"/>
        </w:rPr>
        <w:t>PECO Energy Company’s</w:t>
      </w:r>
      <w:r w:rsidR="0055332B" w:rsidRPr="009A79BE">
        <w:rPr>
          <w:rFonts w:ascii="Arial" w:hAnsi="Arial" w:cs="Arial"/>
          <w:szCs w:val="24"/>
        </w:rPr>
        <w:t xml:space="preserve"> </w:t>
      </w:r>
      <w:r w:rsidR="0064045C" w:rsidRPr="009A79BE">
        <w:rPr>
          <w:rFonts w:ascii="Arial" w:hAnsi="Arial" w:cs="Arial"/>
          <w:szCs w:val="24"/>
        </w:rPr>
        <w:t xml:space="preserve">(PECO) </w:t>
      </w:r>
      <w:r w:rsidR="004116F4">
        <w:rPr>
          <w:rFonts w:ascii="Arial" w:hAnsi="Arial" w:cs="Arial"/>
          <w:szCs w:val="24"/>
        </w:rPr>
        <w:t xml:space="preserve">Supplement No. </w:t>
      </w:r>
      <w:r w:rsidR="001C72F2">
        <w:rPr>
          <w:rFonts w:ascii="Arial" w:hAnsi="Arial" w:cs="Arial"/>
          <w:szCs w:val="24"/>
        </w:rPr>
        <w:t>20</w:t>
      </w:r>
      <w:r w:rsidR="007D62A4">
        <w:rPr>
          <w:rFonts w:ascii="Arial" w:hAnsi="Arial" w:cs="Arial"/>
          <w:szCs w:val="24"/>
        </w:rPr>
        <w:t xml:space="preserve"> to </w:t>
      </w:r>
      <w:r w:rsidR="00336519">
        <w:rPr>
          <w:rFonts w:ascii="Arial" w:hAnsi="Arial" w:cs="Arial"/>
          <w:szCs w:val="24"/>
        </w:rPr>
        <w:t xml:space="preserve">Tariff </w:t>
      </w:r>
      <w:r w:rsidR="007D62A4">
        <w:rPr>
          <w:rFonts w:ascii="Arial" w:hAnsi="Arial" w:cs="Arial"/>
          <w:szCs w:val="24"/>
        </w:rPr>
        <w:t xml:space="preserve">Electric </w:t>
      </w:r>
      <w:r w:rsidR="00382637">
        <w:rPr>
          <w:rFonts w:ascii="Arial" w:hAnsi="Arial" w:cs="Arial"/>
          <w:szCs w:val="24"/>
        </w:rPr>
        <w:t xml:space="preserve">– Pa. P.U.C. </w:t>
      </w:r>
      <w:r w:rsidR="007D62A4">
        <w:rPr>
          <w:rFonts w:ascii="Arial" w:hAnsi="Arial" w:cs="Arial"/>
          <w:szCs w:val="24"/>
        </w:rPr>
        <w:t>No. 4</w:t>
      </w:r>
      <w:r w:rsidR="00956200">
        <w:rPr>
          <w:rFonts w:ascii="Arial" w:hAnsi="Arial" w:cs="Arial"/>
          <w:szCs w:val="24"/>
        </w:rPr>
        <w:t xml:space="preserve"> reflecting the </w:t>
      </w:r>
      <w:r w:rsidR="00403344">
        <w:rPr>
          <w:rFonts w:ascii="Arial" w:hAnsi="Arial" w:cs="Arial"/>
          <w:szCs w:val="24"/>
        </w:rPr>
        <w:t xml:space="preserve">proposed </w:t>
      </w:r>
      <w:r w:rsidR="00956200">
        <w:rPr>
          <w:rFonts w:ascii="Arial" w:hAnsi="Arial" w:cs="Arial"/>
          <w:szCs w:val="24"/>
        </w:rPr>
        <w:t>Generation Supply Adjustment</w:t>
      </w:r>
      <w:r w:rsidR="00815444">
        <w:rPr>
          <w:rFonts w:ascii="Arial" w:hAnsi="Arial" w:cs="Arial"/>
          <w:szCs w:val="24"/>
        </w:rPr>
        <w:t xml:space="preserve"> (GSA)</w:t>
      </w:r>
      <w:r w:rsidR="00956200">
        <w:rPr>
          <w:rFonts w:ascii="Arial" w:hAnsi="Arial" w:cs="Arial"/>
          <w:szCs w:val="24"/>
        </w:rPr>
        <w:t xml:space="preserve"> </w:t>
      </w:r>
      <w:r w:rsidR="00806F33">
        <w:rPr>
          <w:rFonts w:ascii="Arial" w:hAnsi="Arial" w:cs="Arial"/>
          <w:szCs w:val="24"/>
        </w:rPr>
        <w:t>rate computation</w:t>
      </w:r>
      <w:r w:rsidR="00393F8E">
        <w:rPr>
          <w:rFonts w:ascii="Arial" w:hAnsi="Arial" w:cs="Arial"/>
          <w:szCs w:val="24"/>
        </w:rPr>
        <w:t>s</w:t>
      </w:r>
      <w:r w:rsidR="00806F33">
        <w:rPr>
          <w:rFonts w:ascii="Arial" w:hAnsi="Arial" w:cs="Arial"/>
          <w:szCs w:val="24"/>
        </w:rPr>
        <w:t xml:space="preserve"> for GSA-4 (Large Commercial and Industrial)</w:t>
      </w:r>
      <w:r w:rsidR="00F576E7">
        <w:rPr>
          <w:rFonts w:ascii="Arial" w:hAnsi="Arial" w:cs="Arial"/>
          <w:szCs w:val="24"/>
        </w:rPr>
        <w:t xml:space="preserve"> </w:t>
      </w:r>
      <w:r w:rsidR="00403344">
        <w:rPr>
          <w:rFonts w:ascii="Arial" w:hAnsi="Arial" w:cs="Arial"/>
          <w:szCs w:val="24"/>
        </w:rPr>
        <w:t xml:space="preserve">to become effective </w:t>
      </w:r>
      <w:r w:rsidR="001C72F2">
        <w:rPr>
          <w:rFonts w:ascii="Arial" w:hAnsi="Arial" w:cs="Arial"/>
          <w:szCs w:val="24"/>
        </w:rPr>
        <w:t>September</w:t>
      </w:r>
      <w:r w:rsidR="00403344">
        <w:rPr>
          <w:rFonts w:ascii="Arial" w:hAnsi="Arial" w:cs="Arial"/>
          <w:szCs w:val="24"/>
        </w:rPr>
        <w:t xml:space="preserve"> 1, 2011</w:t>
      </w:r>
      <w:r w:rsidR="00815444">
        <w:rPr>
          <w:rFonts w:ascii="Arial" w:hAnsi="Arial" w:cs="Arial"/>
          <w:szCs w:val="24"/>
        </w:rPr>
        <w:t xml:space="preserve">.  </w:t>
      </w:r>
    </w:p>
    <w:p w:rsidR="00606EC3" w:rsidRPr="009A79BE" w:rsidRDefault="00606EC3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DC786A" w:rsidRPr="009A79BE" w:rsidRDefault="0064045C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DC786A" w:rsidRPr="009A79BE">
        <w:rPr>
          <w:rFonts w:ascii="Arial" w:hAnsi="Arial" w:cs="Arial"/>
          <w:szCs w:val="24"/>
        </w:rPr>
        <w:t xml:space="preserve">The </w:t>
      </w:r>
      <w:r w:rsidR="00DE3AB0">
        <w:rPr>
          <w:rFonts w:ascii="Arial" w:hAnsi="Arial" w:cs="Arial"/>
          <w:szCs w:val="24"/>
        </w:rPr>
        <w:t>Generation Supply Adjustment i</w:t>
      </w:r>
      <w:r w:rsidR="00DC786A" w:rsidRPr="009A79BE">
        <w:rPr>
          <w:rFonts w:ascii="Arial" w:hAnsi="Arial" w:cs="Arial"/>
          <w:szCs w:val="24"/>
        </w:rPr>
        <w:t>s subject to continuous Commission review and audit as well as reconciliation reports and hearings in accordance with Section 1307(e) of the Public Utility Code, 66 Pa. C.S. §1307(e).</w:t>
      </w:r>
    </w:p>
    <w:p w:rsidR="0094250A" w:rsidRPr="009A79BE" w:rsidRDefault="0094250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040568" w:rsidRPr="009A79BE">
        <w:rPr>
          <w:rFonts w:ascii="Arial" w:hAnsi="Arial" w:cs="Arial"/>
          <w:szCs w:val="24"/>
        </w:rPr>
        <w:t>M-</w:t>
      </w:r>
      <w:r w:rsidR="0039689A" w:rsidRPr="009A79BE">
        <w:rPr>
          <w:rFonts w:ascii="Arial" w:hAnsi="Arial" w:cs="Arial"/>
          <w:szCs w:val="24"/>
        </w:rPr>
        <w:t>201</w:t>
      </w:r>
      <w:r w:rsidR="00955944">
        <w:rPr>
          <w:rFonts w:ascii="Arial" w:hAnsi="Arial" w:cs="Arial"/>
          <w:szCs w:val="24"/>
        </w:rPr>
        <w:t>1</w:t>
      </w:r>
      <w:r w:rsidR="0039689A" w:rsidRPr="009A79BE">
        <w:rPr>
          <w:rFonts w:ascii="Arial" w:hAnsi="Arial" w:cs="Arial"/>
          <w:szCs w:val="24"/>
        </w:rPr>
        <w:t>-</w:t>
      </w:r>
      <w:r w:rsidR="001C72F2">
        <w:rPr>
          <w:rFonts w:ascii="Arial" w:hAnsi="Arial" w:cs="Arial"/>
          <w:szCs w:val="24"/>
        </w:rPr>
        <w:t>2252543</w:t>
      </w:r>
      <w:r w:rsidR="00AF5A3B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7D3011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6350</wp:posOffset>
            </wp:positionV>
            <wp:extent cx="2200275" cy="838200"/>
            <wp:effectExtent l="19050" t="0" r="9525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Co</w:t>
      </w:r>
      <w:r w:rsidR="00324A18" w:rsidRPr="009A79BE">
        <w:rPr>
          <w:rFonts w:ascii="Arial" w:hAnsi="Arial" w:cs="Arial"/>
          <w:szCs w:val="24"/>
        </w:rPr>
        <w:t>ntact Person:</w:t>
      </w:r>
      <w:r w:rsidR="00324A18" w:rsidRPr="009A79BE">
        <w:rPr>
          <w:rFonts w:ascii="Arial" w:hAnsi="Arial" w:cs="Arial"/>
          <w:szCs w:val="24"/>
        </w:rPr>
        <w:tab/>
      </w:r>
      <w:r w:rsidR="00C848AB">
        <w:rPr>
          <w:rFonts w:ascii="Arial" w:hAnsi="Arial" w:cs="Arial"/>
          <w:szCs w:val="24"/>
        </w:rPr>
        <w:t>Ke</w:t>
      </w:r>
      <w:r w:rsidR="001C72F2">
        <w:rPr>
          <w:rFonts w:ascii="Arial" w:hAnsi="Arial" w:cs="Arial"/>
          <w:szCs w:val="24"/>
        </w:rPr>
        <w:t>ith L. Mather</w:t>
      </w:r>
    </w:p>
    <w:p w:rsidR="002A0F4E" w:rsidRPr="009A79BE" w:rsidRDefault="00324A18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(717) 772-</w:t>
      </w:r>
      <w:r w:rsidR="001C72F2">
        <w:rPr>
          <w:rFonts w:ascii="Arial" w:hAnsi="Arial" w:cs="Arial"/>
          <w:szCs w:val="24"/>
        </w:rPr>
        <w:t>3440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2006C3" w:rsidRPr="009A79BE" w:rsidRDefault="00E20016" w:rsidP="008075CE">
      <w:pPr>
        <w:tabs>
          <w:tab w:val="left" w:pos="5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c</w:t>
      </w:r>
      <w:r w:rsidR="00F253EB" w:rsidRPr="009A79BE">
        <w:rPr>
          <w:rFonts w:ascii="Arial" w:hAnsi="Arial" w:cs="Arial"/>
          <w:szCs w:val="24"/>
        </w:rPr>
        <w:t>c:</w:t>
      </w:r>
      <w:r w:rsidR="00F253EB" w:rsidRPr="009A79BE">
        <w:rPr>
          <w:rFonts w:ascii="Arial" w:hAnsi="Arial" w:cs="Arial"/>
          <w:szCs w:val="24"/>
        </w:rPr>
        <w:tab/>
      </w:r>
      <w:r w:rsidR="008421A9">
        <w:rPr>
          <w:rFonts w:ascii="Arial" w:hAnsi="Arial" w:cs="Arial"/>
          <w:szCs w:val="24"/>
        </w:rPr>
        <w:t>Bureau of Investigation and Enforcement</w:t>
      </w:r>
    </w:p>
    <w:p w:rsidR="008F7950" w:rsidRPr="009A79BE" w:rsidRDefault="00F253EB" w:rsidP="002571DD">
      <w:pPr>
        <w:tabs>
          <w:tab w:val="left" w:pos="5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8421A9">
        <w:rPr>
          <w:rFonts w:ascii="Arial" w:hAnsi="Arial" w:cs="Arial"/>
          <w:szCs w:val="24"/>
        </w:rPr>
        <w:t>Bureau of Technical</w:t>
      </w:r>
      <w:r w:rsidR="007B5D40" w:rsidRPr="009A79BE">
        <w:rPr>
          <w:rFonts w:ascii="Arial" w:hAnsi="Arial" w:cs="Arial"/>
          <w:szCs w:val="24"/>
        </w:rPr>
        <w:t xml:space="preserve"> Utility Services</w:t>
      </w:r>
      <w:r w:rsidR="008F7950" w:rsidRPr="009A79BE">
        <w:rPr>
          <w:rFonts w:ascii="Arial" w:hAnsi="Arial" w:cs="Arial"/>
          <w:szCs w:val="24"/>
        </w:rPr>
        <w:tab/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6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F4355"/>
    <w:rsid w:val="001202C9"/>
    <w:rsid w:val="001224CD"/>
    <w:rsid w:val="001468B8"/>
    <w:rsid w:val="0017297E"/>
    <w:rsid w:val="00180EAF"/>
    <w:rsid w:val="001A2913"/>
    <w:rsid w:val="001A5E45"/>
    <w:rsid w:val="001C191E"/>
    <w:rsid w:val="001C72F2"/>
    <w:rsid w:val="001F3FD1"/>
    <w:rsid w:val="001F44E8"/>
    <w:rsid w:val="002006C3"/>
    <w:rsid w:val="002142D3"/>
    <w:rsid w:val="00214F0A"/>
    <w:rsid w:val="00250E4B"/>
    <w:rsid w:val="002571DD"/>
    <w:rsid w:val="00271806"/>
    <w:rsid w:val="002826AB"/>
    <w:rsid w:val="002A0F4E"/>
    <w:rsid w:val="002C1085"/>
    <w:rsid w:val="002C55F3"/>
    <w:rsid w:val="002D0228"/>
    <w:rsid w:val="002D0984"/>
    <w:rsid w:val="002F1851"/>
    <w:rsid w:val="00314161"/>
    <w:rsid w:val="00317279"/>
    <w:rsid w:val="00324A18"/>
    <w:rsid w:val="0033194F"/>
    <w:rsid w:val="00336519"/>
    <w:rsid w:val="00373255"/>
    <w:rsid w:val="00382637"/>
    <w:rsid w:val="00393F8E"/>
    <w:rsid w:val="0039689A"/>
    <w:rsid w:val="003E6286"/>
    <w:rsid w:val="003F04D3"/>
    <w:rsid w:val="003F5DA9"/>
    <w:rsid w:val="00403344"/>
    <w:rsid w:val="004116F4"/>
    <w:rsid w:val="00426B4C"/>
    <w:rsid w:val="00437F20"/>
    <w:rsid w:val="004459C0"/>
    <w:rsid w:val="0045372A"/>
    <w:rsid w:val="00453DC3"/>
    <w:rsid w:val="00471F88"/>
    <w:rsid w:val="004C3E96"/>
    <w:rsid w:val="004E5F84"/>
    <w:rsid w:val="00500F34"/>
    <w:rsid w:val="0050173D"/>
    <w:rsid w:val="0055332B"/>
    <w:rsid w:val="00560D1C"/>
    <w:rsid w:val="0059250B"/>
    <w:rsid w:val="005929CF"/>
    <w:rsid w:val="005A08D2"/>
    <w:rsid w:val="005F3648"/>
    <w:rsid w:val="00606EC3"/>
    <w:rsid w:val="006170DB"/>
    <w:rsid w:val="00620261"/>
    <w:rsid w:val="00623776"/>
    <w:rsid w:val="00633DD1"/>
    <w:rsid w:val="006359E1"/>
    <w:rsid w:val="0064045C"/>
    <w:rsid w:val="00646144"/>
    <w:rsid w:val="00660E6F"/>
    <w:rsid w:val="006D4A74"/>
    <w:rsid w:val="006D75BA"/>
    <w:rsid w:val="006E66FD"/>
    <w:rsid w:val="006F23ED"/>
    <w:rsid w:val="006F4039"/>
    <w:rsid w:val="00700D9C"/>
    <w:rsid w:val="007037FC"/>
    <w:rsid w:val="00712BC4"/>
    <w:rsid w:val="0073447D"/>
    <w:rsid w:val="007450FF"/>
    <w:rsid w:val="00790A3E"/>
    <w:rsid w:val="007A0164"/>
    <w:rsid w:val="007A52CB"/>
    <w:rsid w:val="007B01C1"/>
    <w:rsid w:val="007B0FCF"/>
    <w:rsid w:val="007B5D40"/>
    <w:rsid w:val="007C50CE"/>
    <w:rsid w:val="007C7803"/>
    <w:rsid w:val="007D3011"/>
    <w:rsid w:val="007D62A4"/>
    <w:rsid w:val="00806F33"/>
    <w:rsid w:val="008075CE"/>
    <w:rsid w:val="00815444"/>
    <w:rsid w:val="008173E9"/>
    <w:rsid w:val="008362EB"/>
    <w:rsid w:val="008421A9"/>
    <w:rsid w:val="00860816"/>
    <w:rsid w:val="00862352"/>
    <w:rsid w:val="008636C4"/>
    <w:rsid w:val="00863E76"/>
    <w:rsid w:val="00866CB2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55944"/>
    <w:rsid w:val="00956200"/>
    <w:rsid w:val="00987540"/>
    <w:rsid w:val="009A1FC4"/>
    <w:rsid w:val="009A79BE"/>
    <w:rsid w:val="009B1636"/>
    <w:rsid w:val="009F1E30"/>
    <w:rsid w:val="00A47C9B"/>
    <w:rsid w:val="00A86926"/>
    <w:rsid w:val="00AA6A59"/>
    <w:rsid w:val="00AB5D67"/>
    <w:rsid w:val="00AD484D"/>
    <w:rsid w:val="00AE2703"/>
    <w:rsid w:val="00AF5A3B"/>
    <w:rsid w:val="00B00883"/>
    <w:rsid w:val="00B34235"/>
    <w:rsid w:val="00B655D7"/>
    <w:rsid w:val="00B83769"/>
    <w:rsid w:val="00B96F68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50C76"/>
    <w:rsid w:val="00C73FDE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D57279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F44D8"/>
    <w:rsid w:val="00E03AD7"/>
    <w:rsid w:val="00E20016"/>
    <w:rsid w:val="00E343D8"/>
    <w:rsid w:val="00E423C8"/>
    <w:rsid w:val="00E45B09"/>
    <w:rsid w:val="00E52F0D"/>
    <w:rsid w:val="00E55522"/>
    <w:rsid w:val="00E72A92"/>
    <w:rsid w:val="00EE7235"/>
    <w:rsid w:val="00F20FDA"/>
    <w:rsid w:val="00F214A3"/>
    <w:rsid w:val="00F253EB"/>
    <w:rsid w:val="00F51634"/>
    <w:rsid w:val="00F54D9C"/>
    <w:rsid w:val="00F576E7"/>
    <w:rsid w:val="00F60633"/>
    <w:rsid w:val="00F812A7"/>
    <w:rsid w:val="00F81AB3"/>
    <w:rsid w:val="00F827AF"/>
    <w:rsid w:val="00F91131"/>
    <w:rsid w:val="00F9444F"/>
    <w:rsid w:val="00FC1201"/>
    <w:rsid w:val="00FD5367"/>
    <w:rsid w:val="00FD61D1"/>
    <w:rsid w:val="00FF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Administrator</cp:lastModifiedBy>
  <cp:revision>5</cp:revision>
  <cp:lastPrinted>2011-08-25T14:58:00Z</cp:lastPrinted>
  <dcterms:created xsi:type="dcterms:W3CDTF">2011-07-22T19:53:00Z</dcterms:created>
  <dcterms:modified xsi:type="dcterms:W3CDTF">2011-08-25T14:58:00Z</dcterms:modified>
</cp:coreProperties>
</file>